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DDC100">
      <w:pPr>
        <w:pStyle w:val="21"/>
        <w:spacing w:line="240" w:lineRule="auto"/>
        <w:rPr>
          <w:rFonts w:hint="eastAsia" w:eastAsia="宋体"/>
          <w:color w:val="auto"/>
          <w:lang w:eastAsia="zh-CN"/>
        </w:rPr>
      </w:pPr>
      <w:r>
        <w:rPr>
          <w:rFonts w:hint="eastAsia" w:eastAsia="宋体"/>
          <w:color w:val="auto"/>
          <w:lang w:eastAsia="zh-CN"/>
        </w:rPr>
        <w:drawing>
          <wp:inline distT="0" distB="0" distL="114300" distR="114300">
            <wp:extent cx="6264910" cy="8805545"/>
            <wp:effectExtent l="0" t="0" r="13970" b="3175"/>
            <wp:docPr id="45" name="图片 45" descr="73070cc7e5a23f8916a2e3ae325a6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73070cc7e5a23f8916a2e3ae325a6c6"/>
                    <pic:cNvPicPr>
                      <a:picLocks noChangeAspect="1"/>
                    </pic:cNvPicPr>
                  </pic:nvPicPr>
                  <pic:blipFill>
                    <a:blip r:embed="rId9"/>
                    <a:stretch>
                      <a:fillRect/>
                    </a:stretch>
                  </pic:blipFill>
                  <pic:spPr>
                    <a:xfrm>
                      <a:off x="0" y="0"/>
                      <a:ext cx="6264910" cy="8805545"/>
                    </a:xfrm>
                    <a:prstGeom prst="rect">
                      <a:avLst/>
                    </a:prstGeom>
                  </pic:spPr>
                </pic:pic>
              </a:graphicData>
            </a:graphic>
          </wp:inline>
        </w:drawing>
      </w:r>
    </w:p>
    <w:p w14:paraId="38228329">
      <w:pPr>
        <w:pStyle w:val="20"/>
        <w:jc w:val="center"/>
        <w:outlineLvl w:val="0"/>
      </w:pPr>
      <w:r>
        <w:drawing>
          <wp:inline distT="0" distB="0" distL="114300" distR="114300">
            <wp:extent cx="6316345" cy="8861425"/>
            <wp:effectExtent l="0" t="0" r="8255" b="8255"/>
            <wp:docPr id="49" name="图片 49" descr="555177be2bc8633f79f3a0c42e259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555177be2bc8633f79f3a0c42e259c9"/>
                    <pic:cNvPicPr>
                      <a:picLocks noChangeAspect="1"/>
                    </pic:cNvPicPr>
                  </pic:nvPicPr>
                  <pic:blipFill>
                    <a:blip r:embed="rId10"/>
                    <a:stretch>
                      <a:fillRect/>
                    </a:stretch>
                  </pic:blipFill>
                  <pic:spPr>
                    <a:xfrm>
                      <a:off x="0" y="0"/>
                      <a:ext cx="6316345" cy="8861425"/>
                    </a:xfrm>
                    <a:prstGeom prst="rect">
                      <a:avLst/>
                    </a:prstGeom>
                  </pic:spPr>
                </pic:pic>
              </a:graphicData>
            </a:graphic>
          </wp:inline>
        </w:drawing>
      </w:r>
      <w:r>
        <w:drawing>
          <wp:inline distT="0" distB="0" distL="114300" distR="114300">
            <wp:extent cx="5982970" cy="8792210"/>
            <wp:effectExtent l="0" t="0" r="6350" b="1270"/>
            <wp:docPr id="56" name="图片 56" descr="25e4fb1a6ffa9fcb17440e07e91b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5e4fb1a6ffa9fcb17440e07e91bd85"/>
                    <pic:cNvPicPr>
                      <a:picLocks noChangeAspect="1"/>
                    </pic:cNvPicPr>
                  </pic:nvPicPr>
                  <pic:blipFill>
                    <a:blip r:embed="rId11"/>
                    <a:srcRect l="3452" t="1156" r="1721" b="1738"/>
                    <a:stretch>
                      <a:fillRect/>
                    </a:stretch>
                  </pic:blipFill>
                  <pic:spPr>
                    <a:xfrm>
                      <a:off x="0" y="0"/>
                      <a:ext cx="5982970" cy="8792210"/>
                    </a:xfrm>
                    <a:prstGeom prst="rect">
                      <a:avLst/>
                    </a:prstGeom>
                  </pic:spPr>
                </pic:pic>
              </a:graphicData>
            </a:graphic>
          </wp:inline>
        </w:drawing>
      </w:r>
      <w:r>
        <w:drawing>
          <wp:inline distT="0" distB="0" distL="114300" distR="114300">
            <wp:extent cx="6195060" cy="8760460"/>
            <wp:effectExtent l="0" t="0" r="7620" b="2540"/>
            <wp:docPr id="32" name="图片 32" descr="81296f749fa26375b40add1b7396f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81296f749fa26375b40add1b7396f2b"/>
                    <pic:cNvPicPr>
                      <a:picLocks noChangeAspect="1"/>
                    </pic:cNvPicPr>
                  </pic:nvPicPr>
                  <pic:blipFill>
                    <a:blip r:embed="rId12"/>
                    <a:srcRect l="10656" t="3867" r="6558" b="12095"/>
                    <a:stretch>
                      <a:fillRect/>
                    </a:stretch>
                  </pic:blipFill>
                  <pic:spPr>
                    <a:xfrm>
                      <a:off x="0" y="0"/>
                      <a:ext cx="6195060" cy="8760460"/>
                    </a:xfrm>
                    <a:prstGeom prst="rect">
                      <a:avLst/>
                    </a:prstGeom>
                  </pic:spPr>
                </pic:pic>
              </a:graphicData>
            </a:graphic>
          </wp:inline>
        </w:drawing>
      </w:r>
      <w:r>
        <w:drawing>
          <wp:inline distT="0" distB="0" distL="114300" distR="114300">
            <wp:extent cx="6531610" cy="8349615"/>
            <wp:effectExtent l="0" t="0" r="6350" b="1905"/>
            <wp:docPr id="43" name="图片 43" descr="851954ee65a48d8568666eb14c3bf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51954ee65a48d8568666eb14c3bf23"/>
                    <pic:cNvPicPr>
                      <a:picLocks noChangeAspect="1"/>
                    </pic:cNvPicPr>
                  </pic:nvPicPr>
                  <pic:blipFill>
                    <a:blip r:embed="rId13"/>
                    <a:srcRect t="1222" r="1553" b="7674"/>
                    <a:stretch>
                      <a:fillRect/>
                    </a:stretch>
                  </pic:blipFill>
                  <pic:spPr>
                    <a:xfrm>
                      <a:off x="0" y="0"/>
                      <a:ext cx="6531610" cy="8349615"/>
                    </a:xfrm>
                    <a:prstGeom prst="rect">
                      <a:avLst/>
                    </a:prstGeom>
                  </pic:spPr>
                </pic:pic>
              </a:graphicData>
            </a:graphic>
          </wp:inline>
        </w:drawing>
      </w:r>
      <w:r>
        <w:drawing>
          <wp:inline distT="0" distB="0" distL="114300" distR="114300">
            <wp:extent cx="6563995" cy="8750935"/>
            <wp:effectExtent l="0" t="0" r="4445" b="12065"/>
            <wp:docPr id="40" name="图片 40" descr="48a156fdeeff6cc941e66a325b5fd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8a156fdeeff6cc941e66a325b5fd95"/>
                    <pic:cNvPicPr>
                      <a:picLocks noChangeAspect="1"/>
                    </pic:cNvPicPr>
                  </pic:nvPicPr>
                  <pic:blipFill>
                    <a:blip r:embed="rId14"/>
                    <a:srcRect l="5582" t="1586" b="7388"/>
                    <a:stretch>
                      <a:fillRect/>
                    </a:stretch>
                  </pic:blipFill>
                  <pic:spPr>
                    <a:xfrm>
                      <a:off x="0" y="0"/>
                      <a:ext cx="6563995" cy="8750935"/>
                    </a:xfrm>
                    <a:prstGeom prst="rect">
                      <a:avLst/>
                    </a:prstGeom>
                  </pic:spPr>
                </pic:pic>
              </a:graphicData>
            </a:graphic>
          </wp:inline>
        </w:drawing>
      </w:r>
      <w:r>
        <w:drawing>
          <wp:inline distT="0" distB="0" distL="114300" distR="114300">
            <wp:extent cx="6366510" cy="8832850"/>
            <wp:effectExtent l="0" t="0" r="3810" b="6350"/>
            <wp:docPr id="16" name="图片 16" descr="f42503ee8d3442cc389de8224eb26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42503ee8d3442cc389de8224eb264f"/>
                    <pic:cNvPicPr>
                      <a:picLocks noChangeAspect="1"/>
                    </pic:cNvPicPr>
                  </pic:nvPicPr>
                  <pic:blipFill>
                    <a:blip r:embed="rId15"/>
                    <a:stretch>
                      <a:fillRect/>
                    </a:stretch>
                  </pic:blipFill>
                  <pic:spPr>
                    <a:xfrm>
                      <a:off x="0" y="0"/>
                      <a:ext cx="6366510" cy="8832850"/>
                    </a:xfrm>
                    <a:prstGeom prst="rect">
                      <a:avLst/>
                    </a:prstGeom>
                  </pic:spPr>
                </pic:pic>
              </a:graphicData>
            </a:graphic>
          </wp:inline>
        </w:drawing>
      </w:r>
      <w:r>
        <w:drawing>
          <wp:inline distT="0" distB="0" distL="114300" distR="114300">
            <wp:extent cx="6474460" cy="8813165"/>
            <wp:effectExtent l="0" t="0" r="2540" b="10795"/>
            <wp:docPr id="34" name="图片 34" descr="3f2d5a422233606a2c32dd90a1e0f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f2d5a422233606a2c32dd90a1e0fa7"/>
                    <pic:cNvPicPr>
                      <a:picLocks noChangeAspect="1"/>
                    </pic:cNvPicPr>
                  </pic:nvPicPr>
                  <pic:blipFill>
                    <a:blip r:embed="rId16"/>
                    <a:srcRect l="2589" b="5251"/>
                    <a:stretch>
                      <a:fillRect/>
                    </a:stretch>
                  </pic:blipFill>
                  <pic:spPr>
                    <a:xfrm>
                      <a:off x="0" y="0"/>
                      <a:ext cx="6474460" cy="8813165"/>
                    </a:xfrm>
                    <a:prstGeom prst="rect">
                      <a:avLst/>
                    </a:prstGeom>
                  </pic:spPr>
                </pic:pic>
              </a:graphicData>
            </a:graphic>
          </wp:inline>
        </w:drawing>
      </w:r>
    </w:p>
    <w:p w14:paraId="63192164">
      <w:pPr>
        <w:pStyle w:val="20"/>
        <w:jc w:val="center"/>
        <w:outlineLvl w:val="0"/>
        <w:rPr>
          <w:rFonts w:hint="eastAsia" w:ascii="黑体" w:hAnsi="黑体" w:eastAsia="黑体"/>
          <w:snapToGrid w:val="0"/>
          <w:sz w:val="30"/>
          <w:szCs w:val="30"/>
        </w:rPr>
        <w:sectPr>
          <w:footerReference r:id="rId3" w:type="default"/>
          <w:pgSz w:w="11906" w:h="16838"/>
          <w:pgMar w:top="1440" w:right="1080" w:bottom="1440" w:left="1080"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131B0685">
      <w:pPr>
        <w:pStyle w:val="20"/>
        <w:jc w:val="center"/>
        <w:outlineLvl w:val="0"/>
        <w:rPr>
          <w:rFonts w:hint="eastAsia" w:ascii="黑体" w:hAnsi="黑体" w:eastAsia="黑体"/>
          <w:snapToGrid w:val="0"/>
          <w:sz w:val="30"/>
          <w:szCs w:val="30"/>
        </w:rPr>
      </w:pPr>
      <w:r>
        <w:rPr>
          <w:rFonts w:hint="eastAsia" w:ascii="黑体" w:hAnsi="黑体" w:eastAsia="黑体"/>
          <w:snapToGrid w:val="0"/>
          <w:sz w:val="30"/>
          <w:szCs w:val="30"/>
        </w:rPr>
        <w:t>一、建设项目基本情况</w:t>
      </w:r>
    </w:p>
    <w:tbl>
      <w:tblPr>
        <w:tblStyle w:val="23"/>
        <w:tblW w:w="914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422"/>
        <w:gridCol w:w="2597"/>
        <w:gridCol w:w="1627"/>
        <w:gridCol w:w="585"/>
        <w:gridCol w:w="2911"/>
      </w:tblGrid>
      <w:tr w14:paraId="2EAAE3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422" w:type="dxa"/>
            <w:noWrap w:val="0"/>
            <w:tcMar>
              <w:top w:w="16" w:type="dxa"/>
              <w:left w:w="16" w:type="dxa"/>
              <w:right w:w="16" w:type="dxa"/>
            </w:tcMar>
            <w:vAlign w:val="center"/>
          </w:tcPr>
          <w:p w14:paraId="2ED72F16">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建设项目</w:t>
            </w:r>
          </w:p>
          <w:p w14:paraId="4BC51020">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名称</w:t>
            </w:r>
          </w:p>
        </w:tc>
        <w:tc>
          <w:tcPr>
            <w:tcW w:w="7720" w:type="dxa"/>
            <w:gridSpan w:val="4"/>
            <w:noWrap w:val="0"/>
            <w:vAlign w:val="center"/>
          </w:tcPr>
          <w:p w14:paraId="03E986BD">
            <w:pPr>
              <w:adjustRightInd w:val="0"/>
              <w:snapToGrid w:val="0"/>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建筑垃圾回收再利用及水泥稳定土项目</w:t>
            </w:r>
          </w:p>
        </w:tc>
      </w:tr>
      <w:tr w14:paraId="3C81E1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1422" w:type="dxa"/>
            <w:noWrap w:val="0"/>
            <w:tcMar>
              <w:top w:w="16" w:type="dxa"/>
              <w:left w:w="16" w:type="dxa"/>
              <w:right w:w="16" w:type="dxa"/>
            </w:tcMar>
            <w:vAlign w:val="center"/>
          </w:tcPr>
          <w:p w14:paraId="0B909E8D">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项目代码</w:t>
            </w:r>
          </w:p>
        </w:tc>
        <w:tc>
          <w:tcPr>
            <w:tcW w:w="7720" w:type="dxa"/>
            <w:gridSpan w:val="4"/>
            <w:noWrap w:val="0"/>
            <w:vAlign w:val="center"/>
          </w:tcPr>
          <w:p w14:paraId="7752D28A">
            <w:pPr>
              <w:adjustRightInd w:val="0"/>
              <w:snapToGrid w:val="0"/>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2311-410422-04-01-468449</w:t>
            </w:r>
          </w:p>
        </w:tc>
      </w:tr>
      <w:tr w14:paraId="497A6B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32" w:hRule="atLeast"/>
          <w:jc w:val="center"/>
        </w:trPr>
        <w:tc>
          <w:tcPr>
            <w:tcW w:w="1422" w:type="dxa"/>
            <w:noWrap w:val="0"/>
            <w:tcMar>
              <w:top w:w="16" w:type="dxa"/>
              <w:left w:w="16" w:type="dxa"/>
              <w:right w:w="16" w:type="dxa"/>
            </w:tcMar>
            <w:vAlign w:val="center"/>
          </w:tcPr>
          <w:p w14:paraId="2C1936CD">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建设单位</w:t>
            </w:r>
          </w:p>
          <w:p w14:paraId="389E2E2C">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联系人</w:t>
            </w:r>
          </w:p>
        </w:tc>
        <w:tc>
          <w:tcPr>
            <w:tcW w:w="2597" w:type="dxa"/>
            <w:noWrap w:val="0"/>
            <w:vAlign w:val="center"/>
          </w:tcPr>
          <w:p w14:paraId="0418BEC2">
            <w:pPr>
              <w:adjustRightInd w:val="0"/>
              <w:snapToGrid w:val="0"/>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赵世强</w:t>
            </w:r>
          </w:p>
        </w:tc>
        <w:tc>
          <w:tcPr>
            <w:tcW w:w="2212" w:type="dxa"/>
            <w:gridSpan w:val="2"/>
            <w:noWrap w:val="0"/>
            <w:vAlign w:val="center"/>
          </w:tcPr>
          <w:p w14:paraId="25F2A923">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联系方式</w:t>
            </w:r>
          </w:p>
        </w:tc>
        <w:tc>
          <w:tcPr>
            <w:tcW w:w="2911" w:type="dxa"/>
            <w:noWrap w:val="0"/>
            <w:vAlign w:val="center"/>
          </w:tcPr>
          <w:p w14:paraId="1F49087F">
            <w:pPr>
              <w:adjustRightInd w:val="0"/>
              <w:snapToGrid w:val="0"/>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17656357888</w:t>
            </w:r>
          </w:p>
        </w:tc>
      </w:tr>
      <w:tr w14:paraId="0BC5CD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1422" w:type="dxa"/>
            <w:noWrap w:val="0"/>
            <w:tcMar>
              <w:top w:w="16" w:type="dxa"/>
              <w:left w:w="16" w:type="dxa"/>
              <w:right w:w="16" w:type="dxa"/>
            </w:tcMar>
            <w:vAlign w:val="center"/>
          </w:tcPr>
          <w:p w14:paraId="64B945A6">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建设地点</w:t>
            </w:r>
          </w:p>
        </w:tc>
        <w:tc>
          <w:tcPr>
            <w:tcW w:w="7720" w:type="dxa"/>
            <w:gridSpan w:val="4"/>
            <w:noWrap w:val="0"/>
            <w:vAlign w:val="center"/>
          </w:tcPr>
          <w:p w14:paraId="1DDF130D">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u w:val="none"/>
              </w:rPr>
              <w:t>河南省平顶山市叶县</w:t>
            </w:r>
            <w:r>
              <w:rPr>
                <w:rFonts w:hint="default" w:ascii="Times New Roman" w:hAnsi="Times New Roman" w:cs="Times New Roman"/>
                <w:sz w:val="24"/>
                <w:highlight w:val="none"/>
                <w:u w:val="none"/>
                <w:lang w:val="en-US" w:eastAsia="zh-CN"/>
              </w:rPr>
              <w:t>廉村镇湾张村东南地叶廉路北侧</w:t>
            </w:r>
          </w:p>
        </w:tc>
      </w:tr>
      <w:tr w14:paraId="41990D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26" w:hRule="atLeast"/>
          <w:jc w:val="center"/>
        </w:trPr>
        <w:tc>
          <w:tcPr>
            <w:tcW w:w="1422" w:type="dxa"/>
            <w:noWrap w:val="0"/>
            <w:tcMar>
              <w:top w:w="16" w:type="dxa"/>
              <w:left w:w="16" w:type="dxa"/>
              <w:right w:w="16" w:type="dxa"/>
            </w:tcMar>
            <w:vAlign w:val="center"/>
          </w:tcPr>
          <w:p w14:paraId="255614DD">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地理坐标</w:t>
            </w:r>
          </w:p>
        </w:tc>
        <w:tc>
          <w:tcPr>
            <w:tcW w:w="7720" w:type="dxa"/>
            <w:gridSpan w:val="4"/>
            <w:noWrap w:val="0"/>
            <w:vAlign w:val="center"/>
          </w:tcPr>
          <w:p w14:paraId="471488B9">
            <w:pPr>
              <w:jc w:val="center"/>
              <w:rPr>
                <w:rFonts w:hint="default" w:ascii="Times New Roman" w:hAnsi="Times New Roman" w:cs="Times New Roman"/>
                <w:sz w:val="24"/>
                <w:highlight w:val="none"/>
              </w:rPr>
            </w:pPr>
            <w:r>
              <w:rPr>
                <w:rFonts w:hint="default" w:ascii="Times New Roman" w:hAnsi="Times New Roman" w:cs="Times New Roman"/>
                <w:sz w:val="24"/>
                <w:highlight w:val="none"/>
                <w:u w:val="none"/>
              </w:rPr>
              <w:t>（113度2</w:t>
            </w:r>
            <w:r>
              <w:rPr>
                <w:rFonts w:hint="default" w:ascii="Times New Roman" w:hAnsi="Times New Roman" w:cs="Times New Roman"/>
                <w:sz w:val="24"/>
                <w:highlight w:val="none"/>
                <w:u w:val="none"/>
                <w:lang w:val="en-US" w:eastAsia="zh-CN"/>
              </w:rPr>
              <w:t>9</w:t>
            </w:r>
            <w:r>
              <w:rPr>
                <w:rFonts w:hint="default" w:ascii="Times New Roman" w:hAnsi="Times New Roman" w:cs="Times New Roman"/>
                <w:sz w:val="24"/>
                <w:highlight w:val="none"/>
                <w:u w:val="none"/>
              </w:rPr>
              <w:t>分</w:t>
            </w:r>
            <w:r>
              <w:rPr>
                <w:rFonts w:hint="default" w:ascii="Times New Roman" w:hAnsi="Times New Roman" w:cs="Times New Roman"/>
                <w:sz w:val="24"/>
                <w:highlight w:val="none"/>
                <w:u w:val="none"/>
                <w:lang w:val="en-US" w:eastAsia="zh-CN"/>
              </w:rPr>
              <w:t>14.332</w:t>
            </w:r>
            <w:r>
              <w:rPr>
                <w:rFonts w:hint="default" w:ascii="Times New Roman" w:hAnsi="Times New Roman" w:cs="Times New Roman"/>
                <w:sz w:val="24"/>
                <w:highlight w:val="none"/>
                <w:u w:val="none"/>
              </w:rPr>
              <w:t>秒，33度</w:t>
            </w:r>
            <w:r>
              <w:rPr>
                <w:rFonts w:hint="default" w:ascii="Times New Roman" w:hAnsi="Times New Roman" w:cs="Times New Roman"/>
                <w:sz w:val="24"/>
                <w:highlight w:val="none"/>
                <w:u w:val="none"/>
                <w:lang w:val="en-US" w:eastAsia="zh-CN"/>
              </w:rPr>
              <w:t>36</w:t>
            </w:r>
            <w:r>
              <w:rPr>
                <w:rFonts w:hint="default" w:ascii="Times New Roman" w:hAnsi="Times New Roman" w:cs="Times New Roman"/>
                <w:sz w:val="24"/>
                <w:highlight w:val="none"/>
                <w:u w:val="none"/>
              </w:rPr>
              <w:t>分</w:t>
            </w:r>
            <w:r>
              <w:rPr>
                <w:rFonts w:hint="default" w:ascii="Times New Roman" w:hAnsi="Times New Roman" w:cs="Times New Roman"/>
                <w:sz w:val="24"/>
                <w:highlight w:val="none"/>
                <w:u w:val="none"/>
                <w:lang w:val="en-US" w:eastAsia="zh-CN"/>
              </w:rPr>
              <w:t>48.582</w:t>
            </w:r>
            <w:r>
              <w:rPr>
                <w:rFonts w:hint="default" w:ascii="Times New Roman" w:hAnsi="Times New Roman" w:cs="Times New Roman"/>
                <w:sz w:val="24"/>
                <w:highlight w:val="none"/>
                <w:u w:val="none"/>
              </w:rPr>
              <w:t>秒）</w:t>
            </w:r>
          </w:p>
        </w:tc>
      </w:tr>
      <w:tr w14:paraId="56FED4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992" w:hRule="atLeast"/>
          <w:jc w:val="center"/>
        </w:trPr>
        <w:tc>
          <w:tcPr>
            <w:tcW w:w="1422" w:type="dxa"/>
            <w:noWrap w:val="0"/>
            <w:tcMar>
              <w:top w:w="16" w:type="dxa"/>
              <w:left w:w="16" w:type="dxa"/>
              <w:right w:w="16" w:type="dxa"/>
            </w:tcMar>
            <w:vAlign w:val="center"/>
          </w:tcPr>
          <w:p w14:paraId="655A3555">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国民经济</w:t>
            </w:r>
          </w:p>
          <w:p w14:paraId="424E35F1">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行业类别</w:t>
            </w:r>
          </w:p>
        </w:tc>
        <w:tc>
          <w:tcPr>
            <w:tcW w:w="2597" w:type="dxa"/>
            <w:noWrap w:val="0"/>
            <w:vAlign w:val="center"/>
          </w:tcPr>
          <w:p w14:paraId="4E6A1CFB">
            <w:pPr>
              <w:adjustRightInd w:val="0"/>
              <w:snapToGrid w:val="0"/>
              <w:jc w:val="center"/>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rPr>
              <w:t>C</w:t>
            </w:r>
            <w:r>
              <w:rPr>
                <w:rFonts w:hint="default" w:ascii="Times New Roman" w:hAnsi="Times New Roman" w:cs="Times New Roman"/>
                <w:sz w:val="24"/>
                <w:highlight w:val="none"/>
                <w:lang w:val="en-US" w:eastAsia="zh-CN"/>
              </w:rPr>
              <w:t>3029其他水泥类似制品制造</w:t>
            </w:r>
          </w:p>
          <w:p w14:paraId="0A0A9996">
            <w:pPr>
              <w:adjustRightInd w:val="0"/>
              <w:snapToGrid w:val="0"/>
              <w:jc w:val="center"/>
              <w:rPr>
                <w:rFonts w:hint="default" w:ascii="Times New Roman" w:hAnsi="Times New Roman" w:cs="Times New Roman" w:eastAsiaTheme="minorEastAsia"/>
                <w:b w:val="0"/>
                <w:bCs/>
                <w:sz w:val="24"/>
                <w:szCs w:val="24"/>
                <w:highlight w:val="none"/>
                <w:lang w:val="en-US" w:eastAsia="zh-CN"/>
              </w:rPr>
            </w:pPr>
            <w:r>
              <w:rPr>
                <w:rFonts w:hint="default" w:ascii="Times New Roman" w:hAnsi="Times New Roman" w:cs="Times New Roman" w:eastAsiaTheme="minorEastAsia"/>
                <w:b w:val="0"/>
                <w:bCs/>
                <w:sz w:val="24"/>
                <w:szCs w:val="24"/>
                <w:highlight w:val="none"/>
                <w:lang w:val="en-US" w:eastAsia="zh-CN"/>
              </w:rPr>
              <w:t>C3039其他建筑材料</w:t>
            </w:r>
          </w:p>
          <w:p w14:paraId="60EEEFE8">
            <w:pPr>
              <w:adjustRightInd w:val="0"/>
              <w:snapToGrid w:val="0"/>
              <w:jc w:val="center"/>
              <w:rPr>
                <w:rFonts w:hint="default" w:ascii="Times New Roman" w:hAnsi="Times New Roman" w:cs="Times New Roman" w:eastAsiaTheme="minorEastAsia"/>
                <w:b w:val="0"/>
                <w:bCs/>
                <w:sz w:val="24"/>
                <w:szCs w:val="24"/>
                <w:highlight w:val="none"/>
                <w:lang w:val="en-US" w:eastAsia="zh-CN"/>
              </w:rPr>
            </w:pPr>
            <w:bookmarkStart w:id="15" w:name="_GoBack"/>
            <w:bookmarkEnd w:id="15"/>
            <w:r>
              <w:rPr>
                <w:rFonts w:hint="default" w:ascii="Times New Roman" w:hAnsi="Times New Roman" w:cs="Times New Roman" w:eastAsiaTheme="minorEastAsia"/>
                <w:b w:val="0"/>
                <w:bCs/>
                <w:sz w:val="24"/>
                <w:szCs w:val="24"/>
                <w:highlight w:val="none"/>
                <w:lang w:val="en-US" w:eastAsia="zh-CN"/>
              </w:rPr>
              <w:t>制造</w:t>
            </w:r>
          </w:p>
          <w:p w14:paraId="0CB42B5D">
            <w:pPr>
              <w:adjustRightInd w:val="0"/>
              <w:snapToGrid w:val="0"/>
              <w:jc w:val="center"/>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lang w:val="en-US" w:eastAsia="zh-CN"/>
              </w:rPr>
              <w:t>N7723固体废物治理</w:t>
            </w:r>
          </w:p>
        </w:tc>
        <w:tc>
          <w:tcPr>
            <w:tcW w:w="1627" w:type="dxa"/>
            <w:noWrap w:val="0"/>
            <w:vAlign w:val="center"/>
          </w:tcPr>
          <w:p w14:paraId="61F3B701">
            <w:pPr>
              <w:adjustRightInd w:val="0"/>
              <w:snapToGrid w:val="0"/>
              <w:jc w:val="center"/>
              <w:rPr>
                <w:rFonts w:hint="default" w:ascii="Times New Roman" w:hAnsi="Times New Roman" w:cs="Times New Roman"/>
                <w:sz w:val="24"/>
                <w:highlight w:val="none"/>
              </w:rPr>
            </w:pPr>
            <w:bookmarkStart w:id="0" w:name="_Hlk49843745"/>
            <w:r>
              <w:rPr>
                <w:rFonts w:hint="default" w:ascii="Times New Roman" w:hAnsi="Times New Roman" w:cs="Times New Roman"/>
                <w:sz w:val="24"/>
                <w:highlight w:val="none"/>
              </w:rPr>
              <w:t>建设项目</w:t>
            </w:r>
          </w:p>
          <w:p w14:paraId="5DCDFF1C">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行业类别</w:t>
            </w:r>
            <w:bookmarkEnd w:id="0"/>
          </w:p>
        </w:tc>
        <w:tc>
          <w:tcPr>
            <w:tcW w:w="3496" w:type="dxa"/>
            <w:gridSpan w:val="2"/>
            <w:noWrap w:val="0"/>
            <w:vAlign w:val="center"/>
          </w:tcPr>
          <w:p w14:paraId="728E990F">
            <w:pPr>
              <w:adjustRightInd w:val="0"/>
              <w:snapToGrid w:val="0"/>
              <w:jc w:val="left"/>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eastAsia="zh-CN"/>
              </w:rPr>
              <w:t>二十</w:t>
            </w:r>
            <w:r>
              <w:rPr>
                <w:rFonts w:hint="default" w:ascii="Times New Roman" w:hAnsi="Times New Roman" w:cs="Times New Roman"/>
                <w:sz w:val="24"/>
                <w:highlight w:val="none"/>
                <w:lang w:val="en-US" w:eastAsia="zh-CN"/>
              </w:rPr>
              <w:t>七、非金属矿物制品业30-55石膏、水泥制品及类似制品制造302</w:t>
            </w:r>
            <w:r>
              <w:rPr>
                <w:rFonts w:hint="eastAsia" w:cs="Times New Roman"/>
                <w:sz w:val="24"/>
                <w:highlight w:val="none"/>
                <w:lang w:val="en-US" w:eastAsia="zh-CN"/>
              </w:rPr>
              <w:t>、</w:t>
            </w:r>
            <w:r>
              <w:rPr>
                <w:rFonts w:hint="default" w:ascii="Times New Roman" w:hAnsi="Times New Roman" w:cs="Times New Roman" w:eastAsiaTheme="minorEastAsia"/>
                <w:color w:val="auto"/>
                <w:sz w:val="24"/>
                <w:szCs w:val="24"/>
                <w:u w:val="none"/>
                <w:lang w:val="en-US" w:eastAsia="zh-CN"/>
              </w:rPr>
              <w:t>56砖瓦、石材等建筑材料制造303</w:t>
            </w:r>
          </w:p>
          <w:p w14:paraId="43F96B21">
            <w:pPr>
              <w:pStyle w:val="10"/>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szCs w:val="24"/>
                <w:highlight w:val="none"/>
                <w:u w:val="none"/>
              </w:rPr>
              <w:t>四十七、生态保护和环境治理业</w:t>
            </w:r>
            <w:r>
              <w:rPr>
                <w:rFonts w:hint="default" w:ascii="Times New Roman" w:hAnsi="Times New Roman" w:cs="Times New Roman"/>
                <w:sz w:val="24"/>
                <w:szCs w:val="24"/>
                <w:highlight w:val="none"/>
                <w:u w:val="none"/>
                <w:lang w:val="en-US" w:eastAsia="zh-CN"/>
              </w:rPr>
              <w:t xml:space="preserve">  103一般工业固体废物（含污水处理污泥）、建筑施工废弃物处置及综合利用</w:t>
            </w:r>
          </w:p>
        </w:tc>
      </w:tr>
      <w:tr w14:paraId="296CD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09" w:hRule="atLeast"/>
          <w:jc w:val="center"/>
        </w:trPr>
        <w:tc>
          <w:tcPr>
            <w:tcW w:w="1422" w:type="dxa"/>
            <w:noWrap w:val="0"/>
            <w:tcMar>
              <w:top w:w="16" w:type="dxa"/>
              <w:left w:w="16" w:type="dxa"/>
              <w:right w:w="16" w:type="dxa"/>
            </w:tcMar>
            <w:vAlign w:val="center"/>
          </w:tcPr>
          <w:p w14:paraId="09BF02E6">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建设性质</w:t>
            </w:r>
          </w:p>
        </w:tc>
        <w:tc>
          <w:tcPr>
            <w:tcW w:w="2597" w:type="dxa"/>
            <w:noWrap w:val="0"/>
            <w:vAlign w:val="center"/>
          </w:tcPr>
          <w:p w14:paraId="117F735B">
            <w:pPr>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F0A2"/>
            </w:r>
            <w:r>
              <w:rPr>
                <w:rFonts w:hint="default" w:ascii="Times New Roman" w:hAnsi="Times New Roman" w:cs="Times New Roman"/>
                <w:sz w:val="24"/>
                <w:highlight w:val="none"/>
              </w:rPr>
              <w:t>新建（迁建）</w:t>
            </w:r>
          </w:p>
          <w:p w14:paraId="70C83602">
            <w:pPr>
              <w:jc w:val="left"/>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改建</w:t>
            </w:r>
          </w:p>
          <w:p w14:paraId="7027A508">
            <w:pPr>
              <w:jc w:val="left"/>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扩建</w:t>
            </w:r>
          </w:p>
          <w:p w14:paraId="51F40FDC">
            <w:pPr>
              <w:jc w:val="left"/>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技术改造</w:t>
            </w:r>
          </w:p>
        </w:tc>
        <w:tc>
          <w:tcPr>
            <w:tcW w:w="1627" w:type="dxa"/>
            <w:noWrap w:val="0"/>
            <w:vAlign w:val="center"/>
          </w:tcPr>
          <w:p w14:paraId="2226E841">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建设项目</w:t>
            </w:r>
          </w:p>
          <w:p w14:paraId="7E0C6EB5">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申报情形</w:t>
            </w:r>
          </w:p>
        </w:tc>
        <w:tc>
          <w:tcPr>
            <w:tcW w:w="3496" w:type="dxa"/>
            <w:gridSpan w:val="2"/>
            <w:noWrap w:val="0"/>
            <w:vAlign w:val="center"/>
          </w:tcPr>
          <w:p w14:paraId="32415FBE">
            <w:pPr>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F0A2"/>
            </w:r>
            <w:r>
              <w:rPr>
                <w:rFonts w:hint="default" w:ascii="Times New Roman" w:hAnsi="Times New Roman" w:cs="Times New Roman"/>
                <w:sz w:val="24"/>
                <w:highlight w:val="none"/>
              </w:rPr>
              <w:t>首次申报项目</w:t>
            </w:r>
          </w:p>
          <w:p w14:paraId="47A575E4">
            <w:pPr>
              <w:jc w:val="left"/>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不予批准后再次申报项目</w:t>
            </w:r>
          </w:p>
          <w:p w14:paraId="342E8B6F">
            <w:pPr>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A3"/>
            </w:r>
            <w:r>
              <w:rPr>
                <w:rFonts w:hint="default" w:ascii="Times New Roman" w:hAnsi="Times New Roman" w:cs="Times New Roman"/>
                <w:sz w:val="24"/>
                <w:highlight w:val="none"/>
              </w:rPr>
              <w:t>超五年重新审核项目</w:t>
            </w:r>
          </w:p>
          <w:p w14:paraId="3482D8C0">
            <w:pPr>
              <w:jc w:val="left"/>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重大变动重新报批项目</w:t>
            </w:r>
          </w:p>
        </w:tc>
      </w:tr>
      <w:tr w14:paraId="7D5339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23" w:hRule="atLeast"/>
          <w:jc w:val="center"/>
        </w:trPr>
        <w:tc>
          <w:tcPr>
            <w:tcW w:w="1422" w:type="dxa"/>
            <w:noWrap w:val="0"/>
            <w:tcMar>
              <w:top w:w="16" w:type="dxa"/>
              <w:left w:w="16" w:type="dxa"/>
              <w:right w:w="16" w:type="dxa"/>
            </w:tcMar>
            <w:vAlign w:val="center"/>
          </w:tcPr>
          <w:p w14:paraId="0D1577A3">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项目审批（核准/备案）部门</w:t>
            </w:r>
          </w:p>
          <w:p w14:paraId="05E871A4">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（选填）</w:t>
            </w:r>
          </w:p>
        </w:tc>
        <w:tc>
          <w:tcPr>
            <w:tcW w:w="2597" w:type="dxa"/>
            <w:noWrap w:val="0"/>
            <w:vAlign w:val="center"/>
          </w:tcPr>
          <w:p w14:paraId="3B6FDCFF">
            <w:pPr>
              <w:adjustRightInd w:val="0"/>
              <w:snapToGrid w:val="0"/>
              <w:jc w:val="center"/>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叶县发展和改革</w:t>
            </w:r>
          </w:p>
          <w:p w14:paraId="122A28AA">
            <w:pPr>
              <w:adjustRightInd w:val="0"/>
              <w:snapToGrid w:val="0"/>
              <w:jc w:val="center"/>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lang w:eastAsia="zh-CN"/>
              </w:rPr>
              <w:t>委员会</w:t>
            </w:r>
          </w:p>
        </w:tc>
        <w:tc>
          <w:tcPr>
            <w:tcW w:w="1627" w:type="dxa"/>
            <w:noWrap w:val="0"/>
            <w:vAlign w:val="center"/>
          </w:tcPr>
          <w:p w14:paraId="671A6020">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项目审批（核准/备案）文号（选填）</w:t>
            </w:r>
          </w:p>
        </w:tc>
        <w:tc>
          <w:tcPr>
            <w:tcW w:w="3496" w:type="dxa"/>
            <w:gridSpan w:val="2"/>
            <w:noWrap w:val="0"/>
            <w:vAlign w:val="center"/>
          </w:tcPr>
          <w:p w14:paraId="0D9519B5">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lang w:val="en-US" w:eastAsia="zh-CN"/>
              </w:rPr>
              <w:t>2311-410422-04-01-468449</w:t>
            </w:r>
          </w:p>
        </w:tc>
      </w:tr>
      <w:tr w14:paraId="2154CE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08" w:hRule="atLeast"/>
          <w:jc w:val="center"/>
        </w:trPr>
        <w:tc>
          <w:tcPr>
            <w:tcW w:w="1422" w:type="dxa"/>
            <w:noWrap w:val="0"/>
            <w:tcMar>
              <w:top w:w="16" w:type="dxa"/>
              <w:left w:w="16" w:type="dxa"/>
              <w:right w:w="16" w:type="dxa"/>
            </w:tcMar>
            <w:vAlign w:val="center"/>
          </w:tcPr>
          <w:p w14:paraId="0AD8B7B9">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总投资</w:t>
            </w:r>
          </w:p>
          <w:p w14:paraId="14398D2E">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（万元）</w:t>
            </w:r>
          </w:p>
        </w:tc>
        <w:tc>
          <w:tcPr>
            <w:tcW w:w="2597" w:type="dxa"/>
            <w:noWrap w:val="0"/>
            <w:vAlign w:val="center"/>
          </w:tcPr>
          <w:p w14:paraId="0EED6FDB">
            <w:pPr>
              <w:adjustRightInd w:val="0"/>
              <w:snapToGrid w:val="0"/>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1000</w:t>
            </w:r>
          </w:p>
        </w:tc>
        <w:tc>
          <w:tcPr>
            <w:tcW w:w="1627" w:type="dxa"/>
            <w:noWrap w:val="0"/>
            <w:tcMar>
              <w:top w:w="16" w:type="dxa"/>
              <w:left w:w="16" w:type="dxa"/>
              <w:right w:w="16" w:type="dxa"/>
            </w:tcMar>
            <w:vAlign w:val="center"/>
          </w:tcPr>
          <w:p w14:paraId="04148801">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环保投资</w:t>
            </w:r>
          </w:p>
          <w:p w14:paraId="28A2676E">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（万元）</w:t>
            </w:r>
          </w:p>
        </w:tc>
        <w:tc>
          <w:tcPr>
            <w:tcW w:w="3496" w:type="dxa"/>
            <w:gridSpan w:val="2"/>
            <w:noWrap w:val="0"/>
            <w:vAlign w:val="center"/>
          </w:tcPr>
          <w:p w14:paraId="1935635F">
            <w:pPr>
              <w:adjustRightInd w:val="0"/>
              <w:snapToGrid w:val="0"/>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130</w:t>
            </w:r>
          </w:p>
        </w:tc>
      </w:tr>
      <w:tr w14:paraId="653E14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12" w:hRule="atLeast"/>
          <w:jc w:val="center"/>
        </w:trPr>
        <w:tc>
          <w:tcPr>
            <w:tcW w:w="1422" w:type="dxa"/>
            <w:noWrap w:val="0"/>
            <w:tcMar>
              <w:top w:w="16" w:type="dxa"/>
              <w:left w:w="16" w:type="dxa"/>
              <w:right w:w="16" w:type="dxa"/>
            </w:tcMar>
            <w:vAlign w:val="center"/>
          </w:tcPr>
          <w:p w14:paraId="721FBD6D">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环保投资占比（%）</w:t>
            </w:r>
          </w:p>
        </w:tc>
        <w:tc>
          <w:tcPr>
            <w:tcW w:w="2597" w:type="dxa"/>
            <w:noWrap w:val="0"/>
            <w:vAlign w:val="center"/>
          </w:tcPr>
          <w:p w14:paraId="234FECDF">
            <w:pPr>
              <w:adjustRightInd w:val="0"/>
              <w:snapToGrid w:val="0"/>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13.0</w:t>
            </w:r>
          </w:p>
        </w:tc>
        <w:tc>
          <w:tcPr>
            <w:tcW w:w="1627" w:type="dxa"/>
            <w:noWrap w:val="0"/>
            <w:tcMar>
              <w:top w:w="16" w:type="dxa"/>
              <w:left w:w="16" w:type="dxa"/>
              <w:right w:w="16" w:type="dxa"/>
            </w:tcMar>
            <w:vAlign w:val="center"/>
          </w:tcPr>
          <w:p w14:paraId="5DC58861">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施工工期</w:t>
            </w:r>
          </w:p>
        </w:tc>
        <w:tc>
          <w:tcPr>
            <w:tcW w:w="3496" w:type="dxa"/>
            <w:gridSpan w:val="2"/>
            <w:noWrap w:val="0"/>
            <w:vAlign w:val="center"/>
          </w:tcPr>
          <w:p w14:paraId="19A9A9AB">
            <w:pPr>
              <w:adjustRightInd w:val="0"/>
              <w:snapToGrid w:val="0"/>
              <w:jc w:val="center"/>
              <w:rPr>
                <w:rFonts w:hint="default" w:ascii="Times New Roman" w:hAnsi="Times New Roman" w:cs="Times New Roman"/>
                <w:sz w:val="24"/>
                <w:highlight w:val="none"/>
              </w:rPr>
            </w:pPr>
            <w:r>
              <w:rPr>
                <w:rFonts w:hint="eastAsia" w:cs="Times New Roman"/>
                <w:sz w:val="24"/>
                <w:highlight w:val="none"/>
                <w:lang w:val="en-US" w:eastAsia="zh-CN"/>
              </w:rPr>
              <w:t>三</w:t>
            </w:r>
            <w:r>
              <w:rPr>
                <w:rFonts w:hint="default" w:ascii="Times New Roman" w:hAnsi="Times New Roman" w:cs="Times New Roman"/>
                <w:sz w:val="24"/>
                <w:highlight w:val="none"/>
              </w:rPr>
              <w:t>个月</w:t>
            </w:r>
          </w:p>
        </w:tc>
      </w:tr>
      <w:tr w14:paraId="4A26C9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22" w:type="dxa"/>
            <w:noWrap w:val="0"/>
            <w:tcMar>
              <w:top w:w="16" w:type="dxa"/>
              <w:left w:w="16" w:type="dxa"/>
              <w:right w:w="16" w:type="dxa"/>
            </w:tcMar>
            <w:vAlign w:val="center"/>
          </w:tcPr>
          <w:p w14:paraId="1922E7E4">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是否开工</w:t>
            </w:r>
          </w:p>
          <w:p w14:paraId="51E3E8DE">
            <w:pPr>
              <w:adjustRightInd w:val="0"/>
              <w:snapToGrid w:val="0"/>
              <w:jc w:val="center"/>
              <w:rPr>
                <w:rFonts w:hint="default" w:ascii="Times New Roman" w:hAnsi="Times New Roman" w:cs="Times New Roman"/>
                <w:b w:val="0"/>
                <w:bCs/>
                <w:sz w:val="24"/>
                <w:highlight w:val="none"/>
              </w:rPr>
            </w:pPr>
            <w:r>
              <w:rPr>
                <w:rFonts w:hint="default" w:ascii="Times New Roman" w:hAnsi="Times New Roman" w:cs="Times New Roman"/>
                <w:b w:val="0"/>
                <w:bCs/>
                <w:sz w:val="24"/>
                <w:highlight w:val="none"/>
              </w:rPr>
              <w:t>建设</w:t>
            </w:r>
          </w:p>
        </w:tc>
        <w:tc>
          <w:tcPr>
            <w:tcW w:w="2597" w:type="dxa"/>
            <w:noWrap w:val="0"/>
            <w:vAlign w:val="center"/>
          </w:tcPr>
          <w:p w14:paraId="6CA4BE7A">
            <w:pPr>
              <w:adjustRightInd w:val="0"/>
              <w:snapToGrid w:val="0"/>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F0A2"/>
            </w:r>
            <w:r>
              <w:rPr>
                <w:rFonts w:hint="default" w:ascii="Times New Roman" w:hAnsi="Times New Roman" w:cs="Times New Roman"/>
                <w:sz w:val="24"/>
                <w:highlight w:val="none"/>
              </w:rPr>
              <w:t>否</w:t>
            </w:r>
          </w:p>
          <w:p w14:paraId="2E7754D5">
            <w:pPr>
              <w:adjustRightInd w:val="0"/>
              <w:snapToGrid w:val="0"/>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A3"/>
            </w:r>
            <w:r>
              <w:rPr>
                <w:rFonts w:hint="default" w:ascii="Times New Roman" w:hAnsi="Times New Roman" w:cs="Times New Roman"/>
                <w:sz w:val="24"/>
                <w:highlight w:val="none"/>
              </w:rPr>
              <w:t>是：</w:t>
            </w:r>
            <w:r>
              <w:rPr>
                <w:rFonts w:hint="default" w:ascii="Times New Roman" w:hAnsi="Times New Roman" w:cs="Times New Roman"/>
                <w:sz w:val="24"/>
                <w:highlight w:val="none"/>
                <w:u w:val="single"/>
                <w:lang w:val="en-US" w:eastAsia="zh-CN"/>
              </w:rPr>
              <w:t xml:space="preserve">    </w:t>
            </w:r>
            <w:r>
              <w:rPr>
                <w:rFonts w:hint="default" w:ascii="Times New Roman" w:hAnsi="Times New Roman" w:cs="Times New Roman"/>
                <w:sz w:val="24"/>
                <w:highlight w:val="none"/>
                <w:u w:val="single"/>
              </w:rPr>
              <w:t xml:space="preserve">    </w:t>
            </w:r>
          </w:p>
        </w:tc>
        <w:tc>
          <w:tcPr>
            <w:tcW w:w="1627" w:type="dxa"/>
            <w:noWrap w:val="0"/>
            <w:tcMar>
              <w:top w:w="16" w:type="dxa"/>
              <w:left w:w="16" w:type="dxa"/>
              <w:right w:w="16" w:type="dxa"/>
            </w:tcMar>
            <w:vAlign w:val="center"/>
          </w:tcPr>
          <w:p w14:paraId="047B30E2">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pacing w:val="-6"/>
                <w:sz w:val="24"/>
                <w:highlight w:val="none"/>
              </w:rPr>
              <w:t>用地面积（m</w:t>
            </w:r>
            <w:r>
              <w:rPr>
                <w:rFonts w:hint="default" w:ascii="Times New Roman" w:hAnsi="Times New Roman" w:cs="Times New Roman"/>
                <w:spacing w:val="-6"/>
                <w:sz w:val="24"/>
                <w:highlight w:val="none"/>
                <w:vertAlign w:val="superscript"/>
              </w:rPr>
              <w:t>2</w:t>
            </w:r>
            <w:r>
              <w:rPr>
                <w:rFonts w:hint="default" w:ascii="Times New Roman" w:hAnsi="Times New Roman" w:cs="Times New Roman"/>
                <w:spacing w:val="-6"/>
                <w:sz w:val="24"/>
                <w:highlight w:val="none"/>
              </w:rPr>
              <w:t>）</w:t>
            </w:r>
          </w:p>
        </w:tc>
        <w:tc>
          <w:tcPr>
            <w:tcW w:w="3496" w:type="dxa"/>
            <w:gridSpan w:val="2"/>
            <w:noWrap w:val="0"/>
            <w:vAlign w:val="center"/>
          </w:tcPr>
          <w:p w14:paraId="391C1405">
            <w:pPr>
              <w:adjustRightInd w:val="0"/>
              <w:snapToGrid w:val="0"/>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64</w:t>
            </w:r>
            <w:r>
              <w:rPr>
                <w:rFonts w:hint="eastAsia" w:cs="Times New Roman"/>
                <w:sz w:val="24"/>
                <w:highlight w:val="none"/>
                <w:lang w:val="en-US" w:eastAsia="zh-CN"/>
              </w:rPr>
              <w:t>69</w:t>
            </w:r>
          </w:p>
        </w:tc>
      </w:tr>
      <w:tr w14:paraId="60D749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1422" w:type="dxa"/>
            <w:noWrap w:val="0"/>
            <w:vAlign w:val="center"/>
          </w:tcPr>
          <w:p w14:paraId="77476FB5">
            <w:pPr>
              <w:autoSpaceDE w:val="0"/>
              <w:autoSpaceDN w:val="0"/>
              <w:adjustRightInd w:val="0"/>
              <w:snapToGrid w:val="0"/>
              <w:jc w:val="center"/>
              <w:rPr>
                <w:rFonts w:hint="default" w:ascii="Times New Roman" w:hAnsi="Times New Roman" w:cs="Times New Roman"/>
                <w:b w:val="0"/>
                <w:bCs/>
                <w:kern w:val="0"/>
                <w:sz w:val="24"/>
                <w:highlight w:val="none"/>
              </w:rPr>
            </w:pPr>
            <w:r>
              <w:rPr>
                <w:rFonts w:hint="default" w:ascii="Times New Roman" w:hAnsi="Times New Roman" w:cs="Times New Roman"/>
                <w:b w:val="0"/>
                <w:bCs/>
                <w:kern w:val="0"/>
                <w:sz w:val="24"/>
                <w:highlight w:val="none"/>
              </w:rPr>
              <w:t>专项评价</w:t>
            </w:r>
          </w:p>
          <w:p w14:paraId="3906B732">
            <w:pPr>
              <w:autoSpaceDE w:val="0"/>
              <w:autoSpaceDN w:val="0"/>
              <w:adjustRightInd w:val="0"/>
              <w:snapToGrid w:val="0"/>
              <w:jc w:val="center"/>
              <w:rPr>
                <w:rFonts w:hint="default" w:ascii="Times New Roman" w:hAnsi="Times New Roman" w:cs="Times New Roman"/>
                <w:b w:val="0"/>
                <w:bCs/>
                <w:kern w:val="0"/>
                <w:sz w:val="24"/>
                <w:highlight w:val="none"/>
              </w:rPr>
            </w:pPr>
            <w:r>
              <w:rPr>
                <w:rFonts w:hint="default" w:ascii="Times New Roman" w:hAnsi="Times New Roman" w:cs="Times New Roman"/>
                <w:b w:val="0"/>
                <w:bCs/>
                <w:kern w:val="0"/>
                <w:sz w:val="24"/>
                <w:highlight w:val="none"/>
              </w:rPr>
              <w:t>设置情况</w:t>
            </w:r>
          </w:p>
        </w:tc>
        <w:tc>
          <w:tcPr>
            <w:tcW w:w="7720" w:type="dxa"/>
            <w:gridSpan w:val="4"/>
            <w:noWrap w:val="0"/>
            <w:vAlign w:val="center"/>
          </w:tcPr>
          <w:p w14:paraId="21EEABFE">
            <w:pPr>
              <w:autoSpaceDE w:val="0"/>
              <w:autoSpaceDN w:val="0"/>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无</w:t>
            </w:r>
          </w:p>
        </w:tc>
      </w:tr>
      <w:tr w14:paraId="5E5A95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422" w:type="dxa"/>
            <w:noWrap w:val="0"/>
            <w:vAlign w:val="center"/>
          </w:tcPr>
          <w:p w14:paraId="75C55C92">
            <w:pPr>
              <w:autoSpaceDE w:val="0"/>
              <w:autoSpaceDN w:val="0"/>
              <w:adjustRightInd w:val="0"/>
              <w:snapToGrid w:val="0"/>
              <w:jc w:val="center"/>
              <w:rPr>
                <w:rFonts w:hint="default" w:ascii="Times New Roman" w:hAnsi="Times New Roman" w:cs="Times New Roman"/>
                <w:b w:val="0"/>
                <w:bCs/>
                <w:kern w:val="0"/>
                <w:sz w:val="24"/>
                <w:highlight w:val="none"/>
              </w:rPr>
            </w:pPr>
            <w:r>
              <w:rPr>
                <w:rFonts w:hint="default" w:ascii="Times New Roman" w:hAnsi="Times New Roman" w:cs="Times New Roman"/>
                <w:b w:val="0"/>
                <w:bCs/>
                <w:sz w:val="24"/>
                <w:highlight w:val="none"/>
              </w:rPr>
              <w:t>规划情况</w:t>
            </w:r>
          </w:p>
        </w:tc>
        <w:tc>
          <w:tcPr>
            <w:tcW w:w="7720" w:type="dxa"/>
            <w:gridSpan w:val="4"/>
            <w:noWrap w:val="0"/>
            <w:vAlign w:val="center"/>
          </w:tcPr>
          <w:p w14:paraId="7D3F2631">
            <w:pPr>
              <w:autoSpaceDE w:val="0"/>
              <w:autoSpaceDN w:val="0"/>
              <w:adjustRightInd w:val="0"/>
              <w:snapToGrid w:val="0"/>
              <w:spacing w:line="520" w:lineRule="exact"/>
              <w:jc w:val="center"/>
              <w:rPr>
                <w:rFonts w:hint="default" w:ascii="Times New Roman" w:hAnsi="Times New Roman" w:eastAsia="宋体" w:cs="Times New Roman"/>
                <w:kern w:val="0"/>
                <w:sz w:val="24"/>
                <w:highlight w:val="none"/>
                <w:lang w:val="en-US" w:eastAsia="zh-CN"/>
              </w:rPr>
            </w:pPr>
            <w:r>
              <w:rPr>
                <w:rFonts w:hint="default" w:ascii="Times New Roman" w:hAnsi="Times New Roman" w:cs="Times New Roman"/>
                <w:kern w:val="0"/>
                <w:sz w:val="24"/>
                <w:highlight w:val="none"/>
                <w:lang w:val="en-US" w:eastAsia="zh-CN"/>
              </w:rPr>
              <w:t>无</w:t>
            </w:r>
          </w:p>
        </w:tc>
      </w:tr>
      <w:tr w14:paraId="64160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422" w:type="dxa"/>
            <w:tcBorders>
              <w:right w:val="single" w:color="auto" w:sz="2" w:space="0"/>
            </w:tcBorders>
            <w:noWrap w:val="0"/>
            <w:vAlign w:val="center"/>
          </w:tcPr>
          <w:p w14:paraId="0D387C84">
            <w:pPr>
              <w:adjustRightInd w:val="0"/>
              <w:snapToGrid w:val="0"/>
              <w:jc w:val="center"/>
              <w:rPr>
                <w:rFonts w:hint="default" w:ascii="Times New Roman" w:hAnsi="Times New Roman" w:cs="Times New Roman"/>
                <w:b w:val="0"/>
                <w:bCs/>
                <w:kern w:val="0"/>
                <w:sz w:val="24"/>
                <w:highlight w:val="none"/>
              </w:rPr>
            </w:pPr>
            <w:r>
              <w:rPr>
                <w:rFonts w:hint="default" w:ascii="Times New Roman" w:hAnsi="Times New Roman" w:cs="Times New Roman"/>
                <w:b w:val="0"/>
                <w:bCs/>
                <w:sz w:val="24"/>
                <w:highlight w:val="none"/>
              </w:rPr>
              <w:t>规划环境影响评价情况</w:t>
            </w:r>
          </w:p>
        </w:tc>
        <w:tc>
          <w:tcPr>
            <w:tcW w:w="7720" w:type="dxa"/>
            <w:gridSpan w:val="4"/>
            <w:tcBorders>
              <w:left w:val="single" w:color="auto" w:sz="2" w:space="0"/>
            </w:tcBorders>
            <w:noWrap w:val="0"/>
            <w:vAlign w:val="center"/>
          </w:tcPr>
          <w:p w14:paraId="12E617B5">
            <w:pPr>
              <w:autoSpaceDE w:val="0"/>
              <w:autoSpaceDN w:val="0"/>
              <w:adjustRightInd w:val="0"/>
              <w:snapToGrid w:val="0"/>
              <w:spacing w:line="520" w:lineRule="exact"/>
              <w:jc w:val="center"/>
              <w:rPr>
                <w:rFonts w:hint="default" w:ascii="Times New Roman" w:hAnsi="Times New Roman" w:eastAsia="宋体" w:cs="Times New Roman"/>
                <w:kern w:val="0"/>
                <w:sz w:val="24"/>
                <w:highlight w:val="none"/>
                <w:lang w:val="en-US" w:eastAsia="zh-CN"/>
              </w:rPr>
            </w:pPr>
            <w:r>
              <w:rPr>
                <w:rFonts w:hint="default" w:ascii="Times New Roman" w:hAnsi="Times New Roman" w:cs="Times New Roman"/>
                <w:kern w:val="0"/>
                <w:sz w:val="24"/>
                <w:highlight w:val="none"/>
                <w:lang w:val="en-US" w:eastAsia="zh-CN"/>
              </w:rPr>
              <w:t>无</w:t>
            </w:r>
          </w:p>
        </w:tc>
      </w:tr>
      <w:tr w14:paraId="177B72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22" w:type="dxa"/>
            <w:tcBorders>
              <w:right w:val="single" w:color="auto" w:sz="2" w:space="0"/>
            </w:tcBorders>
            <w:noWrap w:val="0"/>
            <w:vAlign w:val="center"/>
          </w:tcPr>
          <w:p w14:paraId="2D3F3705">
            <w:pPr>
              <w:autoSpaceDE w:val="0"/>
              <w:autoSpaceDN w:val="0"/>
              <w:adjustRightInd w:val="0"/>
              <w:snapToGrid w:val="0"/>
              <w:jc w:val="center"/>
              <w:rPr>
                <w:rFonts w:hint="default" w:ascii="Times New Roman" w:hAnsi="Times New Roman" w:cs="Times New Roman"/>
                <w:b w:val="0"/>
                <w:bCs/>
                <w:kern w:val="0"/>
                <w:sz w:val="24"/>
                <w:highlight w:val="none"/>
              </w:rPr>
            </w:pPr>
            <w:r>
              <w:rPr>
                <w:rFonts w:hint="default" w:ascii="Times New Roman" w:hAnsi="Times New Roman" w:cs="Times New Roman"/>
                <w:b w:val="0"/>
                <w:bCs/>
                <w:kern w:val="0"/>
                <w:sz w:val="24"/>
                <w:highlight w:val="none"/>
              </w:rPr>
              <w:t>规划及规划环境影响评价符合性分析</w:t>
            </w:r>
          </w:p>
        </w:tc>
        <w:tc>
          <w:tcPr>
            <w:tcW w:w="7720" w:type="dxa"/>
            <w:gridSpan w:val="4"/>
            <w:tcBorders>
              <w:left w:val="single" w:color="auto" w:sz="2" w:space="0"/>
            </w:tcBorders>
            <w:noWrap w:val="0"/>
            <w:vAlign w:val="center"/>
          </w:tcPr>
          <w:p w14:paraId="42CFC133">
            <w:pPr>
              <w:autoSpaceDE w:val="0"/>
              <w:autoSpaceDN w:val="0"/>
              <w:adjustRightInd w:val="0"/>
              <w:snapToGrid w:val="0"/>
              <w:spacing w:line="520" w:lineRule="exact"/>
              <w:jc w:val="center"/>
              <w:rPr>
                <w:rFonts w:hint="default" w:ascii="Times New Roman" w:hAnsi="Times New Roman" w:eastAsia="宋体" w:cs="Times New Roman"/>
                <w:kern w:val="0"/>
                <w:sz w:val="24"/>
                <w:highlight w:val="none"/>
                <w:lang w:val="en-US" w:eastAsia="zh-CN"/>
              </w:rPr>
            </w:pPr>
            <w:r>
              <w:rPr>
                <w:rFonts w:hint="default" w:ascii="Times New Roman" w:hAnsi="Times New Roman" w:cs="Times New Roman"/>
                <w:kern w:val="0"/>
                <w:sz w:val="24"/>
                <w:highlight w:val="none"/>
                <w:lang w:val="en-US" w:eastAsia="zh-CN"/>
              </w:rPr>
              <w:t>无</w:t>
            </w:r>
          </w:p>
        </w:tc>
      </w:tr>
      <w:tr w14:paraId="7E62BD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237" w:hRule="atLeast"/>
          <w:jc w:val="center"/>
        </w:trPr>
        <w:tc>
          <w:tcPr>
            <w:tcW w:w="1422" w:type="dxa"/>
            <w:noWrap w:val="0"/>
            <w:vAlign w:val="center"/>
          </w:tcPr>
          <w:p w14:paraId="3D0E503B">
            <w:pPr>
              <w:autoSpaceDE w:val="0"/>
              <w:autoSpaceDN w:val="0"/>
              <w:adjustRightInd w:val="0"/>
              <w:snapToGrid w:val="0"/>
              <w:jc w:val="center"/>
              <w:rPr>
                <w:rFonts w:hint="default" w:ascii="Times New Roman" w:hAnsi="Times New Roman" w:cs="Times New Roman"/>
                <w:b/>
                <w:kern w:val="0"/>
                <w:sz w:val="24"/>
                <w:highlight w:val="none"/>
              </w:rPr>
            </w:pPr>
            <w:r>
              <w:rPr>
                <w:rFonts w:hint="default" w:ascii="Times New Roman" w:hAnsi="Times New Roman" w:cs="Times New Roman"/>
                <w:b/>
                <w:kern w:val="0"/>
                <w:sz w:val="24"/>
                <w:highlight w:val="none"/>
              </w:rPr>
              <w:t>其他符合</w:t>
            </w:r>
          </w:p>
          <w:p w14:paraId="0A44FA74">
            <w:pPr>
              <w:autoSpaceDE w:val="0"/>
              <w:autoSpaceDN w:val="0"/>
              <w:adjustRightInd w:val="0"/>
              <w:snapToGrid w:val="0"/>
              <w:jc w:val="center"/>
              <w:rPr>
                <w:rFonts w:hint="default" w:ascii="Times New Roman" w:hAnsi="Times New Roman" w:cs="Times New Roman"/>
                <w:b/>
                <w:kern w:val="0"/>
                <w:sz w:val="24"/>
                <w:highlight w:val="none"/>
              </w:rPr>
            </w:pPr>
            <w:r>
              <w:rPr>
                <w:rFonts w:hint="default" w:ascii="Times New Roman" w:hAnsi="Times New Roman" w:cs="Times New Roman"/>
                <w:b/>
                <w:kern w:val="0"/>
                <w:sz w:val="24"/>
                <w:highlight w:val="none"/>
              </w:rPr>
              <w:t>性分析</w:t>
            </w:r>
          </w:p>
        </w:tc>
        <w:tc>
          <w:tcPr>
            <w:tcW w:w="7720" w:type="dxa"/>
            <w:gridSpan w:val="4"/>
            <w:noWrap w:val="0"/>
            <w:vAlign w:val="center"/>
          </w:tcPr>
          <w:p w14:paraId="336F130F">
            <w:pPr>
              <w:pageBreakBefore w:val="0"/>
              <w:kinsoku/>
              <w:overflowPunct/>
              <w:topLinePunct w:val="0"/>
              <w:autoSpaceDE w:val="0"/>
              <w:autoSpaceDN w:val="0"/>
              <w:bidi w:val="0"/>
              <w:adjustRightInd w:val="0"/>
              <w:snapToGrid w:val="0"/>
              <w:spacing w:line="500" w:lineRule="exact"/>
              <w:ind w:firstLine="482" w:firstLineChars="200"/>
              <w:textAlignment w:val="auto"/>
              <w:rPr>
                <w:rFonts w:hint="default" w:ascii="Times New Roman" w:hAnsi="Times New Roman" w:cs="Times New Roman"/>
                <w:b/>
                <w:bCs/>
                <w:sz w:val="24"/>
                <w:highlight w:val="none"/>
              </w:rPr>
            </w:pPr>
            <w:r>
              <w:rPr>
                <w:rFonts w:hint="default" w:ascii="Times New Roman" w:hAnsi="Times New Roman" w:cs="Times New Roman"/>
                <w:b/>
                <w:bCs/>
                <w:sz w:val="24"/>
                <w:highlight w:val="none"/>
                <w:lang w:val="en-US" w:eastAsia="zh-CN"/>
              </w:rPr>
              <w:t>1</w:t>
            </w:r>
            <w:r>
              <w:rPr>
                <w:rFonts w:hint="default" w:ascii="Times New Roman" w:hAnsi="Times New Roman" w:cs="Times New Roman"/>
                <w:b/>
                <w:bCs/>
                <w:sz w:val="24"/>
                <w:highlight w:val="none"/>
              </w:rPr>
              <w:t>、</w:t>
            </w:r>
            <w:r>
              <w:rPr>
                <w:rFonts w:hint="default" w:ascii="Times New Roman" w:hAnsi="Times New Roman" w:cs="Times New Roman"/>
                <w:b/>
                <w:bCs/>
                <w:sz w:val="24"/>
                <w:highlight w:val="none"/>
                <w:lang w:val="en-US" w:eastAsia="zh-CN"/>
              </w:rPr>
              <w:t>报告表</w:t>
            </w:r>
            <w:r>
              <w:rPr>
                <w:rFonts w:hint="default" w:ascii="Times New Roman" w:hAnsi="Times New Roman" w:cs="Times New Roman"/>
                <w:b/>
                <w:bCs/>
                <w:sz w:val="24"/>
                <w:highlight w:val="none"/>
              </w:rPr>
              <w:t>编制依据</w:t>
            </w:r>
          </w:p>
          <w:p w14:paraId="6F20D0EC">
            <w:pPr>
              <w:keepNext w:val="0"/>
              <w:keepLines w:val="0"/>
              <w:pageBreakBefore w:val="0"/>
              <w:widowControl/>
              <w:kinsoku/>
              <w:wordWrap/>
              <w:overflowPunct/>
              <w:topLinePunct w:val="0"/>
              <w:bidi w:val="0"/>
              <w:adjustRightInd/>
              <w:snapToGrid/>
              <w:spacing w:line="500" w:lineRule="exact"/>
              <w:ind w:firstLine="480" w:firstLineChars="200"/>
              <w:jc w:val="left"/>
              <w:textAlignment w:val="auto"/>
              <w:rPr>
                <w:rFonts w:hint="default" w:ascii="Times New Roman" w:hAnsi="Times New Roman" w:cs="Times New Roman"/>
                <w:sz w:val="24"/>
                <w:highlight w:val="none"/>
                <w:u w:val="none"/>
                <w:lang w:val="en-US" w:eastAsia="zh-CN"/>
              </w:rPr>
            </w:pPr>
            <w:r>
              <w:rPr>
                <w:rFonts w:hint="default" w:ascii="Times New Roman" w:hAnsi="Times New Roman" w:cs="Times New Roman"/>
                <w:sz w:val="24"/>
                <w:highlight w:val="none"/>
                <w:u w:val="none"/>
                <w:lang w:val="en-US" w:eastAsia="zh-CN"/>
              </w:rPr>
              <w:t>本项目共有两条生产线，其中一条为砂石生产线，这条生产线所需的原料有废</w:t>
            </w:r>
            <w:r>
              <w:rPr>
                <w:rFonts w:hint="eastAsia" w:cs="Times New Roman"/>
                <w:sz w:val="24"/>
                <w:highlight w:val="none"/>
                <w:u w:val="none"/>
                <w:lang w:val="en-US" w:eastAsia="zh-CN"/>
              </w:rPr>
              <w:t>矿石</w:t>
            </w:r>
            <w:r>
              <w:rPr>
                <w:rFonts w:hint="default" w:ascii="Times New Roman" w:hAnsi="Times New Roman" w:cs="Times New Roman"/>
                <w:sz w:val="24"/>
                <w:highlight w:val="none"/>
                <w:u w:val="none"/>
                <w:lang w:val="en-US" w:eastAsia="zh-CN"/>
              </w:rPr>
              <w:t>、建筑废料</w:t>
            </w:r>
            <w:r>
              <w:rPr>
                <w:rFonts w:hint="eastAsia" w:cs="Times New Roman"/>
                <w:sz w:val="24"/>
                <w:highlight w:val="none"/>
                <w:u w:val="none"/>
                <w:lang w:val="en-US" w:eastAsia="zh-CN"/>
              </w:rPr>
              <w:t>（民用）</w:t>
            </w:r>
            <w:r>
              <w:rPr>
                <w:rFonts w:hint="default" w:ascii="Times New Roman" w:hAnsi="Times New Roman" w:cs="Times New Roman"/>
                <w:sz w:val="24"/>
                <w:highlight w:val="none"/>
                <w:u w:val="none"/>
                <w:lang w:val="en-US" w:eastAsia="zh-CN"/>
              </w:rPr>
              <w:t>、水等，砂石生产工业流程为原材料、</w:t>
            </w:r>
            <w:r>
              <w:rPr>
                <w:rFonts w:hint="eastAsia" w:cs="Times New Roman"/>
                <w:sz w:val="24"/>
                <w:highlight w:val="none"/>
                <w:u w:val="none"/>
                <w:lang w:val="en-US" w:eastAsia="zh-CN"/>
              </w:rPr>
              <w:t>给料、颚</w:t>
            </w:r>
            <w:r>
              <w:rPr>
                <w:rFonts w:hint="default" w:ascii="Times New Roman" w:hAnsi="Times New Roman" w:cs="Times New Roman"/>
                <w:sz w:val="24"/>
                <w:highlight w:val="none"/>
                <w:u w:val="none"/>
                <w:lang w:val="en-US" w:eastAsia="zh-CN"/>
              </w:rPr>
              <w:t>破、筛分、粉碎、</w:t>
            </w:r>
            <w:r>
              <w:rPr>
                <w:rFonts w:hint="eastAsia" w:cs="Times New Roman"/>
                <w:sz w:val="24"/>
                <w:highlight w:val="none"/>
                <w:u w:val="none"/>
                <w:lang w:val="en-US" w:eastAsia="zh-CN"/>
              </w:rPr>
              <w:t>水</w:t>
            </w:r>
            <w:r>
              <w:rPr>
                <w:rFonts w:hint="default" w:ascii="Times New Roman" w:hAnsi="Times New Roman" w:cs="Times New Roman"/>
                <w:sz w:val="24"/>
                <w:highlight w:val="none"/>
                <w:u w:val="none"/>
                <w:lang w:val="en-US" w:eastAsia="zh-CN"/>
              </w:rPr>
              <w:t>洗、脱水、成品；</w:t>
            </w:r>
            <w:r>
              <w:rPr>
                <w:rFonts w:hint="default" w:ascii="Times New Roman" w:hAnsi="Times New Roman" w:cs="Times New Roman"/>
                <w:color w:val="000000"/>
                <w:sz w:val="24"/>
                <w:highlight w:val="none"/>
                <w:u w:val="none"/>
              </w:rPr>
              <w:t>按照《中华人民共和国环境保护法》、《中华人民共和国环境影响评价法》以及《建设项目环境保护管理条例》（国务院第682号令）的要求，并查阅《建设项目环境影响评价分类管理名录》（2021年版）（生态环境部令第16号），本项目</w:t>
            </w:r>
            <w:r>
              <w:rPr>
                <w:rFonts w:hint="default" w:ascii="Times New Roman" w:hAnsi="Times New Roman" w:cs="Times New Roman"/>
                <w:color w:val="000000"/>
                <w:sz w:val="24"/>
                <w:highlight w:val="none"/>
                <w:u w:val="none"/>
                <w:lang w:val="en-US" w:eastAsia="zh-CN"/>
              </w:rPr>
              <w:t>砂石生产</w:t>
            </w:r>
            <w:r>
              <w:rPr>
                <w:rFonts w:hint="default" w:ascii="Times New Roman" w:hAnsi="Times New Roman" w:cs="Times New Roman"/>
                <w:color w:val="000000"/>
                <w:sz w:val="24"/>
                <w:highlight w:val="none"/>
                <w:u w:val="none"/>
              </w:rPr>
              <w:t>属于属于“</w:t>
            </w:r>
            <w:r>
              <w:rPr>
                <w:rFonts w:hint="eastAsia" w:cs="Times New Roman"/>
                <w:color w:val="000000"/>
                <w:sz w:val="24"/>
                <w:highlight w:val="none"/>
                <w:u w:val="none"/>
                <w:lang w:val="en-US" w:eastAsia="zh-CN"/>
              </w:rPr>
              <w:t>二十七</w:t>
            </w:r>
            <w:r>
              <w:rPr>
                <w:rFonts w:hint="default" w:ascii="Times New Roman" w:hAnsi="Times New Roman" w:cs="Times New Roman"/>
                <w:sz w:val="24"/>
                <w:szCs w:val="24"/>
                <w:highlight w:val="none"/>
                <w:u w:val="none"/>
              </w:rPr>
              <w:t>、</w:t>
            </w:r>
            <w:r>
              <w:rPr>
                <w:rFonts w:hint="eastAsia" w:cs="Times New Roman"/>
                <w:sz w:val="24"/>
                <w:szCs w:val="24"/>
                <w:highlight w:val="none"/>
                <w:u w:val="none"/>
                <w:lang w:val="en-US" w:eastAsia="zh-CN"/>
              </w:rPr>
              <w:t>非金属矿物制品业</w:t>
            </w:r>
            <w:r>
              <w:rPr>
                <w:rFonts w:hint="default" w:ascii="Times New Roman" w:hAnsi="Times New Roman" w:cs="Times New Roman"/>
                <w:sz w:val="24"/>
                <w:szCs w:val="24"/>
                <w:highlight w:val="none"/>
                <w:u w:val="none"/>
                <w:lang w:val="en-US" w:eastAsia="zh-CN"/>
              </w:rPr>
              <w:t xml:space="preserve"> </w:t>
            </w:r>
            <w:r>
              <w:rPr>
                <w:rFonts w:hint="eastAsia" w:cs="Times New Roman"/>
                <w:sz w:val="24"/>
                <w:szCs w:val="24"/>
                <w:highlight w:val="none"/>
                <w:u w:val="none"/>
                <w:lang w:val="en-US" w:eastAsia="zh-CN"/>
              </w:rPr>
              <w:t>30</w:t>
            </w:r>
            <w:r>
              <w:rPr>
                <w:rFonts w:hint="default" w:ascii="Times New Roman" w:hAnsi="Times New Roman" w:cs="Times New Roman"/>
                <w:sz w:val="24"/>
                <w:szCs w:val="24"/>
                <w:highlight w:val="none"/>
                <w:u w:val="none"/>
                <w:lang w:val="en-US" w:eastAsia="zh-CN"/>
              </w:rPr>
              <w:t>-</w:t>
            </w:r>
            <w:r>
              <w:rPr>
                <w:rFonts w:hint="default" w:ascii="Times New Roman" w:hAnsi="Times New Roman" w:cs="Times New Roman" w:eastAsiaTheme="minorEastAsia"/>
                <w:color w:val="000000"/>
                <w:sz w:val="24"/>
                <w:szCs w:val="24"/>
                <w:u w:val="none"/>
                <w:lang w:val="en-US" w:eastAsia="zh-CN"/>
              </w:rPr>
              <w:t>56</w:t>
            </w:r>
            <w:r>
              <w:rPr>
                <w:rFonts w:hint="default" w:ascii="Times New Roman" w:hAnsi="Times New Roman" w:cs="Times New Roman" w:eastAsiaTheme="minorEastAsia"/>
                <w:color w:val="000000"/>
                <w:sz w:val="24"/>
                <w:szCs w:val="24"/>
                <w:u w:val="none"/>
              </w:rPr>
              <w:t>砖瓦、石材等建</w:t>
            </w:r>
            <w:r>
              <w:rPr>
                <w:rFonts w:hint="default" w:ascii="Times New Roman" w:hAnsi="Times New Roman" w:cs="Times New Roman" w:eastAsiaTheme="minorEastAsia"/>
                <w:color w:val="auto"/>
                <w:sz w:val="24"/>
                <w:szCs w:val="24"/>
                <w:u w:val="none"/>
              </w:rPr>
              <w:t>筑材料制造</w:t>
            </w:r>
            <w:r>
              <w:rPr>
                <w:rFonts w:hint="default" w:ascii="Times New Roman" w:hAnsi="Times New Roman" w:cs="Times New Roman" w:eastAsiaTheme="minorEastAsia"/>
                <w:color w:val="auto"/>
                <w:sz w:val="24"/>
                <w:szCs w:val="24"/>
                <w:u w:val="none"/>
                <w:lang w:val="en-US" w:eastAsia="zh-CN"/>
              </w:rPr>
              <w:t>303</w:t>
            </w:r>
            <w:r>
              <w:rPr>
                <w:rFonts w:hint="default" w:ascii="Times New Roman" w:hAnsi="Times New Roman" w:cs="Times New Roman"/>
                <w:color w:val="000000"/>
                <w:sz w:val="24"/>
                <w:highlight w:val="none"/>
                <w:u w:val="none"/>
              </w:rPr>
              <w:t>”中</w:t>
            </w:r>
            <w:r>
              <w:rPr>
                <w:rFonts w:hint="default" w:ascii="Times New Roman" w:hAnsi="Times New Roman" w:cs="Times New Roman"/>
                <w:color w:val="000000"/>
                <w:sz w:val="24"/>
                <w:highlight w:val="none"/>
                <w:u w:val="none"/>
                <w:lang w:val="en-US" w:eastAsia="zh-CN"/>
              </w:rPr>
              <w:t>的</w:t>
            </w:r>
            <w:r>
              <w:rPr>
                <w:rFonts w:hint="default" w:ascii="Times New Roman" w:hAnsi="Times New Roman" w:cs="Times New Roman"/>
                <w:color w:val="000000"/>
                <w:sz w:val="24"/>
                <w:highlight w:val="none"/>
                <w:u w:val="none"/>
              </w:rPr>
              <w:t>“</w:t>
            </w:r>
            <w:r>
              <w:rPr>
                <w:rFonts w:hint="default" w:ascii="Times New Roman" w:hAnsi="Times New Roman" w:cs="Times New Roman" w:eastAsiaTheme="minorEastAsia"/>
                <w:color w:val="auto"/>
                <w:sz w:val="24"/>
                <w:szCs w:val="24"/>
                <w:u w:val="none"/>
                <w:lang w:val="en-US" w:eastAsia="zh-CN"/>
              </w:rPr>
              <w:t>其他建筑材料制造</w:t>
            </w:r>
            <w:r>
              <w:rPr>
                <w:rFonts w:hint="default" w:ascii="Times New Roman" w:hAnsi="Times New Roman" w:cs="Times New Roman"/>
                <w:color w:val="000000"/>
                <w:sz w:val="24"/>
                <w:highlight w:val="none"/>
                <w:u w:val="none"/>
              </w:rPr>
              <w:t>”</w:t>
            </w:r>
            <w:r>
              <w:rPr>
                <w:rFonts w:hint="eastAsia" w:cs="Times New Roman"/>
                <w:color w:val="000000"/>
                <w:sz w:val="24"/>
                <w:highlight w:val="none"/>
                <w:u w:val="none"/>
                <w:lang w:val="en-US" w:eastAsia="zh-CN"/>
              </w:rPr>
              <w:t>和</w:t>
            </w:r>
            <w:r>
              <w:rPr>
                <w:rFonts w:hint="default" w:ascii="Times New Roman" w:hAnsi="Times New Roman" w:cs="Times New Roman"/>
                <w:color w:val="000000"/>
                <w:sz w:val="24"/>
                <w:highlight w:val="none"/>
                <w:u w:val="none"/>
              </w:rPr>
              <w:t>“</w:t>
            </w:r>
            <w:r>
              <w:rPr>
                <w:rFonts w:hint="default" w:ascii="Times New Roman" w:hAnsi="Times New Roman" w:cs="Times New Roman"/>
                <w:sz w:val="24"/>
                <w:szCs w:val="24"/>
                <w:highlight w:val="none"/>
                <w:u w:val="none"/>
              </w:rPr>
              <w:t>四十七、生态保护和环境治理业</w:t>
            </w:r>
            <w:r>
              <w:rPr>
                <w:rFonts w:hint="default" w:ascii="Times New Roman" w:hAnsi="Times New Roman" w:cs="Times New Roman"/>
                <w:sz w:val="24"/>
                <w:szCs w:val="24"/>
                <w:highlight w:val="none"/>
                <w:u w:val="none"/>
                <w:lang w:val="en-US" w:eastAsia="zh-CN"/>
              </w:rPr>
              <w:t xml:space="preserve"> 103一般工业固体废物（含污水处理污泥）、建筑施工废弃物处置及综合利用</w:t>
            </w:r>
            <w:r>
              <w:rPr>
                <w:rFonts w:hint="default" w:ascii="Times New Roman" w:hAnsi="Times New Roman" w:cs="Times New Roman"/>
                <w:color w:val="000000"/>
                <w:sz w:val="24"/>
                <w:highlight w:val="none"/>
                <w:u w:val="none"/>
              </w:rPr>
              <w:t>”中</w:t>
            </w:r>
            <w:r>
              <w:rPr>
                <w:rFonts w:hint="default" w:ascii="Times New Roman" w:hAnsi="Times New Roman" w:cs="Times New Roman"/>
                <w:color w:val="000000"/>
                <w:sz w:val="24"/>
                <w:highlight w:val="none"/>
                <w:u w:val="none"/>
                <w:lang w:val="en-US" w:eastAsia="zh-CN"/>
              </w:rPr>
              <w:t>的</w:t>
            </w:r>
            <w:r>
              <w:rPr>
                <w:rFonts w:hint="default" w:ascii="Times New Roman" w:hAnsi="Times New Roman" w:cs="Times New Roman"/>
                <w:color w:val="000000"/>
                <w:sz w:val="24"/>
                <w:highlight w:val="none"/>
                <w:u w:val="none"/>
              </w:rPr>
              <w:t>“</w:t>
            </w:r>
            <w:r>
              <w:rPr>
                <w:rFonts w:hint="default" w:ascii="Times New Roman" w:hAnsi="Times New Roman" w:cs="Times New Roman"/>
                <w:color w:val="000000"/>
                <w:sz w:val="24"/>
                <w:highlight w:val="none"/>
                <w:u w:val="none"/>
                <w:lang w:val="en-US" w:eastAsia="zh-CN"/>
              </w:rPr>
              <w:t>其他</w:t>
            </w:r>
            <w:r>
              <w:rPr>
                <w:rFonts w:hint="default" w:ascii="Times New Roman" w:hAnsi="Times New Roman" w:cs="Times New Roman"/>
                <w:color w:val="000000"/>
                <w:sz w:val="24"/>
                <w:highlight w:val="none"/>
                <w:u w:val="none"/>
              </w:rPr>
              <w:t>”，应编制环境影响报告表</w:t>
            </w:r>
            <w:r>
              <w:rPr>
                <w:rFonts w:hint="default" w:ascii="Times New Roman" w:hAnsi="Times New Roman" w:cs="Times New Roman"/>
                <w:sz w:val="24"/>
                <w:highlight w:val="none"/>
                <w:u w:val="none"/>
              </w:rPr>
              <w:t>。</w:t>
            </w:r>
          </w:p>
          <w:p w14:paraId="541A9F43">
            <w:pPr>
              <w:keepNext w:val="0"/>
              <w:keepLines w:val="0"/>
              <w:pageBreakBefore w:val="0"/>
              <w:widowControl/>
              <w:kinsoku/>
              <w:wordWrap/>
              <w:overflowPunct/>
              <w:topLinePunct w:val="0"/>
              <w:bidi w:val="0"/>
              <w:adjustRightInd/>
              <w:snapToGrid/>
              <w:spacing w:line="500" w:lineRule="exact"/>
              <w:ind w:firstLine="480" w:firstLineChars="200"/>
              <w:jc w:val="left"/>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另一条为水泥稳定土生产线，这条生产线所需要原料有</w:t>
            </w:r>
            <w:r>
              <w:rPr>
                <w:rFonts w:hint="eastAsia" w:cs="Times New Roman"/>
                <w:sz w:val="24"/>
                <w:highlight w:val="none"/>
                <w:lang w:val="en-US" w:eastAsia="zh-CN"/>
              </w:rPr>
              <w:t>沙子</w:t>
            </w:r>
            <w:r>
              <w:rPr>
                <w:rFonts w:hint="default" w:ascii="Times New Roman" w:hAnsi="Times New Roman" w:cs="Times New Roman"/>
                <w:sz w:val="24"/>
                <w:highlight w:val="none"/>
                <w:lang w:val="en-US" w:eastAsia="zh-CN"/>
              </w:rPr>
              <w:t>、水泥、石粉、水等，水泥稳定土工业流程是原材料、</w:t>
            </w:r>
            <w:r>
              <w:rPr>
                <w:rFonts w:hint="eastAsia" w:cs="Times New Roman"/>
                <w:sz w:val="24"/>
                <w:highlight w:val="none"/>
                <w:lang w:val="en-US" w:eastAsia="zh-CN"/>
              </w:rPr>
              <w:t>给料、上料</w:t>
            </w:r>
            <w:r>
              <w:rPr>
                <w:rFonts w:hint="default" w:ascii="Times New Roman" w:hAnsi="Times New Roman" w:cs="Times New Roman"/>
                <w:sz w:val="24"/>
                <w:highlight w:val="none"/>
                <w:lang w:val="en-US" w:eastAsia="zh-CN"/>
              </w:rPr>
              <w:t>计量、搅拌、分装</w:t>
            </w:r>
            <w:r>
              <w:rPr>
                <w:rFonts w:hint="eastAsia" w:cs="Times New Roman"/>
                <w:sz w:val="24"/>
                <w:highlight w:val="none"/>
                <w:lang w:val="en-US" w:eastAsia="zh-CN"/>
              </w:rPr>
              <w:t>运输</w:t>
            </w:r>
            <w:r>
              <w:rPr>
                <w:rFonts w:hint="default" w:ascii="Times New Roman" w:hAnsi="Times New Roman" w:cs="Times New Roman"/>
                <w:sz w:val="24"/>
                <w:highlight w:val="none"/>
                <w:lang w:val="en-US" w:eastAsia="zh-CN"/>
              </w:rPr>
              <w:t>；</w:t>
            </w:r>
            <w:r>
              <w:rPr>
                <w:rFonts w:hint="default" w:ascii="Times New Roman" w:hAnsi="Times New Roman" w:cs="Times New Roman"/>
                <w:color w:val="000000"/>
                <w:sz w:val="24"/>
                <w:highlight w:val="none"/>
              </w:rPr>
              <w:t>按照《中华人民共和国环境保护法》、《中华人民共和国环境影响评价法》以及《建设项目环境保护管理条例》（国务院第682号令）的要求，并查阅《建设项目环境影响评价分类管理名录》（2021年版）（生态环境部令第16号），本项目</w:t>
            </w:r>
            <w:r>
              <w:rPr>
                <w:rFonts w:hint="default" w:ascii="Times New Roman" w:hAnsi="Times New Roman" w:cs="Times New Roman"/>
                <w:color w:val="000000"/>
                <w:sz w:val="24"/>
                <w:highlight w:val="none"/>
                <w:lang w:val="en-US" w:eastAsia="zh-CN"/>
              </w:rPr>
              <w:t>水泥稳定土生产</w:t>
            </w:r>
            <w:r>
              <w:rPr>
                <w:rFonts w:hint="default" w:ascii="Times New Roman" w:hAnsi="Times New Roman" w:cs="Times New Roman"/>
                <w:color w:val="000000"/>
                <w:sz w:val="24"/>
                <w:highlight w:val="none"/>
              </w:rPr>
              <w:t>属于“</w:t>
            </w:r>
            <w:r>
              <w:rPr>
                <w:rFonts w:hint="default" w:ascii="Times New Roman" w:hAnsi="Times New Roman" w:cs="Times New Roman"/>
                <w:color w:val="000000"/>
                <w:sz w:val="24"/>
                <w:highlight w:val="none"/>
                <w:lang w:val="en-US" w:eastAsia="zh-CN"/>
              </w:rPr>
              <w:t>二十七</w:t>
            </w:r>
            <w:r>
              <w:rPr>
                <w:rFonts w:hint="default" w:ascii="Times New Roman" w:hAnsi="Times New Roman" w:cs="Times New Roman"/>
                <w:color w:val="000000"/>
                <w:sz w:val="24"/>
                <w:highlight w:val="none"/>
              </w:rPr>
              <w:t>、</w:t>
            </w:r>
            <w:r>
              <w:rPr>
                <w:rFonts w:hint="default" w:ascii="Times New Roman" w:hAnsi="Times New Roman" w:cs="Times New Roman"/>
                <w:color w:val="000000"/>
                <w:sz w:val="24"/>
                <w:highlight w:val="none"/>
                <w:lang w:val="en-US" w:eastAsia="zh-CN"/>
              </w:rPr>
              <w:t>非金属矿物制品业30</w:t>
            </w:r>
            <w:r>
              <w:rPr>
                <w:rFonts w:hint="default" w:ascii="Times New Roman" w:hAnsi="Times New Roman" w:cs="Times New Roman"/>
                <w:color w:val="000000"/>
                <w:sz w:val="24"/>
                <w:highlight w:val="none"/>
              </w:rPr>
              <w:t>”中“</w:t>
            </w:r>
            <w:r>
              <w:rPr>
                <w:rFonts w:hint="default" w:ascii="Times New Roman" w:hAnsi="Times New Roman" w:cs="Times New Roman"/>
                <w:color w:val="000000"/>
                <w:sz w:val="24"/>
                <w:highlight w:val="none"/>
                <w:lang w:val="en-US" w:eastAsia="zh-CN"/>
              </w:rPr>
              <w:t>55</w:t>
            </w:r>
            <w:r>
              <w:rPr>
                <w:rFonts w:hint="default" w:ascii="Times New Roman" w:hAnsi="Times New Roman" w:cs="Times New Roman"/>
                <w:color w:val="000000"/>
                <w:sz w:val="24"/>
                <w:highlight w:val="none"/>
              </w:rPr>
              <w:t xml:space="preserve"> </w:t>
            </w:r>
            <w:r>
              <w:rPr>
                <w:rFonts w:hint="default" w:ascii="Times New Roman" w:hAnsi="Times New Roman" w:cs="Times New Roman"/>
                <w:color w:val="000000"/>
                <w:sz w:val="24"/>
                <w:highlight w:val="none"/>
                <w:lang w:val="en-US" w:eastAsia="zh-CN"/>
              </w:rPr>
              <w:t>石膏、水泥制品机类似制品制造302</w:t>
            </w:r>
            <w:r>
              <w:rPr>
                <w:rFonts w:hint="default" w:ascii="Times New Roman" w:hAnsi="Times New Roman" w:cs="Times New Roman"/>
                <w:color w:val="000000"/>
                <w:sz w:val="24"/>
                <w:highlight w:val="none"/>
              </w:rPr>
              <w:t>”中</w:t>
            </w:r>
            <w:r>
              <w:rPr>
                <w:rFonts w:hint="default" w:ascii="Times New Roman" w:hAnsi="Times New Roman" w:cs="Times New Roman"/>
                <w:color w:val="000000"/>
                <w:sz w:val="24"/>
                <w:highlight w:val="none"/>
                <w:lang w:val="en-US" w:eastAsia="zh-CN"/>
              </w:rPr>
              <w:t>的</w:t>
            </w:r>
            <w:r>
              <w:rPr>
                <w:rFonts w:hint="default" w:ascii="Times New Roman" w:hAnsi="Times New Roman" w:cs="Times New Roman"/>
                <w:color w:val="000000"/>
                <w:sz w:val="24"/>
                <w:highlight w:val="none"/>
              </w:rPr>
              <w:t>“</w:t>
            </w:r>
            <w:r>
              <w:rPr>
                <w:rFonts w:hint="default" w:ascii="Times New Roman" w:hAnsi="Times New Roman" w:cs="Times New Roman"/>
                <w:color w:val="000000"/>
                <w:sz w:val="24"/>
                <w:highlight w:val="none"/>
                <w:lang w:val="en-US" w:eastAsia="zh-CN"/>
              </w:rPr>
              <w:t>C3029其他水泥类似制品制造</w:t>
            </w:r>
            <w:r>
              <w:rPr>
                <w:rFonts w:hint="default" w:ascii="Times New Roman" w:hAnsi="Times New Roman" w:cs="Times New Roman"/>
                <w:color w:val="000000"/>
                <w:sz w:val="24"/>
                <w:highlight w:val="none"/>
              </w:rPr>
              <w:t>”，应编制环境影响报告表</w:t>
            </w:r>
            <w:r>
              <w:rPr>
                <w:rFonts w:hint="default" w:ascii="Times New Roman" w:hAnsi="Times New Roman" w:cs="Times New Roman"/>
                <w:sz w:val="24"/>
                <w:highlight w:val="none"/>
              </w:rPr>
              <w:t>。</w:t>
            </w:r>
          </w:p>
          <w:p w14:paraId="7CB0336B">
            <w:pPr>
              <w:keepNext w:val="0"/>
              <w:keepLines w:val="0"/>
              <w:pageBreakBefore w:val="0"/>
              <w:widowControl/>
              <w:kinsoku/>
              <w:wordWrap/>
              <w:overflowPunct/>
              <w:topLinePunct w:val="0"/>
              <w:bidi w:val="0"/>
              <w:adjustRightInd/>
              <w:snapToGrid/>
              <w:spacing w:line="500" w:lineRule="exact"/>
              <w:ind w:firstLine="482" w:firstLineChars="200"/>
              <w:jc w:val="left"/>
              <w:textAlignment w:val="auto"/>
              <w:rPr>
                <w:rFonts w:hint="default" w:ascii="Times New Roman" w:hAnsi="Times New Roman" w:cs="Times New Roman"/>
                <w:b/>
                <w:sz w:val="24"/>
                <w:highlight w:val="none"/>
              </w:rPr>
            </w:pPr>
            <w:r>
              <w:rPr>
                <w:rFonts w:hint="default" w:ascii="Times New Roman" w:hAnsi="Times New Roman" w:cs="Times New Roman"/>
                <w:b/>
                <w:sz w:val="24"/>
                <w:highlight w:val="none"/>
                <w:lang w:val="en-US" w:eastAsia="zh-CN"/>
              </w:rPr>
              <w:t>2</w:t>
            </w:r>
            <w:r>
              <w:rPr>
                <w:rFonts w:hint="default" w:ascii="Times New Roman" w:hAnsi="Times New Roman" w:cs="Times New Roman"/>
                <w:b/>
                <w:sz w:val="24"/>
                <w:highlight w:val="none"/>
              </w:rPr>
              <w:t>、产业政策</w:t>
            </w:r>
            <w:r>
              <w:rPr>
                <w:rFonts w:hint="default" w:ascii="Times New Roman" w:hAnsi="Times New Roman" w:cs="Times New Roman"/>
                <w:b/>
                <w:sz w:val="24"/>
                <w:highlight w:val="none"/>
                <w:lang w:val="en-US" w:eastAsia="zh-CN"/>
              </w:rPr>
              <w:t>相符</w:t>
            </w:r>
            <w:r>
              <w:rPr>
                <w:rFonts w:hint="default" w:ascii="Times New Roman" w:hAnsi="Times New Roman" w:cs="Times New Roman"/>
                <w:b/>
                <w:sz w:val="24"/>
                <w:highlight w:val="none"/>
              </w:rPr>
              <w:t>性分析</w:t>
            </w:r>
          </w:p>
          <w:p w14:paraId="76A0C16F">
            <w:pPr>
              <w:keepNext w:val="0"/>
              <w:keepLines w:val="0"/>
              <w:pageBreakBefore w:val="0"/>
              <w:widowControl w:val="0"/>
              <w:kinsoku/>
              <w:wordWrap w:val="0"/>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sz w:val="24"/>
                <w:highlight w:val="none"/>
                <w:lang w:val="en-US" w:eastAsia="zh-CN"/>
              </w:rPr>
              <w:t>本项目共有两条生产线，一条为砂石生产线，另一条为水泥稳定土生产线，</w:t>
            </w:r>
            <w:r>
              <w:rPr>
                <w:rFonts w:hint="default" w:ascii="Times New Roman" w:hAnsi="Times New Roman" w:cs="Times New Roman"/>
                <w:color w:val="000000"/>
                <w:kern w:val="0"/>
                <w:sz w:val="24"/>
                <w:highlight w:val="none"/>
              </w:rPr>
              <w:t>经查阅《产业结构调整指导目录（20</w:t>
            </w:r>
            <w:r>
              <w:rPr>
                <w:rFonts w:hint="default" w:ascii="Times New Roman" w:hAnsi="Times New Roman" w:cs="Times New Roman"/>
                <w:color w:val="000000"/>
                <w:kern w:val="0"/>
                <w:sz w:val="24"/>
                <w:highlight w:val="none"/>
                <w:lang w:val="en-US" w:eastAsia="zh-CN"/>
              </w:rPr>
              <w:t>24</w:t>
            </w:r>
            <w:r>
              <w:rPr>
                <w:rFonts w:hint="default" w:ascii="Times New Roman" w:hAnsi="Times New Roman" w:cs="Times New Roman"/>
                <w:color w:val="000000"/>
                <w:kern w:val="0"/>
                <w:sz w:val="24"/>
                <w:highlight w:val="none"/>
              </w:rPr>
              <w:t>年本）》，本项目</w:t>
            </w:r>
            <w:r>
              <w:rPr>
                <w:rFonts w:hint="default" w:ascii="Times New Roman" w:hAnsi="Times New Roman" w:cs="Times New Roman"/>
                <w:color w:val="000000"/>
                <w:kern w:val="0"/>
                <w:sz w:val="24"/>
                <w:highlight w:val="none"/>
                <w:lang w:val="en-US" w:eastAsia="zh-CN"/>
              </w:rPr>
              <w:t>水泥稳定土生产线为允许类，砂石生产线</w:t>
            </w:r>
            <w:r>
              <w:rPr>
                <w:rFonts w:hint="default" w:ascii="Times New Roman" w:hAnsi="Times New Roman" w:cs="Times New Roman"/>
                <w:color w:val="000000"/>
                <w:kern w:val="0"/>
                <w:sz w:val="24"/>
                <w:highlight w:val="none"/>
              </w:rPr>
              <w:t>属于“第一类、鼓励类”中“第十二项、建材”中“第</w:t>
            </w:r>
            <w:r>
              <w:rPr>
                <w:rFonts w:hint="default" w:ascii="Times New Roman" w:hAnsi="Times New Roman" w:cs="Times New Roman"/>
                <w:color w:val="000000"/>
                <w:kern w:val="0"/>
                <w:sz w:val="24"/>
                <w:highlight w:val="none"/>
                <w:lang w:val="en-US" w:eastAsia="zh-CN"/>
              </w:rPr>
              <w:t>9</w:t>
            </w:r>
            <w:r>
              <w:rPr>
                <w:rFonts w:hint="default" w:ascii="Times New Roman" w:hAnsi="Times New Roman" w:cs="Times New Roman"/>
                <w:color w:val="000000"/>
                <w:kern w:val="0"/>
                <w:sz w:val="24"/>
                <w:highlight w:val="none"/>
              </w:rPr>
              <w:t>条</w:t>
            </w:r>
            <w:r>
              <w:rPr>
                <w:rFonts w:hint="default" w:ascii="Times New Roman" w:hAnsi="Times New Roman" w:cs="Times New Roman"/>
                <w:color w:val="000000"/>
                <w:kern w:val="0"/>
                <w:sz w:val="24"/>
                <w:highlight w:val="none"/>
                <w:lang w:val="en-US" w:eastAsia="zh-CN"/>
              </w:rPr>
              <w:t xml:space="preserve"> </w:t>
            </w:r>
            <w:r>
              <w:rPr>
                <w:rFonts w:hint="default" w:ascii="Times New Roman" w:hAnsi="Times New Roman" w:eastAsia="宋体" w:cs="Times New Roman"/>
                <w:sz w:val="24"/>
                <w:szCs w:val="24"/>
                <w:highlight w:val="none"/>
              </w:rPr>
              <w:t>不低于20万块/日（含）新型烧结砖瓦生产线协同处置大宗废弃物工艺技术及产品的研发与应用；工业副产磷石膏高效净化提质及高值化综合利用技术；利用矿山尾矿、建筑废弃物、工业废弃物、城市污泥、江河湖（渠）海淤泥等大宗废弃物无害化生产制备砂石骨料、结构混凝土用高强陶粒、功能陶粒、墙体材料等建材及其工艺技术装备开发</w:t>
            </w:r>
            <w:r>
              <w:rPr>
                <w:rFonts w:hint="default" w:ascii="Times New Roman" w:hAnsi="Times New Roman" w:cs="Times New Roman"/>
                <w:color w:val="000000"/>
                <w:kern w:val="0"/>
                <w:sz w:val="24"/>
                <w:highlight w:val="none"/>
                <w:lang w:eastAsia="zh-CN"/>
              </w:rPr>
              <w:t>。</w:t>
            </w:r>
            <w:r>
              <w:rPr>
                <w:rFonts w:hint="default" w:ascii="Times New Roman" w:hAnsi="Times New Roman" w:cs="Times New Roman"/>
                <w:color w:val="000000"/>
                <w:kern w:val="0"/>
                <w:sz w:val="24"/>
                <w:highlight w:val="none"/>
              </w:rPr>
              <w:t>”；且项目已在叶县发展和改革委员会备案（见附件2），项目代码为：</w:t>
            </w:r>
            <w:r>
              <w:rPr>
                <w:rFonts w:hint="default" w:ascii="Times New Roman" w:hAnsi="Times New Roman" w:cs="Times New Roman"/>
                <w:sz w:val="24"/>
                <w:highlight w:val="none"/>
                <w:lang w:val="en-US" w:eastAsia="zh-CN"/>
              </w:rPr>
              <w:t>2311-410422-04-01-468449，</w:t>
            </w:r>
            <w:r>
              <w:rPr>
                <w:rFonts w:hint="default" w:ascii="Times New Roman" w:hAnsi="Times New Roman" w:cs="Times New Roman"/>
                <w:sz w:val="24"/>
                <w:highlight w:val="none"/>
              </w:rPr>
              <w:t>建设性质为新建，由此可知，项目建设符合国家当前产业政策。</w:t>
            </w:r>
          </w:p>
          <w:p w14:paraId="21EF5897">
            <w:pPr>
              <w:pageBreakBefore w:val="0"/>
              <w:widowControl w:val="0"/>
              <w:kinsoku/>
              <w:wordWrap/>
              <w:overflowPunct/>
              <w:topLinePunct w:val="0"/>
              <w:autoSpaceDE w:val="0"/>
              <w:autoSpaceDN w:val="0"/>
              <w:bidi w:val="0"/>
              <w:adjustRightInd w:val="0"/>
              <w:snapToGrid w:val="0"/>
              <w:spacing w:line="500" w:lineRule="exact"/>
              <w:ind w:firstLine="482" w:firstLineChars="200"/>
              <w:textAlignment w:val="auto"/>
              <w:rPr>
                <w:rFonts w:hint="default" w:ascii="Times New Roman" w:hAnsi="Times New Roman" w:cs="Times New Roman"/>
                <w:b/>
                <w:bCs/>
                <w:color w:val="000000"/>
                <w:kern w:val="0"/>
                <w:sz w:val="24"/>
                <w:highlight w:val="none"/>
              </w:rPr>
            </w:pPr>
            <w:r>
              <w:rPr>
                <w:rFonts w:hint="default" w:ascii="Times New Roman" w:hAnsi="Times New Roman" w:cs="Times New Roman"/>
                <w:b/>
                <w:bCs/>
                <w:color w:val="000000"/>
                <w:kern w:val="0"/>
                <w:sz w:val="24"/>
                <w:highlight w:val="none"/>
                <w:lang w:val="en-US" w:eastAsia="zh-CN"/>
              </w:rPr>
              <w:t>3</w:t>
            </w:r>
            <w:r>
              <w:rPr>
                <w:rFonts w:hint="default" w:ascii="Times New Roman" w:hAnsi="Times New Roman" w:cs="Times New Roman"/>
                <w:b/>
                <w:bCs/>
                <w:color w:val="000000"/>
                <w:kern w:val="0"/>
                <w:sz w:val="24"/>
                <w:highlight w:val="none"/>
              </w:rPr>
              <w:t>、备案相符性分析</w:t>
            </w:r>
          </w:p>
          <w:p w14:paraId="11C85F35">
            <w:pPr>
              <w:pStyle w:val="2"/>
              <w:pageBreakBefore w:val="0"/>
              <w:widowControl w:val="0"/>
              <w:kinsoku/>
              <w:wordWrap/>
              <w:overflowPunct/>
              <w:topLinePunct w:val="0"/>
              <w:bidi w:val="0"/>
              <w:spacing w:before="0" w:after="0" w:line="500" w:lineRule="exact"/>
              <w:ind w:firstLine="480" w:firstLineChars="200"/>
              <w:textAlignment w:val="auto"/>
              <w:rPr>
                <w:rFonts w:hint="default" w:ascii="Times New Roman" w:hAnsi="Times New Roman" w:cs="Times New Roman"/>
                <w:b w:val="0"/>
                <w:bCs/>
                <w:highlight w:val="none"/>
                <w:lang w:val="en-US" w:eastAsia="zh-CN"/>
              </w:rPr>
            </w:pPr>
            <w:r>
              <w:rPr>
                <w:rFonts w:hint="default" w:ascii="Times New Roman" w:hAnsi="Times New Roman" w:cs="Times New Roman"/>
                <w:b w:val="0"/>
                <w:bCs/>
                <w:color w:val="000000"/>
                <w:kern w:val="0"/>
                <w:sz w:val="24"/>
                <w:highlight w:val="none"/>
                <w:lang w:val="zh-CN"/>
              </w:rPr>
              <w:t>本项目拟</w:t>
            </w:r>
            <w:r>
              <w:rPr>
                <w:rFonts w:hint="default" w:ascii="Times New Roman" w:hAnsi="Times New Roman" w:cs="Times New Roman"/>
                <w:b w:val="0"/>
                <w:bCs/>
                <w:color w:val="000000"/>
                <w:kern w:val="0"/>
                <w:sz w:val="24"/>
                <w:highlight w:val="none"/>
                <w:lang w:val="en-US" w:eastAsia="zh-CN"/>
              </w:rPr>
              <w:t>实际</w:t>
            </w:r>
            <w:r>
              <w:rPr>
                <w:rFonts w:hint="default" w:ascii="Times New Roman" w:hAnsi="Times New Roman" w:cs="Times New Roman"/>
                <w:b w:val="0"/>
                <w:bCs/>
                <w:color w:val="000000"/>
                <w:kern w:val="0"/>
                <w:sz w:val="24"/>
                <w:highlight w:val="none"/>
                <w:lang w:val="zh-CN"/>
              </w:rPr>
              <w:t>建</w:t>
            </w:r>
            <w:r>
              <w:rPr>
                <w:rFonts w:hint="default" w:ascii="Times New Roman" w:hAnsi="Times New Roman" w:cs="Times New Roman"/>
                <w:b w:val="0"/>
                <w:bCs/>
                <w:color w:val="000000"/>
                <w:kern w:val="0"/>
                <w:sz w:val="24"/>
                <w:highlight w:val="none"/>
                <w:lang w:val="en-US" w:eastAsia="zh-CN"/>
              </w:rPr>
              <w:t>设</w:t>
            </w:r>
            <w:r>
              <w:rPr>
                <w:rFonts w:hint="default" w:ascii="Times New Roman" w:hAnsi="Times New Roman" w:cs="Times New Roman"/>
                <w:b w:val="0"/>
                <w:bCs/>
                <w:color w:val="000000"/>
                <w:kern w:val="0"/>
                <w:sz w:val="24"/>
                <w:highlight w:val="none"/>
                <w:lang w:val="zh-CN"/>
              </w:rPr>
              <w:t>内容与备案相符性分析见下表。</w:t>
            </w:r>
          </w:p>
          <w:p w14:paraId="4C7C7772">
            <w:pPr>
              <w:pStyle w:val="10"/>
              <w:keepNext w:val="0"/>
              <w:keepLines w:val="0"/>
              <w:pageBreakBefore w:val="0"/>
              <w:widowControl w:val="0"/>
              <w:kinsoku/>
              <w:wordWrap/>
              <w:overflowPunct/>
              <w:topLinePunct w:val="0"/>
              <w:autoSpaceDE/>
              <w:autoSpaceDN/>
              <w:bidi w:val="0"/>
              <w:spacing w:line="500" w:lineRule="exact"/>
              <w:ind w:left="0" w:lef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eastAsia="黑体" w:cs="Times New Roman"/>
                <w:sz w:val="24"/>
                <w:szCs w:val="24"/>
                <w:highlight w:val="none"/>
                <w:lang w:val="en-US" w:eastAsia="zh-CN"/>
              </w:rPr>
              <w:t>表1-1  项目拟实际建设内容与备案相符性分析一览表</w:t>
            </w:r>
          </w:p>
          <w:tbl>
            <w:tblPr>
              <w:tblStyle w:val="23"/>
              <w:tblW w:w="7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988"/>
              <w:gridCol w:w="2575"/>
              <w:gridCol w:w="2935"/>
              <w:gridCol w:w="740"/>
            </w:tblGrid>
            <w:tr w14:paraId="5A6B3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90" w:hRule="atLeast"/>
                <w:jc w:val="center"/>
              </w:trPr>
              <w:tc>
                <w:tcPr>
                  <w:tcW w:w="988" w:type="dxa"/>
                  <w:tcBorders>
                    <w:tl2br w:val="nil"/>
                    <w:tr2bl w:val="nil"/>
                  </w:tcBorders>
                  <w:vAlign w:val="center"/>
                </w:tcPr>
                <w:p w14:paraId="48CCB972">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项目</w:t>
                  </w:r>
                </w:p>
              </w:tc>
              <w:tc>
                <w:tcPr>
                  <w:tcW w:w="2575" w:type="dxa"/>
                  <w:tcBorders>
                    <w:tl2br w:val="nil"/>
                    <w:tr2bl w:val="nil"/>
                  </w:tcBorders>
                  <w:vAlign w:val="center"/>
                </w:tcPr>
                <w:p w14:paraId="7E54DFFE">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备案内容</w:t>
                  </w:r>
                </w:p>
              </w:tc>
              <w:tc>
                <w:tcPr>
                  <w:tcW w:w="2935" w:type="dxa"/>
                  <w:tcBorders>
                    <w:tl2br w:val="nil"/>
                    <w:tr2bl w:val="nil"/>
                  </w:tcBorders>
                  <w:vAlign w:val="center"/>
                </w:tcPr>
                <w:p w14:paraId="1DA4116B">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highlight w:val="none"/>
                    </w:rPr>
                  </w:pPr>
                  <w:r>
                    <w:rPr>
                      <w:rFonts w:hint="default" w:ascii="Times New Roman" w:hAnsi="Times New Roman" w:cs="Times New Roman"/>
                      <w:b/>
                      <w:bCs/>
                      <w:highlight w:val="none"/>
                      <w:lang w:val="en-US" w:eastAsia="zh-CN"/>
                    </w:rPr>
                    <w:t>拟实际</w:t>
                  </w:r>
                  <w:r>
                    <w:rPr>
                      <w:rFonts w:hint="default" w:ascii="Times New Roman" w:hAnsi="Times New Roman" w:eastAsia="宋体" w:cs="Times New Roman"/>
                      <w:b/>
                      <w:bCs/>
                      <w:highlight w:val="none"/>
                    </w:rPr>
                    <w:t>建设内容</w:t>
                  </w:r>
                </w:p>
              </w:tc>
              <w:tc>
                <w:tcPr>
                  <w:tcW w:w="740" w:type="dxa"/>
                  <w:tcBorders>
                    <w:tl2br w:val="nil"/>
                    <w:tr2bl w:val="nil"/>
                  </w:tcBorders>
                  <w:vAlign w:val="center"/>
                </w:tcPr>
                <w:p w14:paraId="7BA2ECC9">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是否</w:t>
                  </w:r>
                </w:p>
                <w:p w14:paraId="09A42EC3">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符合</w:t>
                  </w:r>
                </w:p>
              </w:tc>
            </w:tr>
            <w:tr w14:paraId="5154F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53" w:hRule="atLeast"/>
                <w:jc w:val="center"/>
              </w:trPr>
              <w:tc>
                <w:tcPr>
                  <w:tcW w:w="988" w:type="dxa"/>
                  <w:tcBorders>
                    <w:tl2br w:val="nil"/>
                    <w:tr2bl w:val="nil"/>
                  </w:tcBorders>
                  <w:vAlign w:val="center"/>
                </w:tcPr>
                <w:p w14:paraId="7B669C33">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建设单位</w:t>
                  </w:r>
                </w:p>
              </w:tc>
              <w:tc>
                <w:tcPr>
                  <w:tcW w:w="2575" w:type="dxa"/>
                  <w:tcBorders>
                    <w:tl2br w:val="nil"/>
                    <w:tr2bl w:val="nil"/>
                  </w:tcBorders>
                  <w:vAlign w:val="center"/>
                </w:tcPr>
                <w:p w14:paraId="07EB96AB">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河南省昆仲工程有限</w:t>
                  </w:r>
                </w:p>
                <w:p w14:paraId="44BA2142">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责任公司</w:t>
                  </w:r>
                </w:p>
              </w:tc>
              <w:tc>
                <w:tcPr>
                  <w:tcW w:w="2935" w:type="dxa"/>
                  <w:tcBorders>
                    <w:tl2br w:val="nil"/>
                    <w:tr2bl w:val="nil"/>
                  </w:tcBorders>
                  <w:vAlign w:val="center"/>
                </w:tcPr>
                <w:p w14:paraId="3D08B125">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河南省昆仲工程有限</w:t>
                  </w:r>
                </w:p>
                <w:p w14:paraId="78AA8622">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highlight w:val="none"/>
                      <w:lang w:val="en-US" w:eastAsia="zh-CN"/>
                    </w:rPr>
                    <w:t>责任公司</w:t>
                  </w:r>
                </w:p>
              </w:tc>
              <w:tc>
                <w:tcPr>
                  <w:tcW w:w="740" w:type="dxa"/>
                  <w:tcBorders>
                    <w:tl2br w:val="nil"/>
                    <w:tr2bl w:val="nil"/>
                  </w:tcBorders>
                  <w:vAlign w:val="center"/>
                </w:tcPr>
                <w:p w14:paraId="6455F4C0">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符合</w:t>
                  </w:r>
                </w:p>
              </w:tc>
            </w:tr>
            <w:tr w14:paraId="2E056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34" w:hRule="atLeast"/>
                <w:jc w:val="center"/>
              </w:trPr>
              <w:tc>
                <w:tcPr>
                  <w:tcW w:w="988" w:type="dxa"/>
                  <w:tcBorders>
                    <w:tl2br w:val="nil"/>
                    <w:tr2bl w:val="nil"/>
                  </w:tcBorders>
                  <w:vAlign w:val="center"/>
                </w:tcPr>
                <w:p w14:paraId="4B0C879E">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项目名称</w:t>
                  </w:r>
                </w:p>
              </w:tc>
              <w:tc>
                <w:tcPr>
                  <w:tcW w:w="2575" w:type="dxa"/>
                  <w:tcBorders>
                    <w:tl2br w:val="nil"/>
                    <w:tr2bl w:val="nil"/>
                  </w:tcBorders>
                  <w:vAlign w:val="center"/>
                </w:tcPr>
                <w:p w14:paraId="5BB53073">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建筑垃圾回收再利用及</w:t>
                  </w:r>
                </w:p>
                <w:p w14:paraId="31FFFA3E">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水泥稳定土项目</w:t>
                  </w:r>
                </w:p>
              </w:tc>
              <w:tc>
                <w:tcPr>
                  <w:tcW w:w="2935" w:type="dxa"/>
                  <w:tcBorders>
                    <w:tl2br w:val="nil"/>
                    <w:tr2bl w:val="nil"/>
                  </w:tcBorders>
                  <w:vAlign w:val="center"/>
                </w:tcPr>
                <w:p w14:paraId="1C065795">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建筑垃圾回收再利用及</w:t>
                  </w:r>
                </w:p>
                <w:p w14:paraId="15544456">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highlight w:val="none"/>
                      <w:lang w:val="en-US" w:eastAsia="zh-CN"/>
                    </w:rPr>
                    <w:t>水泥稳定土项目</w:t>
                  </w:r>
                </w:p>
              </w:tc>
              <w:tc>
                <w:tcPr>
                  <w:tcW w:w="740" w:type="dxa"/>
                  <w:tcBorders>
                    <w:tl2br w:val="nil"/>
                    <w:tr2bl w:val="nil"/>
                  </w:tcBorders>
                  <w:vAlign w:val="center"/>
                </w:tcPr>
                <w:p w14:paraId="53CF9D4D">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符合</w:t>
                  </w:r>
                </w:p>
              </w:tc>
            </w:tr>
            <w:tr w14:paraId="44EC1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92" w:hRule="atLeast"/>
                <w:jc w:val="center"/>
              </w:trPr>
              <w:tc>
                <w:tcPr>
                  <w:tcW w:w="988" w:type="dxa"/>
                  <w:tcBorders>
                    <w:tl2br w:val="nil"/>
                    <w:tr2bl w:val="nil"/>
                  </w:tcBorders>
                  <w:vAlign w:val="center"/>
                </w:tcPr>
                <w:p w14:paraId="16E46F27">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建设地点</w:t>
                  </w:r>
                </w:p>
              </w:tc>
              <w:tc>
                <w:tcPr>
                  <w:tcW w:w="2575" w:type="dxa"/>
                  <w:tcBorders>
                    <w:tl2br w:val="nil"/>
                    <w:tr2bl w:val="nil"/>
                  </w:tcBorders>
                  <w:vAlign w:val="center"/>
                </w:tcPr>
                <w:p w14:paraId="150AC13F">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平顶山市叶县廉村镇湾张村东南地叶廉路北侧</w:t>
                  </w:r>
                </w:p>
              </w:tc>
              <w:tc>
                <w:tcPr>
                  <w:tcW w:w="2935" w:type="dxa"/>
                  <w:tcBorders>
                    <w:tl2br w:val="nil"/>
                    <w:tr2bl w:val="nil"/>
                  </w:tcBorders>
                  <w:vAlign w:val="center"/>
                </w:tcPr>
                <w:p w14:paraId="4D82688B">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highlight w:val="none"/>
                      <w:lang w:val="en-US" w:eastAsia="zh-CN"/>
                    </w:rPr>
                    <w:t>平顶山市叶县廉村镇湾张村东南地叶廉路北侧</w:t>
                  </w:r>
                </w:p>
              </w:tc>
              <w:tc>
                <w:tcPr>
                  <w:tcW w:w="740" w:type="dxa"/>
                  <w:tcBorders>
                    <w:tl2br w:val="nil"/>
                    <w:tr2bl w:val="nil"/>
                  </w:tcBorders>
                  <w:vAlign w:val="center"/>
                </w:tcPr>
                <w:p w14:paraId="3C8DCB59">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符合</w:t>
                  </w:r>
                </w:p>
              </w:tc>
            </w:tr>
            <w:tr w14:paraId="7C954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17" w:hRule="atLeast"/>
                <w:jc w:val="center"/>
              </w:trPr>
              <w:tc>
                <w:tcPr>
                  <w:tcW w:w="988" w:type="dxa"/>
                  <w:tcBorders>
                    <w:tl2br w:val="nil"/>
                    <w:tr2bl w:val="nil"/>
                  </w:tcBorders>
                  <w:vAlign w:val="center"/>
                </w:tcPr>
                <w:p w14:paraId="263AEF52">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建设性质</w:t>
                  </w:r>
                </w:p>
              </w:tc>
              <w:tc>
                <w:tcPr>
                  <w:tcW w:w="2575" w:type="dxa"/>
                  <w:tcBorders>
                    <w:tl2br w:val="nil"/>
                    <w:tr2bl w:val="nil"/>
                  </w:tcBorders>
                  <w:vAlign w:val="center"/>
                </w:tcPr>
                <w:p w14:paraId="112B55DD">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val="en-US" w:eastAsia="zh-CN"/>
                    </w:rPr>
                    <w:t>新建</w:t>
                  </w:r>
                </w:p>
              </w:tc>
              <w:tc>
                <w:tcPr>
                  <w:tcW w:w="2935" w:type="dxa"/>
                  <w:tcBorders>
                    <w:tl2br w:val="nil"/>
                    <w:tr2bl w:val="nil"/>
                  </w:tcBorders>
                  <w:vAlign w:val="center"/>
                </w:tcPr>
                <w:p w14:paraId="4CF23ABE">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highlight w:val="none"/>
                      <w:lang w:val="en-US" w:eastAsia="zh-CN"/>
                    </w:rPr>
                    <w:t>新建</w:t>
                  </w:r>
                </w:p>
              </w:tc>
              <w:tc>
                <w:tcPr>
                  <w:tcW w:w="740" w:type="dxa"/>
                  <w:tcBorders>
                    <w:tl2br w:val="nil"/>
                    <w:tr2bl w:val="nil"/>
                  </w:tcBorders>
                  <w:vAlign w:val="center"/>
                </w:tcPr>
                <w:p w14:paraId="008DF2E4">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符合</w:t>
                  </w:r>
                </w:p>
              </w:tc>
            </w:tr>
            <w:tr w14:paraId="703DF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766" w:hRule="atLeast"/>
                <w:jc w:val="center"/>
              </w:trPr>
              <w:tc>
                <w:tcPr>
                  <w:tcW w:w="988" w:type="dxa"/>
                  <w:tcBorders>
                    <w:tl2br w:val="nil"/>
                    <w:tr2bl w:val="nil"/>
                  </w:tcBorders>
                  <w:vAlign w:val="center"/>
                </w:tcPr>
                <w:p w14:paraId="1D9B7C07">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建设规模及内容</w:t>
                  </w:r>
                </w:p>
              </w:tc>
              <w:tc>
                <w:tcPr>
                  <w:tcW w:w="2575" w:type="dxa"/>
                  <w:tcBorders>
                    <w:tl2br w:val="nil"/>
                    <w:tr2bl w:val="nil"/>
                  </w:tcBorders>
                  <w:vAlign w:val="center"/>
                </w:tcPr>
                <w:p w14:paraId="7BB46139">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eastAsia="zh-CN"/>
                    </w:rPr>
                    <w:t>占地</w:t>
                  </w:r>
                  <w:r>
                    <w:rPr>
                      <w:rFonts w:hint="default" w:ascii="Times New Roman" w:hAnsi="Times New Roman" w:eastAsia="宋体" w:cs="Times New Roman"/>
                      <w:highlight w:val="none"/>
                      <w:lang w:val="en-US" w:eastAsia="zh-CN"/>
                    </w:rPr>
                    <w:t>面</w:t>
                  </w:r>
                  <w:r>
                    <w:rPr>
                      <w:rFonts w:hint="default" w:ascii="Times New Roman" w:hAnsi="Times New Roman" w:eastAsia="宋体" w:cs="Times New Roman"/>
                      <w:color w:val="auto"/>
                      <w:highlight w:val="none"/>
                      <w:lang w:val="en-US" w:eastAsia="zh-CN"/>
                    </w:rPr>
                    <w:t>积64</w:t>
                  </w:r>
                  <w:r>
                    <w:rPr>
                      <w:rFonts w:hint="eastAsia" w:cs="Times New Roman"/>
                      <w:color w:val="auto"/>
                      <w:highlight w:val="none"/>
                      <w:lang w:val="en-US" w:eastAsia="zh-CN"/>
                    </w:rPr>
                    <w:t>69</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highlight w:val="none"/>
                      <w:vertAlign w:val="superscript"/>
                      <w:lang w:val="en-US" w:eastAsia="zh-CN"/>
                    </w:rPr>
                    <w:t>2</w:t>
                  </w:r>
                  <w:r>
                    <w:rPr>
                      <w:rFonts w:hint="default" w:ascii="Times New Roman" w:hAnsi="Times New Roman" w:eastAsia="宋体" w:cs="Times New Roman"/>
                      <w:highlight w:val="none"/>
                      <w:lang w:val="en-US" w:eastAsia="zh-CN"/>
                    </w:rPr>
                    <w:t>，总投资</w:t>
                  </w:r>
                  <w:r>
                    <w:rPr>
                      <w:rFonts w:hint="default" w:ascii="Times New Roman" w:hAnsi="Times New Roman" w:cs="Times New Roman"/>
                      <w:highlight w:val="none"/>
                      <w:lang w:val="en-US" w:eastAsia="zh-CN"/>
                    </w:rPr>
                    <w:t>1</w:t>
                  </w:r>
                  <w:r>
                    <w:rPr>
                      <w:rFonts w:hint="default" w:ascii="Times New Roman" w:hAnsi="Times New Roman" w:eastAsia="宋体" w:cs="Times New Roman"/>
                      <w:highlight w:val="none"/>
                      <w:lang w:val="en-US" w:eastAsia="zh-CN"/>
                    </w:rPr>
                    <w:t>000万元</w:t>
                  </w:r>
                </w:p>
              </w:tc>
              <w:tc>
                <w:tcPr>
                  <w:tcW w:w="2935" w:type="dxa"/>
                  <w:tcBorders>
                    <w:tl2br w:val="nil"/>
                    <w:tr2bl w:val="nil"/>
                  </w:tcBorders>
                  <w:vAlign w:val="center"/>
                </w:tcPr>
                <w:p w14:paraId="5D478C86">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highlight w:val="none"/>
                      <w:lang w:eastAsia="zh-CN"/>
                    </w:rPr>
                    <w:t>占地</w:t>
                  </w:r>
                  <w:r>
                    <w:rPr>
                      <w:rFonts w:hint="default" w:ascii="Times New Roman" w:hAnsi="Times New Roman" w:eastAsia="宋体" w:cs="Times New Roman"/>
                      <w:highlight w:val="none"/>
                      <w:lang w:val="en-US" w:eastAsia="zh-CN"/>
                    </w:rPr>
                    <w:t>面</w:t>
                  </w:r>
                  <w:r>
                    <w:rPr>
                      <w:rFonts w:hint="default" w:ascii="Times New Roman" w:hAnsi="Times New Roman" w:eastAsia="宋体" w:cs="Times New Roman"/>
                      <w:color w:val="auto"/>
                      <w:highlight w:val="none"/>
                      <w:lang w:val="en-US" w:eastAsia="zh-CN"/>
                    </w:rPr>
                    <w:t>积64</w:t>
                  </w:r>
                  <w:r>
                    <w:rPr>
                      <w:rFonts w:hint="eastAsia" w:cs="Times New Roman"/>
                      <w:color w:val="auto"/>
                      <w:highlight w:val="none"/>
                      <w:lang w:val="en-US" w:eastAsia="zh-CN"/>
                    </w:rPr>
                    <w:t>69</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highlight w:val="none"/>
                      <w:vertAlign w:val="superscript"/>
                      <w:lang w:val="en-US" w:eastAsia="zh-CN"/>
                    </w:rPr>
                    <w:t>2</w:t>
                  </w:r>
                  <w:r>
                    <w:rPr>
                      <w:rFonts w:hint="default" w:ascii="Times New Roman" w:hAnsi="Times New Roman" w:eastAsia="宋体" w:cs="Times New Roman"/>
                      <w:highlight w:val="none"/>
                      <w:lang w:val="en-US" w:eastAsia="zh-CN"/>
                    </w:rPr>
                    <w:t>，总投资</w:t>
                  </w:r>
                  <w:r>
                    <w:rPr>
                      <w:rFonts w:hint="default" w:ascii="Times New Roman" w:hAnsi="Times New Roman" w:cs="Times New Roman"/>
                      <w:highlight w:val="none"/>
                      <w:lang w:val="en-US" w:eastAsia="zh-CN"/>
                    </w:rPr>
                    <w:t>1</w:t>
                  </w:r>
                  <w:r>
                    <w:rPr>
                      <w:rFonts w:hint="default" w:ascii="Times New Roman" w:hAnsi="Times New Roman" w:eastAsia="宋体" w:cs="Times New Roman"/>
                      <w:highlight w:val="none"/>
                      <w:lang w:val="en-US" w:eastAsia="zh-CN"/>
                    </w:rPr>
                    <w:t>000万元</w:t>
                  </w:r>
                </w:p>
              </w:tc>
              <w:tc>
                <w:tcPr>
                  <w:tcW w:w="740" w:type="dxa"/>
                  <w:tcBorders>
                    <w:tl2br w:val="nil"/>
                    <w:tr2bl w:val="nil"/>
                  </w:tcBorders>
                  <w:vAlign w:val="center"/>
                </w:tcPr>
                <w:p w14:paraId="11701A55">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符合</w:t>
                  </w:r>
                </w:p>
              </w:tc>
            </w:tr>
            <w:tr w14:paraId="3B1F1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64" w:hRule="atLeast"/>
                <w:jc w:val="center"/>
              </w:trPr>
              <w:tc>
                <w:tcPr>
                  <w:tcW w:w="988" w:type="dxa"/>
                  <w:tcBorders>
                    <w:tl2br w:val="nil"/>
                    <w:tr2bl w:val="nil"/>
                  </w:tcBorders>
                  <w:vAlign w:val="center"/>
                </w:tcPr>
                <w:p w14:paraId="55C25FE1">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生产规模</w:t>
                  </w:r>
                </w:p>
              </w:tc>
              <w:tc>
                <w:tcPr>
                  <w:tcW w:w="2575" w:type="dxa"/>
                  <w:tcBorders>
                    <w:tl2br w:val="nil"/>
                    <w:tr2bl w:val="nil"/>
                  </w:tcBorders>
                  <w:vAlign w:val="center"/>
                </w:tcPr>
                <w:p w14:paraId="77636164">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建成后年产</w:t>
                  </w:r>
                  <w:r>
                    <w:rPr>
                      <w:rFonts w:hint="eastAsia" w:cs="Times New Roman"/>
                      <w:highlight w:val="none"/>
                      <w:lang w:val="en-US" w:eastAsia="zh-CN"/>
                    </w:rPr>
                    <w:t>10</w:t>
                  </w:r>
                  <w:r>
                    <w:rPr>
                      <w:rFonts w:hint="default" w:ascii="Times New Roman" w:hAnsi="Times New Roman" w:cs="Times New Roman"/>
                      <w:highlight w:val="none"/>
                      <w:lang w:val="en-US" w:eastAsia="zh-CN"/>
                    </w:rPr>
                    <w:t>万吨砂石和</w:t>
                  </w:r>
                  <w:r>
                    <w:rPr>
                      <w:rFonts w:hint="eastAsia" w:cs="Times New Roman"/>
                      <w:highlight w:val="none"/>
                      <w:lang w:val="en-US" w:eastAsia="zh-CN"/>
                    </w:rPr>
                    <w:t>2</w:t>
                  </w:r>
                  <w:r>
                    <w:rPr>
                      <w:rFonts w:hint="default" w:ascii="Times New Roman" w:hAnsi="Times New Roman" w:cs="Times New Roman"/>
                      <w:highlight w:val="none"/>
                      <w:lang w:val="en-US" w:eastAsia="zh-CN"/>
                    </w:rPr>
                    <w:t>0万吨水泥稳定土</w:t>
                  </w:r>
                </w:p>
              </w:tc>
              <w:tc>
                <w:tcPr>
                  <w:tcW w:w="2935" w:type="dxa"/>
                  <w:tcBorders>
                    <w:tl2br w:val="nil"/>
                    <w:tr2bl w:val="nil"/>
                  </w:tcBorders>
                  <w:vAlign w:val="center"/>
                </w:tcPr>
                <w:p w14:paraId="2078D2E7">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lang w:val="en-US" w:eastAsia="zh-CN"/>
                    </w:rPr>
                    <w:t>建成后年产</w:t>
                  </w:r>
                  <w:r>
                    <w:rPr>
                      <w:rFonts w:hint="eastAsia" w:cs="Times New Roman"/>
                      <w:highlight w:val="none"/>
                      <w:lang w:val="en-US" w:eastAsia="zh-CN"/>
                    </w:rPr>
                    <w:t>约1</w:t>
                  </w:r>
                  <w:r>
                    <w:rPr>
                      <w:rFonts w:hint="default" w:ascii="Times New Roman" w:hAnsi="Times New Roman" w:cs="Times New Roman"/>
                      <w:highlight w:val="none"/>
                      <w:lang w:val="en-US" w:eastAsia="zh-CN"/>
                    </w:rPr>
                    <w:t>0万吨砂石和</w:t>
                  </w:r>
                  <w:r>
                    <w:rPr>
                      <w:rFonts w:hint="eastAsia" w:cs="Times New Roman"/>
                      <w:highlight w:val="none"/>
                      <w:lang w:val="en-US" w:eastAsia="zh-CN"/>
                    </w:rPr>
                    <w:t>约2</w:t>
                  </w:r>
                  <w:r>
                    <w:rPr>
                      <w:rFonts w:hint="default" w:ascii="Times New Roman" w:hAnsi="Times New Roman" w:cs="Times New Roman"/>
                      <w:highlight w:val="none"/>
                      <w:lang w:val="en-US" w:eastAsia="zh-CN"/>
                    </w:rPr>
                    <w:t>0万吨水泥稳定土</w:t>
                  </w:r>
                </w:p>
              </w:tc>
              <w:tc>
                <w:tcPr>
                  <w:tcW w:w="740" w:type="dxa"/>
                  <w:tcBorders>
                    <w:tl2br w:val="nil"/>
                    <w:tr2bl w:val="nil"/>
                  </w:tcBorders>
                  <w:vAlign w:val="center"/>
                </w:tcPr>
                <w:p w14:paraId="020A8C3D">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rPr>
                    <w:t>符合</w:t>
                  </w:r>
                </w:p>
              </w:tc>
            </w:tr>
            <w:tr w14:paraId="3CBCF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435" w:hRule="atLeast"/>
                <w:jc w:val="center"/>
              </w:trPr>
              <w:tc>
                <w:tcPr>
                  <w:tcW w:w="988" w:type="dxa"/>
                  <w:tcBorders>
                    <w:tl2br w:val="nil"/>
                    <w:tr2bl w:val="nil"/>
                  </w:tcBorders>
                  <w:vAlign w:val="center"/>
                </w:tcPr>
                <w:p w14:paraId="770369E8">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主要设备</w:t>
                  </w:r>
                </w:p>
              </w:tc>
              <w:tc>
                <w:tcPr>
                  <w:tcW w:w="2575" w:type="dxa"/>
                  <w:tcBorders>
                    <w:tl2br w:val="nil"/>
                    <w:tr2bl w:val="nil"/>
                  </w:tcBorders>
                  <w:vAlign w:val="center"/>
                </w:tcPr>
                <w:p w14:paraId="356BB082">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砂</w:t>
                  </w:r>
                  <w:r>
                    <w:rPr>
                      <w:rFonts w:hint="default" w:ascii="Times New Roman" w:hAnsi="Times New Roman" w:eastAsia="宋体" w:cs="Times New Roman"/>
                      <w:highlight w:val="none"/>
                      <w:lang w:val="en-US" w:eastAsia="zh-CN"/>
                    </w:rPr>
                    <w:t>石生产线：破碎机、筛分机、</w:t>
                  </w:r>
                  <w:r>
                    <w:rPr>
                      <w:rFonts w:hint="default" w:ascii="Times New Roman" w:hAnsi="Times New Roman" w:cs="Times New Roman"/>
                      <w:highlight w:val="none"/>
                      <w:lang w:val="en-US" w:eastAsia="zh-CN"/>
                    </w:rPr>
                    <w:t>粉碎机、</w:t>
                  </w:r>
                  <w:r>
                    <w:rPr>
                      <w:rFonts w:hint="default" w:ascii="Times New Roman" w:hAnsi="Times New Roman" w:eastAsia="宋体" w:cs="Times New Roman"/>
                      <w:highlight w:val="none"/>
                      <w:lang w:val="en-US" w:eastAsia="zh-CN"/>
                    </w:rPr>
                    <w:t>清洗机、脱水筛等；</w:t>
                  </w:r>
                </w:p>
                <w:p w14:paraId="53B38613">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水泥稳定土生产线：配料机、提升机、皮带机、给料机、搅拌机、铲车等</w:t>
                  </w:r>
                </w:p>
              </w:tc>
              <w:tc>
                <w:tcPr>
                  <w:tcW w:w="2935" w:type="dxa"/>
                  <w:tcBorders>
                    <w:tl2br w:val="nil"/>
                    <w:tr2bl w:val="nil"/>
                  </w:tcBorders>
                  <w:vAlign w:val="center"/>
                </w:tcPr>
                <w:p w14:paraId="21057FCB">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砂</w:t>
                  </w:r>
                  <w:r>
                    <w:rPr>
                      <w:rFonts w:hint="default" w:ascii="Times New Roman" w:hAnsi="Times New Roman" w:eastAsia="宋体" w:cs="Times New Roman"/>
                      <w:highlight w:val="none"/>
                      <w:lang w:val="en-US" w:eastAsia="zh-CN"/>
                    </w:rPr>
                    <w:t>石生产线：</w:t>
                  </w:r>
                  <w:r>
                    <w:rPr>
                      <w:rFonts w:hint="eastAsia" w:cs="Times New Roman"/>
                      <w:highlight w:val="none"/>
                      <w:lang w:val="en-US" w:eastAsia="zh-CN"/>
                    </w:rPr>
                    <w:t>颚式</w:t>
                  </w:r>
                  <w:r>
                    <w:rPr>
                      <w:rFonts w:hint="default" w:ascii="Times New Roman" w:hAnsi="Times New Roman" w:eastAsia="宋体" w:cs="Times New Roman"/>
                      <w:highlight w:val="none"/>
                      <w:lang w:val="en-US" w:eastAsia="zh-CN"/>
                    </w:rPr>
                    <w:t>破碎机、</w:t>
                  </w:r>
                  <w:r>
                    <w:rPr>
                      <w:rFonts w:hint="eastAsia" w:cs="Times New Roman"/>
                      <w:highlight w:val="none"/>
                      <w:lang w:val="en-US" w:eastAsia="zh-CN"/>
                    </w:rPr>
                    <w:t>料仓喂料机、筛分机、</w:t>
                  </w:r>
                  <w:r>
                    <w:rPr>
                      <w:rFonts w:hint="default" w:ascii="Times New Roman" w:hAnsi="Times New Roman" w:cs="Times New Roman"/>
                      <w:highlight w:val="none"/>
                      <w:lang w:val="en-US" w:eastAsia="zh-CN"/>
                    </w:rPr>
                    <w:t>粉碎机、</w:t>
                  </w:r>
                  <w:r>
                    <w:rPr>
                      <w:rFonts w:hint="eastAsia" w:cs="Times New Roman"/>
                      <w:highlight w:val="none"/>
                      <w:lang w:val="en-US" w:eastAsia="zh-CN"/>
                    </w:rPr>
                    <w:t>水轮</w:t>
                  </w:r>
                  <w:r>
                    <w:rPr>
                      <w:rFonts w:hint="default" w:ascii="Times New Roman" w:hAnsi="Times New Roman" w:eastAsia="宋体" w:cs="Times New Roman"/>
                      <w:highlight w:val="none"/>
                      <w:lang w:val="en-US" w:eastAsia="zh-CN"/>
                    </w:rPr>
                    <w:t>清洗机、脱水筛</w:t>
                  </w:r>
                  <w:r>
                    <w:rPr>
                      <w:rFonts w:hint="eastAsia" w:cs="Times New Roman"/>
                      <w:highlight w:val="none"/>
                      <w:lang w:val="en-US" w:eastAsia="zh-CN"/>
                    </w:rPr>
                    <w:t>、板框压滤机、铲车</w:t>
                  </w:r>
                  <w:r>
                    <w:rPr>
                      <w:rFonts w:hint="default" w:ascii="Times New Roman" w:hAnsi="Times New Roman" w:eastAsia="宋体" w:cs="Times New Roman"/>
                      <w:highlight w:val="none"/>
                      <w:lang w:val="en-US" w:eastAsia="zh-CN"/>
                    </w:rPr>
                    <w:t>；</w:t>
                  </w:r>
                </w:p>
                <w:p w14:paraId="0D4ABBE0">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highlight w:val="none"/>
                      <w:lang w:val="en-US" w:eastAsia="zh-CN"/>
                    </w:rPr>
                    <w:t>水泥稳定土生产线：</w:t>
                  </w:r>
                  <w:r>
                    <w:rPr>
                      <w:rFonts w:hint="eastAsia" w:cs="Times New Roman"/>
                      <w:highlight w:val="none"/>
                      <w:lang w:val="en-US" w:eastAsia="zh-CN"/>
                    </w:rPr>
                    <w:t>配料仓、上料机、水泥筒仓、搅拌设备、</w:t>
                  </w:r>
                  <w:r>
                    <w:rPr>
                      <w:rFonts w:hint="default" w:ascii="Times New Roman" w:hAnsi="Times New Roman" w:eastAsia="宋体" w:cs="Times New Roman"/>
                      <w:highlight w:val="none"/>
                      <w:lang w:val="en-US" w:eastAsia="zh-CN"/>
                    </w:rPr>
                    <w:t>皮带</w:t>
                  </w:r>
                  <w:r>
                    <w:rPr>
                      <w:rFonts w:hint="eastAsia" w:cs="Times New Roman"/>
                      <w:highlight w:val="none"/>
                      <w:lang w:val="en-US" w:eastAsia="zh-CN"/>
                    </w:rPr>
                    <w:t>输送</w:t>
                  </w:r>
                  <w:r>
                    <w:rPr>
                      <w:rFonts w:hint="default" w:ascii="Times New Roman" w:hAnsi="Times New Roman" w:eastAsia="宋体" w:cs="Times New Roman"/>
                      <w:highlight w:val="none"/>
                      <w:lang w:val="en-US" w:eastAsia="zh-CN"/>
                    </w:rPr>
                    <w:t>机、搅拌</w:t>
                  </w:r>
                  <w:r>
                    <w:rPr>
                      <w:rFonts w:hint="eastAsia" w:cs="Times New Roman"/>
                      <w:highlight w:val="none"/>
                      <w:lang w:val="en-US" w:eastAsia="zh-CN"/>
                    </w:rPr>
                    <w:t>车</w:t>
                  </w:r>
                </w:p>
              </w:tc>
              <w:tc>
                <w:tcPr>
                  <w:tcW w:w="740" w:type="dxa"/>
                  <w:tcBorders>
                    <w:tl2br w:val="nil"/>
                    <w:tr2bl w:val="nil"/>
                  </w:tcBorders>
                  <w:vAlign w:val="center"/>
                </w:tcPr>
                <w:p w14:paraId="50EEB528">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eastAsia" w:cs="Times New Roman"/>
                      <w:sz w:val="21"/>
                      <w:szCs w:val="21"/>
                      <w:highlight w:val="none"/>
                      <w:lang w:val="en-US" w:eastAsia="zh-CN"/>
                    </w:rPr>
                    <w:t>基本</w:t>
                  </w:r>
                  <w:r>
                    <w:rPr>
                      <w:rFonts w:hint="default" w:ascii="Times New Roman" w:hAnsi="Times New Roman" w:eastAsia="宋体" w:cs="Times New Roman"/>
                      <w:sz w:val="21"/>
                      <w:szCs w:val="21"/>
                      <w:highlight w:val="none"/>
                      <w:lang w:eastAsia="zh-CN"/>
                    </w:rPr>
                    <w:t>相符</w:t>
                  </w:r>
                  <w:r>
                    <w:rPr>
                      <w:rFonts w:hint="eastAsia" w:cs="Times New Roman"/>
                      <w:sz w:val="21"/>
                      <w:szCs w:val="21"/>
                      <w:highlight w:val="none"/>
                      <w:lang w:eastAsia="zh-CN"/>
                    </w:rPr>
                    <w:t>，</w:t>
                  </w:r>
                  <w:r>
                    <w:rPr>
                      <w:rFonts w:hint="eastAsia" w:cs="Times New Roman"/>
                      <w:sz w:val="21"/>
                      <w:szCs w:val="21"/>
                      <w:highlight w:val="none"/>
                      <w:lang w:val="en-US" w:eastAsia="zh-CN"/>
                    </w:rPr>
                    <w:t>拟实际建设内容写的更具体更细化</w:t>
                  </w:r>
                </w:p>
              </w:tc>
            </w:tr>
            <w:tr w14:paraId="74981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149" w:hRule="atLeast"/>
                <w:jc w:val="center"/>
              </w:trPr>
              <w:tc>
                <w:tcPr>
                  <w:tcW w:w="988" w:type="dxa"/>
                  <w:tcBorders>
                    <w:tl2br w:val="nil"/>
                    <w:tr2bl w:val="nil"/>
                  </w:tcBorders>
                  <w:shd w:val="clear" w:color="auto" w:fill="auto"/>
                  <w:vAlign w:val="center"/>
                </w:tcPr>
                <w:p w14:paraId="392A5348">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生产工艺</w:t>
                  </w:r>
                </w:p>
              </w:tc>
              <w:tc>
                <w:tcPr>
                  <w:tcW w:w="2575" w:type="dxa"/>
                  <w:tcBorders>
                    <w:tl2br w:val="nil"/>
                    <w:tr2bl w:val="nil"/>
                  </w:tcBorders>
                  <w:shd w:val="clear" w:color="auto" w:fill="auto"/>
                  <w:vAlign w:val="center"/>
                </w:tcPr>
                <w:p w14:paraId="645D8EC5">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砂</w:t>
                  </w:r>
                  <w:r>
                    <w:rPr>
                      <w:rFonts w:hint="default" w:ascii="Times New Roman" w:hAnsi="Times New Roman" w:eastAsia="宋体" w:cs="Times New Roman"/>
                      <w:highlight w:val="none"/>
                      <w:lang w:val="en-US" w:eastAsia="zh-CN"/>
                    </w:rPr>
                    <w:t>石生产线：</w:t>
                  </w:r>
                  <w:r>
                    <w:rPr>
                      <w:rFonts w:hint="eastAsia" w:cs="Times New Roman"/>
                      <w:highlight w:val="none"/>
                      <w:lang w:val="en-US" w:eastAsia="zh-CN"/>
                    </w:rPr>
                    <w:t>颚</w:t>
                  </w:r>
                  <w:r>
                    <w:rPr>
                      <w:rFonts w:hint="default" w:ascii="Times New Roman" w:hAnsi="Times New Roman" w:eastAsia="宋体" w:cs="Times New Roman"/>
                      <w:highlight w:val="none"/>
                      <w:lang w:val="en-US" w:eastAsia="zh-CN"/>
                    </w:rPr>
                    <w:t>破、筛分、粉碎、清洗、脱水、成品。</w:t>
                  </w:r>
                </w:p>
                <w:p w14:paraId="00AE3655">
                  <w:pPr>
                    <w:jc w:val="center"/>
                    <w:rPr>
                      <w:rFonts w:hint="default" w:ascii="Times New Roman" w:hAnsi="Times New Roman" w:cs="Times New Roman"/>
                      <w:highlight w:val="none"/>
                      <w:lang w:val="en-US" w:eastAsia="zh-CN"/>
                    </w:rPr>
                  </w:pPr>
                  <w:r>
                    <w:rPr>
                      <w:rFonts w:hint="default" w:ascii="Times New Roman" w:hAnsi="Times New Roman" w:eastAsia="宋体" w:cs="Times New Roman"/>
                      <w:highlight w:val="none"/>
                      <w:lang w:val="en-US" w:eastAsia="zh-CN"/>
                    </w:rPr>
                    <w:t>水泥稳定土：上料、计量、搅拌、分装、成品。</w:t>
                  </w:r>
                </w:p>
              </w:tc>
              <w:tc>
                <w:tcPr>
                  <w:tcW w:w="2935" w:type="dxa"/>
                  <w:tcBorders>
                    <w:tl2br w:val="nil"/>
                    <w:tr2bl w:val="nil"/>
                  </w:tcBorders>
                  <w:shd w:val="clear" w:color="auto" w:fill="auto"/>
                  <w:vAlign w:val="center"/>
                </w:tcPr>
                <w:p w14:paraId="163C37EC">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lang w:val="en-US" w:eastAsia="zh-CN"/>
                    </w:rPr>
                    <w:t>砂</w:t>
                  </w:r>
                  <w:r>
                    <w:rPr>
                      <w:rFonts w:hint="default" w:ascii="Times New Roman" w:hAnsi="Times New Roman" w:eastAsia="宋体" w:cs="Times New Roman"/>
                      <w:highlight w:val="none"/>
                      <w:lang w:val="en-US" w:eastAsia="zh-CN"/>
                    </w:rPr>
                    <w:t>石生产线：</w:t>
                  </w:r>
                  <w:r>
                    <w:rPr>
                      <w:rFonts w:hint="eastAsia" w:cs="Times New Roman"/>
                      <w:highlight w:val="none"/>
                      <w:lang w:val="en-US" w:eastAsia="zh-CN"/>
                    </w:rPr>
                    <w:t>给料、颚</w:t>
                  </w:r>
                  <w:r>
                    <w:rPr>
                      <w:rFonts w:hint="default" w:ascii="Times New Roman" w:hAnsi="Times New Roman" w:eastAsia="宋体" w:cs="Times New Roman"/>
                      <w:highlight w:val="none"/>
                      <w:lang w:val="en-US" w:eastAsia="zh-CN"/>
                    </w:rPr>
                    <w:t>破、筛分、粉碎、</w:t>
                  </w:r>
                  <w:r>
                    <w:rPr>
                      <w:rFonts w:hint="eastAsia" w:cs="Times New Roman"/>
                      <w:highlight w:val="none"/>
                      <w:lang w:val="en-US" w:eastAsia="zh-CN"/>
                    </w:rPr>
                    <w:t>水</w:t>
                  </w:r>
                  <w:r>
                    <w:rPr>
                      <w:rFonts w:hint="default" w:ascii="Times New Roman" w:hAnsi="Times New Roman" w:eastAsia="宋体" w:cs="Times New Roman"/>
                      <w:highlight w:val="none"/>
                      <w:lang w:val="en-US" w:eastAsia="zh-CN"/>
                    </w:rPr>
                    <w:t>洗、脱水、成品。水泥稳定土：</w:t>
                  </w:r>
                  <w:r>
                    <w:rPr>
                      <w:rFonts w:hint="eastAsia" w:cs="Times New Roman"/>
                      <w:highlight w:val="none"/>
                      <w:lang w:val="en-US" w:eastAsia="zh-CN"/>
                    </w:rPr>
                    <w:t>给料、</w:t>
                  </w:r>
                  <w:r>
                    <w:rPr>
                      <w:rFonts w:hint="default" w:ascii="Times New Roman" w:hAnsi="Times New Roman" w:eastAsia="宋体" w:cs="Times New Roman"/>
                      <w:highlight w:val="none"/>
                      <w:lang w:val="en-US" w:eastAsia="zh-CN"/>
                    </w:rPr>
                    <w:t>上料计量、搅拌、分装</w:t>
                  </w:r>
                  <w:r>
                    <w:rPr>
                      <w:rFonts w:hint="eastAsia" w:cs="Times New Roman"/>
                      <w:highlight w:val="none"/>
                      <w:lang w:val="en-US" w:eastAsia="zh-CN"/>
                    </w:rPr>
                    <w:t>运输。</w:t>
                  </w:r>
                </w:p>
              </w:tc>
              <w:tc>
                <w:tcPr>
                  <w:tcW w:w="740" w:type="dxa"/>
                  <w:tcBorders>
                    <w:tl2br w:val="nil"/>
                    <w:tr2bl w:val="nil"/>
                  </w:tcBorders>
                  <w:vAlign w:val="center"/>
                </w:tcPr>
                <w:p w14:paraId="571052B5">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cs="Times New Roman"/>
                      <w:highlight w:val="none"/>
                      <w:lang w:val="en-US" w:eastAsia="zh-CN"/>
                    </w:rPr>
                  </w:pPr>
                  <w:r>
                    <w:rPr>
                      <w:rFonts w:hint="eastAsia" w:cs="Times New Roman"/>
                      <w:highlight w:val="none"/>
                      <w:lang w:val="en-US" w:eastAsia="zh-CN"/>
                    </w:rPr>
                    <w:t>基本</w:t>
                  </w:r>
                </w:p>
                <w:p w14:paraId="40A9885E">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相符</w:t>
                  </w:r>
                </w:p>
              </w:tc>
            </w:tr>
          </w:tbl>
          <w:p w14:paraId="1E743B2D">
            <w:pPr>
              <w:pStyle w:val="10"/>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val="0"/>
                <w:bCs w:val="0"/>
                <w:sz w:val="24"/>
                <w:szCs w:val="24"/>
                <w:highlight w:val="none"/>
              </w:rPr>
            </w:pPr>
            <w:r>
              <w:rPr>
                <w:rFonts w:hint="default" w:ascii="Times New Roman" w:hAnsi="Times New Roman" w:cs="Times New Roman"/>
                <w:b w:val="0"/>
                <w:bCs w:val="0"/>
                <w:color w:val="auto"/>
                <w:sz w:val="24"/>
                <w:szCs w:val="24"/>
                <w:highlight w:val="none"/>
                <w:u w:val="none"/>
                <w:lang w:val="en-US" w:eastAsia="zh-CN"/>
              </w:rPr>
              <w:t>由上表可知，本项目建设单位、建设名称、建设地点、建设性质、</w:t>
            </w:r>
            <w:r>
              <w:rPr>
                <w:rFonts w:hint="default" w:ascii="Times New Roman" w:hAnsi="Times New Roman" w:cs="Times New Roman"/>
                <w:b w:val="0"/>
                <w:bCs w:val="0"/>
                <w:color w:val="auto"/>
                <w:sz w:val="24"/>
                <w:szCs w:val="24"/>
                <w:highlight w:val="none"/>
                <w:u w:val="none"/>
              </w:rPr>
              <w:t>建设规模及内容</w:t>
            </w:r>
            <w:r>
              <w:rPr>
                <w:rFonts w:hint="default" w:ascii="Times New Roman" w:hAnsi="Times New Roman" w:cs="Times New Roman"/>
                <w:b w:val="0"/>
                <w:bCs w:val="0"/>
                <w:color w:val="auto"/>
                <w:sz w:val="24"/>
                <w:szCs w:val="24"/>
                <w:highlight w:val="none"/>
                <w:u w:val="none"/>
                <w:lang w:eastAsia="zh-CN"/>
              </w:rPr>
              <w:t>和</w:t>
            </w:r>
            <w:r>
              <w:rPr>
                <w:rFonts w:hint="default" w:ascii="Times New Roman" w:hAnsi="Times New Roman" w:cs="Times New Roman"/>
                <w:b w:val="0"/>
                <w:bCs w:val="0"/>
                <w:color w:val="auto"/>
                <w:sz w:val="24"/>
                <w:szCs w:val="24"/>
                <w:highlight w:val="none"/>
                <w:u w:val="none"/>
              </w:rPr>
              <w:t>主要设备</w:t>
            </w:r>
            <w:r>
              <w:rPr>
                <w:rFonts w:hint="default" w:ascii="Times New Roman" w:hAnsi="Times New Roman" w:cs="Times New Roman"/>
                <w:b w:val="0"/>
                <w:bCs w:val="0"/>
                <w:color w:val="auto"/>
                <w:sz w:val="24"/>
                <w:szCs w:val="24"/>
                <w:highlight w:val="none"/>
                <w:u w:val="none"/>
                <w:lang w:eastAsia="zh-CN"/>
              </w:rPr>
              <w:t>与备案相符，因此本项目与备案内容</w:t>
            </w:r>
            <w:r>
              <w:rPr>
                <w:rFonts w:hint="eastAsia" w:cs="Times New Roman"/>
                <w:b w:val="0"/>
                <w:bCs w:val="0"/>
                <w:color w:val="auto"/>
                <w:sz w:val="24"/>
                <w:szCs w:val="24"/>
                <w:highlight w:val="none"/>
                <w:u w:val="none"/>
                <w:lang w:val="en-US" w:eastAsia="zh-CN"/>
              </w:rPr>
              <w:t>基本</w:t>
            </w:r>
            <w:r>
              <w:rPr>
                <w:rFonts w:hint="default" w:ascii="Times New Roman" w:hAnsi="Times New Roman" w:cs="Times New Roman"/>
                <w:b w:val="0"/>
                <w:bCs w:val="0"/>
                <w:color w:val="auto"/>
                <w:sz w:val="24"/>
                <w:szCs w:val="24"/>
                <w:highlight w:val="none"/>
                <w:u w:val="none"/>
                <w:lang w:eastAsia="zh-CN"/>
              </w:rPr>
              <w:t>相符。</w:t>
            </w:r>
          </w:p>
          <w:p w14:paraId="3C5988A6">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4</w:t>
            </w:r>
            <w:r>
              <w:rPr>
                <w:rFonts w:hint="default" w:ascii="Times New Roman" w:hAnsi="Times New Roman" w:cs="Times New Roman"/>
                <w:b/>
                <w:bCs/>
                <w:color w:val="auto"/>
                <w:sz w:val="24"/>
                <w:highlight w:val="none"/>
              </w:rPr>
              <w:t>、土地利用及规划相符性</w:t>
            </w:r>
            <w:r>
              <w:rPr>
                <w:rFonts w:hint="default" w:ascii="Times New Roman" w:hAnsi="Times New Roman" w:cs="Times New Roman"/>
                <w:b/>
                <w:bCs/>
                <w:color w:val="auto"/>
                <w:sz w:val="24"/>
                <w:highlight w:val="none"/>
                <w:lang w:val="en-US" w:eastAsia="zh-CN"/>
              </w:rPr>
              <w:t>分析</w:t>
            </w:r>
          </w:p>
          <w:p w14:paraId="6D8B4D89">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highlight w:val="none"/>
              </w:rPr>
            </w:pPr>
            <w:r>
              <w:rPr>
                <w:rFonts w:hint="default" w:ascii="Times New Roman" w:hAnsi="Times New Roman" w:eastAsia="宋体" w:cs="Times New Roman"/>
                <w:b w:val="0"/>
                <w:bCs/>
                <w:kern w:val="2"/>
                <w:sz w:val="24"/>
                <w:szCs w:val="24"/>
                <w:highlight w:val="none"/>
                <w:u w:val="none"/>
                <w:lang w:val="en-US" w:eastAsia="zh-CN" w:bidi="ar-SA"/>
              </w:rPr>
              <w:t>本项目位于河南省</w:t>
            </w:r>
            <w:r>
              <w:rPr>
                <w:rFonts w:hint="default" w:ascii="Times New Roman" w:hAnsi="Times New Roman" w:eastAsia="宋体" w:cs="Times New Roman"/>
                <w:b w:val="0"/>
                <w:bCs/>
                <w:color w:val="auto"/>
                <w:sz w:val="24"/>
                <w:szCs w:val="24"/>
                <w:highlight w:val="none"/>
                <w:u w:val="none"/>
                <w:lang w:val="en-US" w:eastAsia="zh-CN"/>
              </w:rPr>
              <w:t>平顶山市叶县廉村镇湾张村东南地叶廉路北侧，</w:t>
            </w:r>
            <w:r>
              <w:rPr>
                <w:rFonts w:hint="default" w:ascii="Times New Roman" w:hAnsi="Times New Roman" w:cs="Times New Roman"/>
                <w:b w:val="0"/>
                <w:bCs/>
                <w:color w:val="auto"/>
                <w:sz w:val="24"/>
                <w:szCs w:val="24"/>
                <w:highlight w:val="none"/>
                <w:u w:val="none"/>
                <w:lang w:val="en-US" w:eastAsia="zh-CN"/>
              </w:rPr>
              <w:t>项目为新建，</w:t>
            </w:r>
            <w:r>
              <w:rPr>
                <w:rFonts w:hint="default" w:ascii="Times New Roman" w:hAnsi="Times New Roman" w:cs="Times New Roman"/>
                <w:kern w:val="0"/>
                <w:highlight w:val="none"/>
              </w:rPr>
              <w:t>项目现状用地为</w:t>
            </w:r>
            <w:r>
              <w:rPr>
                <w:rFonts w:hint="eastAsia" w:hAnsi="Times New Roman" w:cs="Times New Roman"/>
                <w:kern w:val="0"/>
                <w:highlight w:val="none"/>
                <w:lang w:val="en-US" w:eastAsia="zh-CN"/>
              </w:rPr>
              <w:t>空</w:t>
            </w:r>
            <w:r>
              <w:rPr>
                <w:rFonts w:hint="default" w:ascii="Times New Roman" w:hAnsi="Times New Roman" w:cs="Times New Roman"/>
                <w:kern w:val="0"/>
                <w:highlight w:val="none"/>
              </w:rPr>
              <w:t>地</w:t>
            </w:r>
            <w:r>
              <w:rPr>
                <w:rFonts w:hint="default" w:ascii="Times New Roman" w:hAnsi="Times New Roman" w:cs="Times New Roman"/>
                <w:kern w:val="0"/>
                <w:highlight w:val="none"/>
                <w:lang w:eastAsia="zh-CN"/>
              </w:rPr>
              <w:t>，</w:t>
            </w:r>
            <w:r>
              <w:rPr>
                <w:rFonts w:hint="default" w:ascii="Times New Roman" w:hAnsi="Times New Roman" w:eastAsia="宋体" w:cs="Times New Roman"/>
                <w:b w:val="0"/>
                <w:bCs/>
                <w:color w:val="auto"/>
                <w:sz w:val="24"/>
                <w:szCs w:val="24"/>
                <w:highlight w:val="none"/>
                <w:u w:val="none"/>
                <w:lang w:val="en-US" w:eastAsia="zh-CN"/>
              </w:rPr>
              <w:t>占地面积64</w:t>
            </w:r>
            <w:r>
              <w:rPr>
                <w:rFonts w:hint="eastAsia" w:hAnsi="Times New Roman" w:cs="Times New Roman"/>
                <w:b w:val="0"/>
                <w:bCs/>
                <w:color w:val="auto"/>
                <w:sz w:val="24"/>
                <w:szCs w:val="24"/>
                <w:highlight w:val="none"/>
                <w:u w:val="none"/>
                <w:lang w:val="en-US" w:eastAsia="zh-CN"/>
              </w:rPr>
              <w:t>69</w:t>
            </w:r>
            <w:r>
              <w:rPr>
                <w:rFonts w:hint="default" w:ascii="Times New Roman" w:hAnsi="Times New Roman" w:eastAsia="宋体" w:cs="Times New Roman"/>
                <w:b w:val="0"/>
                <w:bCs/>
                <w:color w:val="auto"/>
                <w:sz w:val="24"/>
                <w:szCs w:val="24"/>
                <w:highlight w:val="none"/>
                <w:u w:val="none"/>
                <w:lang w:val="en-US" w:eastAsia="zh-CN"/>
              </w:rPr>
              <w:t>平方米，该项目已获得叶县人民政府关于周鲁线（G329）北侧叶县廉村镇湾张村WZ-01地块控制性详细规划的批复（见附件</w:t>
            </w:r>
            <w:r>
              <w:rPr>
                <w:rFonts w:hint="default" w:ascii="Times New Roman" w:hAnsi="Times New Roman" w:cs="Times New Roman"/>
                <w:b w:val="0"/>
                <w:bCs/>
                <w:color w:val="auto"/>
                <w:sz w:val="24"/>
                <w:szCs w:val="24"/>
                <w:highlight w:val="none"/>
                <w:u w:val="none"/>
                <w:lang w:val="en-US" w:eastAsia="zh-CN"/>
              </w:rPr>
              <w:t>3</w:t>
            </w:r>
            <w:r>
              <w:rPr>
                <w:rFonts w:hint="default" w:ascii="Times New Roman" w:hAnsi="Times New Roman" w:eastAsia="宋体" w:cs="Times New Roman"/>
                <w:b w:val="0"/>
                <w:bCs/>
                <w:color w:val="auto"/>
                <w:sz w:val="24"/>
                <w:szCs w:val="24"/>
                <w:highlight w:val="none"/>
                <w:u w:val="none"/>
                <w:lang w:val="en-US" w:eastAsia="zh-CN"/>
              </w:rPr>
              <w:t>），在批复用地范围内</w:t>
            </w:r>
            <w:r>
              <w:rPr>
                <w:rFonts w:hint="default" w:ascii="Times New Roman" w:hAnsi="Times New Roman" w:eastAsia="宋体" w:cs="Times New Roman"/>
                <w:b w:val="0"/>
                <w:bCs/>
                <w:color w:val="auto"/>
                <w:sz w:val="24"/>
                <w:highlight w:val="none"/>
              </w:rPr>
              <w:t>进行建设生产。</w:t>
            </w:r>
            <w:r>
              <w:rPr>
                <w:rFonts w:hint="default" w:ascii="Times New Roman" w:hAnsi="Times New Roman" w:eastAsia="宋体" w:cs="Times New Roman"/>
                <w:b w:val="0"/>
                <w:bCs/>
                <w:color w:val="auto"/>
                <w:sz w:val="24"/>
                <w:highlight w:val="none"/>
                <w:lang w:val="en-US" w:eastAsia="zh-CN"/>
              </w:rPr>
              <w:t>因此，本项目建设</w:t>
            </w:r>
            <w:r>
              <w:rPr>
                <w:rFonts w:hint="default" w:ascii="Times New Roman" w:hAnsi="Times New Roman" w:cs="Times New Roman"/>
                <w:b w:val="0"/>
                <w:bCs/>
                <w:color w:val="auto"/>
                <w:sz w:val="24"/>
                <w:highlight w:val="none"/>
                <w:lang w:val="en-US" w:eastAsia="zh-CN"/>
              </w:rPr>
              <w:t>是</w:t>
            </w:r>
            <w:r>
              <w:rPr>
                <w:rFonts w:hint="default" w:ascii="Times New Roman" w:hAnsi="Times New Roman" w:eastAsia="宋体" w:cs="Times New Roman"/>
                <w:b w:val="0"/>
                <w:bCs/>
                <w:color w:val="auto"/>
                <w:sz w:val="24"/>
                <w:highlight w:val="none"/>
                <w:lang w:val="en-US" w:eastAsia="zh-CN"/>
              </w:rPr>
              <w:t>可行</w:t>
            </w:r>
            <w:r>
              <w:rPr>
                <w:rFonts w:hint="default" w:ascii="Times New Roman" w:hAnsi="Times New Roman" w:eastAsia="宋体" w:cs="Times New Roman"/>
                <w:b w:val="0"/>
                <w:bCs/>
                <w:color w:val="auto"/>
                <w:sz w:val="24"/>
                <w:highlight w:val="none"/>
              </w:rPr>
              <w:t>。</w:t>
            </w:r>
          </w:p>
          <w:p w14:paraId="31FD6D56">
            <w:pPr>
              <w:pStyle w:val="30"/>
              <w:keepNext w:val="0"/>
              <w:keepLines w:val="0"/>
              <w:pageBreakBefore w:val="0"/>
              <w:widowControl w:val="0"/>
              <w:kinsoku/>
              <w:wordWrap/>
              <w:overflowPunct/>
              <w:topLinePunct w:val="0"/>
              <w:bidi w:val="0"/>
              <w:snapToGrid/>
              <w:spacing w:line="500" w:lineRule="exact"/>
              <w:ind w:left="0" w:leftChars="0" w:firstLine="482" w:firstLineChars="200"/>
              <w:textAlignment w:val="auto"/>
              <w:rPr>
                <w:rFonts w:hint="default" w:ascii="Times New Roman" w:hAnsi="Times New Roman" w:eastAsia="宋体" w:cs="Times New Roman"/>
                <w:b/>
                <w:bCs w:val="0"/>
                <w:color w:val="auto"/>
                <w:kern w:val="28"/>
                <w:sz w:val="24"/>
                <w:szCs w:val="40"/>
                <w:highlight w:val="none"/>
                <w:lang w:val="en-US" w:eastAsia="zh-CN" w:bidi="ar-SA"/>
              </w:rPr>
            </w:pPr>
            <w:r>
              <w:rPr>
                <w:rFonts w:hint="default" w:ascii="Times New Roman" w:hAnsi="Times New Roman" w:cs="Times New Roman"/>
                <w:b/>
                <w:bCs w:val="0"/>
                <w:color w:val="auto"/>
                <w:kern w:val="28"/>
                <w:sz w:val="24"/>
                <w:szCs w:val="40"/>
                <w:highlight w:val="none"/>
                <w:lang w:val="en-US" w:eastAsia="zh-CN" w:bidi="ar-SA"/>
              </w:rPr>
              <w:t>5</w:t>
            </w:r>
            <w:r>
              <w:rPr>
                <w:rFonts w:hint="default" w:ascii="Times New Roman" w:hAnsi="Times New Roman" w:eastAsia="宋体" w:cs="Times New Roman"/>
                <w:b/>
                <w:bCs w:val="0"/>
                <w:color w:val="auto"/>
                <w:kern w:val="28"/>
                <w:sz w:val="24"/>
                <w:szCs w:val="40"/>
                <w:highlight w:val="none"/>
                <w:lang w:val="en-US" w:eastAsia="zh-CN" w:bidi="ar-SA"/>
              </w:rPr>
              <w:t>、建设项目选址合理性分析</w:t>
            </w:r>
          </w:p>
          <w:p w14:paraId="7921921F">
            <w:pPr>
              <w:keepNext w:val="0"/>
              <w:keepLines w:val="0"/>
              <w:pageBreakBefore w:val="0"/>
              <w:widowControl w:val="0"/>
              <w:kinsoku/>
              <w:wordWrap w:val="0"/>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24"/>
                <w:szCs w:val="24"/>
                <w:highlight w:val="none"/>
              </w:rPr>
              <w:t>项目厂址位于</w:t>
            </w:r>
            <w:r>
              <w:rPr>
                <w:rFonts w:hint="default" w:ascii="Times New Roman" w:hAnsi="Times New Roman" w:eastAsia="宋体" w:cs="Times New Roman"/>
                <w:b w:val="0"/>
                <w:bCs/>
                <w:kern w:val="2"/>
                <w:sz w:val="24"/>
                <w:szCs w:val="24"/>
                <w:highlight w:val="none"/>
                <w:u w:val="none"/>
                <w:lang w:val="en-US" w:eastAsia="zh-CN" w:bidi="ar-SA"/>
              </w:rPr>
              <w:t>河南省</w:t>
            </w:r>
            <w:r>
              <w:rPr>
                <w:rFonts w:hint="default" w:ascii="Times New Roman" w:hAnsi="Times New Roman" w:eastAsia="宋体" w:cs="Times New Roman"/>
                <w:b w:val="0"/>
                <w:bCs/>
                <w:color w:val="auto"/>
                <w:sz w:val="24"/>
                <w:szCs w:val="24"/>
                <w:highlight w:val="none"/>
                <w:u w:val="none"/>
                <w:lang w:val="en-US" w:eastAsia="zh-CN"/>
              </w:rPr>
              <w:t>平顶山市叶县廉村镇湾张村东南地叶廉路北侧</w:t>
            </w:r>
            <w:r>
              <w:rPr>
                <w:rFonts w:hint="default" w:ascii="Times New Roman" w:hAnsi="Times New Roman" w:eastAsia="宋体" w:cs="Times New Roman"/>
                <w:b w:val="0"/>
                <w:bCs/>
                <w:color w:val="auto"/>
                <w:sz w:val="24"/>
                <w:highlight w:val="none"/>
              </w:rPr>
              <w:t>，</w:t>
            </w:r>
            <w:r>
              <w:rPr>
                <w:rFonts w:hint="default" w:ascii="Times New Roman" w:hAnsi="Times New Roman" w:eastAsia="宋体" w:cs="Times New Roman"/>
                <w:b w:val="0"/>
                <w:bCs/>
                <w:color w:val="auto"/>
                <w:sz w:val="24"/>
                <w:szCs w:val="24"/>
                <w:highlight w:val="none"/>
                <w:u w:val="none"/>
                <w:lang w:val="en-US" w:eastAsia="zh-CN"/>
              </w:rPr>
              <w:t>项目</w:t>
            </w:r>
            <w:r>
              <w:rPr>
                <w:rFonts w:hint="default" w:ascii="Times New Roman" w:hAnsi="Times New Roman" w:cs="Times New Roman"/>
                <w:b w:val="0"/>
                <w:bCs/>
                <w:color w:val="auto"/>
                <w:sz w:val="24"/>
                <w:szCs w:val="24"/>
                <w:highlight w:val="none"/>
                <w:u w:val="none"/>
                <w:lang w:val="en-US" w:eastAsia="zh-CN"/>
              </w:rPr>
              <w:t>用地</w:t>
            </w:r>
            <w:r>
              <w:rPr>
                <w:rFonts w:hint="default" w:ascii="Times New Roman" w:hAnsi="Times New Roman" w:eastAsia="宋体" w:cs="Times New Roman"/>
                <w:b w:val="0"/>
                <w:bCs/>
                <w:color w:val="auto"/>
                <w:sz w:val="24"/>
                <w:szCs w:val="24"/>
                <w:highlight w:val="none"/>
                <w:u w:val="none"/>
                <w:lang w:val="en-US" w:eastAsia="zh-CN"/>
              </w:rPr>
              <w:t>已获得叶县人民政府关于周鲁线（G329）北侧叶县廉村镇湾张村WZ-01地块控制性详细规划的批复</w:t>
            </w:r>
            <w:r>
              <w:rPr>
                <w:rFonts w:hint="default" w:ascii="Times New Roman" w:hAnsi="Times New Roman" w:eastAsia="宋体" w:cs="Times New Roman"/>
                <w:b w:val="0"/>
                <w:bCs/>
                <w:color w:val="auto"/>
                <w:sz w:val="24"/>
                <w:highlight w:val="none"/>
              </w:rPr>
              <w:t>进行建设生产</w:t>
            </w:r>
            <w:r>
              <w:rPr>
                <w:rFonts w:hint="default" w:ascii="Times New Roman" w:hAnsi="Times New Roman" w:cs="Times New Roman"/>
                <w:b w:val="0"/>
                <w:bCs/>
                <w:color w:val="auto"/>
                <w:sz w:val="24"/>
                <w:highlight w:val="none"/>
                <w:lang w:eastAsia="zh-CN"/>
              </w:rPr>
              <w:t>，</w:t>
            </w:r>
            <w:r>
              <w:rPr>
                <w:rFonts w:hint="default" w:ascii="Times New Roman" w:hAnsi="Times New Roman" w:eastAsia="宋体" w:cs="Times New Roman"/>
                <w:snapToGrid w:val="0"/>
                <w:color w:val="auto"/>
                <w:kern w:val="0"/>
                <w:sz w:val="24"/>
                <w:szCs w:val="24"/>
                <w:highlight w:val="none"/>
              </w:rPr>
              <w:t>项目选址符合</w:t>
            </w:r>
            <w:r>
              <w:rPr>
                <w:rFonts w:hint="default" w:ascii="Times New Roman" w:hAnsi="Times New Roman" w:cs="Times New Roman"/>
                <w:snapToGrid w:val="0"/>
                <w:color w:val="auto"/>
                <w:kern w:val="0"/>
                <w:sz w:val="24"/>
                <w:szCs w:val="24"/>
                <w:highlight w:val="none"/>
                <w:lang w:val="en-US" w:eastAsia="zh-CN"/>
              </w:rPr>
              <w:t>平顶山市叶县的</w:t>
            </w:r>
            <w:r>
              <w:rPr>
                <w:rFonts w:hint="eastAsia" w:cs="Times New Roman"/>
                <w:snapToGrid w:val="0"/>
                <w:color w:val="auto"/>
                <w:kern w:val="0"/>
                <w:sz w:val="24"/>
                <w:szCs w:val="24"/>
                <w:highlight w:val="none"/>
                <w:lang w:val="en-US" w:eastAsia="zh-CN"/>
              </w:rPr>
              <w:t>要求</w:t>
            </w:r>
            <w:r>
              <w:rPr>
                <w:rFonts w:hint="default" w:ascii="Times New Roman" w:hAnsi="Times New Roman" w:cs="Times New Roman"/>
                <w:snapToGrid w:val="0"/>
                <w:color w:val="auto"/>
                <w:kern w:val="0"/>
                <w:sz w:val="24"/>
                <w:szCs w:val="24"/>
                <w:highlight w:val="none"/>
                <w:lang w:eastAsia="zh-CN"/>
              </w:rPr>
              <w:t>。</w:t>
            </w:r>
          </w:p>
          <w:p w14:paraId="60307EC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项目厂址不在饮用水源保护区、风景名胜区、生态保护区等需要特殊保护区域内；项目所在区域供电、交通等基础设施完善。</w:t>
            </w:r>
          </w:p>
          <w:p w14:paraId="3F1D8CB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snapToGrid w:val="0"/>
                <w:color w:val="auto"/>
                <w:kern w:val="0"/>
                <w:sz w:val="24"/>
                <w:highlight w:val="none"/>
                <w:lang w:eastAsia="zh-CN"/>
              </w:rPr>
              <w:t>项目厂址周边</w:t>
            </w:r>
            <w:r>
              <w:rPr>
                <w:rFonts w:hint="default" w:ascii="Times New Roman" w:hAnsi="Times New Roman" w:eastAsia="宋体" w:cs="Times New Roman"/>
                <w:snapToGrid w:val="0"/>
                <w:color w:val="auto"/>
                <w:kern w:val="0"/>
                <w:sz w:val="24"/>
                <w:highlight w:val="none"/>
                <w:lang w:val="en-US" w:eastAsia="zh-CN"/>
              </w:rPr>
              <w:t>主要包括</w:t>
            </w:r>
            <w:r>
              <w:rPr>
                <w:rFonts w:hint="default" w:ascii="Times New Roman" w:hAnsi="Times New Roman" w:eastAsia="宋体" w:cs="Times New Roman"/>
                <w:color w:val="auto"/>
                <w:sz w:val="24"/>
                <w:highlight w:val="none"/>
                <w:lang w:val="en-US" w:eastAsia="zh-CN"/>
              </w:rPr>
              <w:t>东侧</w:t>
            </w:r>
            <w:r>
              <w:rPr>
                <w:rFonts w:hint="default" w:ascii="Times New Roman" w:hAnsi="Times New Roman" w:cs="Times New Roman"/>
                <w:color w:val="auto"/>
                <w:sz w:val="24"/>
                <w:highlight w:val="none"/>
                <w:lang w:val="en-US" w:eastAsia="zh-CN"/>
              </w:rPr>
              <w:t>为沙渡口村和黄营</w:t>
            </w:r>
            <w:r>
              <w:rPr>
                <w:rFonts w:hint="eastAsia" w:cs="Times New Roman"/>
                <w:color w:val="auto"/>
                <w:sz w:val="24"/>
                <w:highlight w:val="none"/>
                <w:lang w:val="en-US" w:eastAsia="zh-CN"/>
              </w:rPr>
              <w:t>以及个别散户住户</w:t>
            </w:r>
            <w:r>
              <w:rPr>
                <w:rFonts w:hint="default" w:ascii="Times New Roman" w:hAnsi="Times New Roman" w:eastAsia="宋体" w:cs="Times New Roman"/>
                <w:color w:val="auto"/>
                <w:sz w:val="24"/>
                <w:highlight w:val="none"/>
                <w:lang w:val="en-US" w:eastAsia="zh-CN"/>
              </w:rPr>
              <w:t>、南侧为</w:t>
            </w:r>
            <w:r>
              <w:rPr>
                <w:rFonts w:hint="default" w:ascii="Times New Roman" w:hAnsi="Times New Roman" w:cs="Times New Roman"/>
                <w:color w:val="auto"/>
                <w:sz w:val="24"/>
                <w:highlight w:val="none"/>
                <w:lang w:val="en-US" w:eastAsia="zh-CN"/>
              </w:rPr>
              <w:t>叶县广源液化气有限公司</w:t>
            </w:r>
            <w:r>
              <w:rPr>
                <w:rFonts w:hint="default" w:ascii="Times New Roman" w:hAnsi="Times New Roman" w:eastAsia="宋体" w:cs="Times New Roman"/>
                <w:color w:val="auto"/>
                <w:sz w:val="24"/>
                <w:highlight w:val="none"/>
                <w:lang w:val="en-US" w:eastAsia="zh-CN"/>
              </w:rPr>
              <w:t>、西侧为</w:t>
            </w:r>
            <w:r>
              <w:rPr>
                <w:rFonts w:hint="default" w:ascii="Times New Roman" w:hAnsi="Times New Roman" w:cs="Times New Roman"/>
                <w:color w:val="auto"/>
                <w:sz w:val="24"/>
                <w:highlight w:val="none"/>
                <w:lang w:val="en-US" w:eastAsia="zh-CN"/>
              </w:rPr>
              <w:t>平顶山泰瑞森实业有限公司和廉村镇</w:t>
            </w:r>
            <w:r>
              <w:rPr>
                <w:rFonts w:hint="default" w:ascii="Times New Roman" w:hAnsi="Times New Roman" w:eastAsia="宋体" w:cs="Times New Roman"/>
                <w:color w:val="auto"/>
                <w:sz w:val="24"/>
                <w:highlight w:val="none"/>
                <w:lang w:val="en-US" w:eastAsia="zh-CN"/>
              </w:rPr>
              <w:t>、北侧为</w:t>
            </w:r>
            <w:r>
              <w:rPr>
                <w:rFonts w:hint="default" w:ascii="Times New Roman" w:hAnsi="Times New Roman" w:cs="Times New Roman"/>
                <w:color w:val="auto"/>
                <w:sz w:val="24"/>
                <w:highlight w:val="none"/>
                <w:lang w:val="en-US" w:eastAsia="zh-CN"/>
              </w:rPr>
              <w:t>田地、</w:t>
            </w:r>
            <w:r>
              <w:rPr>
                <w:rFonts w:hint="default" w:ascii="Times New Roman" w:hAnsi="Times New Roman" w:eastAsia="宋体" w:cs="Times New Roman"/>
                <w:color w:val="auto"/>
                <w:sz w:val="24"/>
                <w:highlight w:val="none"/>
                <w:lang w:val="en-US" w:eastAsia="zh-CN"/>
              </w:rPr>
              <w:t>西北</w:t>
            </w:r>
            <w:r>
              <w:rPr>
                <w:rFonts w:hint="default" w:ascii="Times New Roman" w:hAnsi="Times New Roman" w:eastAsia="宋体" w:cs="Times New Roman"/>
                <w:color w:val="auto"/>
                <w:sz w:val="24"/>
                <w:highlight w:val="none"/>
                <w:lang w:val="zh-CN"/>
              </w:rPr>
              <w:t>侧</w:t>
            </w:r>
            <w:r>
              <w:rPr>
                <w:rFonts w:hint="default" w:ascii="Times New Roman" w:hAnsi="Times New Roman" w:cs="Times New Roman"/>
                <w:color w:val="auto"/>
                <w:sz w:val="24"/>
                <w:highlight w:val="none"/>
                <w:lang w:val="en-US" w:eastAsia="zh-CN"/>
              </w:rPr>
              <w:t>为湾张村</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snapToGrid w:val="0"/>
                <w:color w:val="auto"/>
                <w:kern w:val="0"/>
                <w:sz w:val="24"/>
                <w:highlight w:val="none"/>
                <w:lang w:eastAsia="zh-CN"/>
              </w:rPr>
              <w:t>项目厂址周边</w:t>
            </w:r>
            <w:r>
              <w:rPr>
                <w:rFonts w:hint="default" w:ascii="Times New Roman" w:hAnsi="Times New Roman" w:eastAsia="宋体" w:cs="Times New Roman"/>
                <w:snapToGrid w:val="0"/>
                <w:color w:val="auto"/>
                <w:kern w:val="0"/>
                <w:sz w:val="24"/>
                <w:highlight w:val="none"/>
                <w:lang w:val="en-US" w:eastAsia="zh-CN"/>
              </w:rPr>
              <w:t>500m范围内</w:t>
            </w:r>
            <w:r>
              <w:rPr>
                <w:rFonts w:hint="default" w:ascii="Times New Roman" w:hAnsi="Times New Roman" w:eastAsia="宋体" w:cs="Times New Roman"/>
                <w:snapToGrid w:val="0"/>
                <w:color w:val="auto"/>
                <w:kern w:val="0"/>
                <w:sz w:val="24"/>
                <w:highlight w:val="none"/>
                <w:lang w:eastAsia="zh-CN"/>
              </w:rPr>
              <w:t>敏感点</w:t>
            </w:r>
            <w:r>
              <w:rPr>
                <w:rFonts w:hint="default" w:ascii="Times New Roman" w:hAnsi="Times New Roman" w:cs="Times New Roman"/>
                <w:b w:val="0"/>
                <w:bCs w:val="0"/>
                <w:color w:val="auto"/>
                <w:sz w:val="24"/>
                <w:szCs w:val="24"/>
                <w:highlight w:val="none"/>
                <w:u w:val="none"/>
                <w:lang w:val="en-US" w:eastAsia="zh-CN"/>
              </w:rPr>
              <w:t>主要为项目西北</w:t>
            </w:r>
            <w:r>
              <w:rPr>
                <w:rFonts w:hint="default" w:ascii="Times New Roman" w:hAnsi="Times New Roman" w:eastAsia="宋体" w:cs="Times New Roman"/>
                <w:color w:val="auto"/>
                <w:kern w:val="2"/>
                <w:sz w:val="24"/>
                <w:szCs w:val="24"/>
                <w:highlight w:val="none"/>
                <w:u w:val="none"/>
                <w:lang w:val="zh-CN" w:eastAsia="zh-CN" w:bidi="ar-SA"/>
              </w:rPr>
              <w:t>侧</w:t>
            </w:r>
            <w:r>
              <w:rPr>
                <w:rFonts w:hint="default" w:ascii="Times New Roman" w:hAnsi="Times New Roman" w:cs="Times New Roman"/>
                <w:color w:val="auto"/>
                <w:kern w:val="2"/>
                <w:sz w:val="24"/>
                <w:szCs w:val="24"/>
                <w:highlight w:val="none"/>
                <w:u w:val="none"/>
                <w:lang w:val="en-US" w:eastAsia="zh-CN" w:bidi="ar-SA"/>
              </w:rPr>
              <w:t>直线距离275</w:t>
            </w:r>
            <w:r>
              <w:rPr>
                <w:rFonts w:hint="default" w:ascii="Times New Roman" w:hAnsi="Times New Roman" w:eastAsia="宋体" w:cs="Times New Roman"/>
                <w:color w:val="auto"/>
                <w:kern w:val="2"/>
                <w:sz w:val="24"/>
                <w:szCs w:val="24"/>
                <w:highlight w:val="none"/>
                <w:u w:val="none"/>
                <w:lang w:val="zh-CN" w:eastAsia="zh-CN" w:bidi="ar-SA"/>
              </w:rPr>
              <w:t>m处为</w:t>
            </w:r>
            <w:r>
              <w:rPr>
                <w:rFonts w:hint="default" w:ascii="Times New Roman" w:hAnsi="Times New Roman" w:cs="Times New Roman"/>
                <w:color w:val="auto"/>
                <w:kern w:val="2"/>
                <w:sz w:val="24"/>
                <w:szCs w:val="24"/>
                <w:highlight w:val="none"/>
                <w:u w:val="none"/>
                <w:lang w:val="en-US" w:eastAsia="zh-CN" w:bidi="ar-SA"/>
              </w:rPr>
              <w:t>湾张村和东侧直线距离490m处为沙渡口村</w:t>
            </w:r>
            <w:r>
              <w:rPr>
                <w:rFonts w:hint="eastAsia" w:cs="Times New Roman"/>
                <w:color w:val="auto"/>
                <w:kern w:val="2"/>
                <w:sz w:val="24"/>
                <w:szCs w:val="24"/>
                <w:highlight w:val="none"/>
                <w:u w:val="none"/>
                <w:lang w:val="en-US" w:eastAsia="zh-CN" w:bidi="ar-SA"/>
              </w:rPr>
              <w:t>、</w:t>
            </w:r>
            <w:r>
              <w:rPr>
                <w:rFonts w:hint="default" w:ascii="Times New Roman" w:hAnsi="Times New Roman" w:cs="Times New Roman"/>
                <w:color w:val="auto"/>
                <w:kern w:val="2"/>
                <w:sz w:val="24"/>
                <w:szCs w:val="24"/>
                <w:highlight w:val="none"/>
                <w:u w:val="none"/>
                <w:lang w:val="en-US" w:eastAsia="zh-CN" w:bidi="ar-SA"/>
              </w:rPr>
              <w:t>385m处的黄营村</w:t>
            </w:r>
            <w:r>
              <w:rPr>
                <w:rFonts w:hint="eastAsia" w:cs="Times New Roman"/>
                <w:color w:val="auto"/>
                <w:kern w:val="2"/>
                <w:sz w:val="24"/>
                <w:szCs w:val="24"/>
                <w:highlight w:val="none"/>
                <w:u w:val="none"/>
                <w:lang w:val="en-US" w:eastAsia="zh-CN" w:bidi="ar-SA"/>
              </w:rPr>
              <w:t>和55m处的个别散户住户</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color w:val="auto"/>
                <w:kern w:val="0"/>
                <w:sz w:val="24"/>
                <w:szCs w:val="24"/>
                <w:highlight w:val="none"/>
                <w:lang w:val="en-US" w:eastAsia="zh-CN" w:bidi="ar"/>
              </w:rPr>
              <w:t>故项目性质与</w:t>
            </w:r>
            <w:r>
              <w:rPr>
                <w:rFonts w:hint="default" w:ascii="Times New Roman" w:hAnsi="Times New Roman" w:cs="Times New Roman"/>
                <w:color w:val="auto"/>
                <w:kern w:val="0"/>
                <w:sz w:val="24"/>
                <w:szCs w:val="24"/>
                <w:highlight w:val="none"/>
                <w:lang w:val="en-US" w:eastAsia="zh-CN" w:bidi="ar"/>
              </w:rPr>
              <w:t>周围环境相容</w:t>
            </w:r>
            <w:r>
              <w:rPr>
                <w:rFonts w:hint="default" w:ascii="Times New Roman" w:hAnsi="Times New Roman" w:eastAsia="宋体" w:cs="Times New Roman"/>
                <w:color w:val="auto"/>
                <w:kern w:val="0"/>
                <w:sz w:val="24"/>
                <w:szCs w:val="24"/>
                <w:highlight w:val="none"/>
                <w:lang w:val="en-US" w:eastAsia="zh-CN" w:bidi="ar"/>
              </w:rPr>
              <w:t>不冲突，具体见附图</w:t>
            </w:r>
            <w:r>
              <w:rPr>
                <w:rFonts w:hint="default" w:ascii="Times New Roman" w:hAnsi="Times New Roman" w:cs="Times New Roman"/>
                <w:color w:val="auto"/>
                <w:kern w:val="0"/>
                <w:sz w:val="24"/>
                <w:szCs w:val="24"/>
                <w:highlight w:val="none"/>
                <w:lang w:val="en-US" w:eastAsia="zh-CN" w:bidi="ar"/>
              </w:rPr>
              <w:t>二</w:t>
            </w:r>
            <w:r>
              <w:rPr>
                <w:rFonts w:hint="default" w:ascii="Times New Roman" w:hAnsi="Times New Roman" w:eastAsia="宋体" w:cs="Times New Roman"/>
                <w:color w:val="auto"/>
                <w:kern w:val="0"/>
                <w:sz w:val="24"/>
                <w:szCs w:val="24"/>
                <w:highlight w:val="none"/>
                <w:lang w:val="en-US" w:eastAsia="zh-CN" w:bidi="ar"/>
              </w:rPr>
              <w:t>。</w:t>
            </w:r>
          </w:p>
          <w:p w14:paraId="0A925EE5">
            <w:pPr>
              <w:keepNext w:val="0"/>
              <w:keepLines w:val="0"/>
              <w:pageBreakBefore w:val="0"/>
              <w:widowControl/>
              <w:kinsoku/>
              <w:bidi w:val="0"/>
              <w:spacing w:line="500" w:lineRule="exact"/>
              <w:ind w:firstLine="480" w:firstLineChars="200"/>
              <w:jc w:val="left"/>
              <w:textAlignment w:val="auto"/>
              <w:rPr>
                <w:rFonts w:hint="default" w:ascii="Times New Roman" w:hAnsi="Times New Roman" w:cs="Times New Roman"/>
                <w:sz w:val="24"/>
                <w:highlight w:val="none"/>
              </w:rPr>
            </w:pPr>
            <w:r>
              <w:rPr>
                <w:rFonts w:hint="default" w:ascii="Times New Roman" w:hAnsi="Times New Roman" w:eastAsia="宋体" w:cs="Times New Roman"/>
                <w:snapToGrid w:val="0"/>
                <w:color w:val="auto"/>
                <w:kern w:val="0"/>
                <w:sz w:val="24"/>
                <w:szCs w:val="24"/>
                <w:highlight w:val="none"/>
              </w:rPr>
              <w:t>综上所述，评价认为本项目厂址选择可行</w:t>
            </w:r>
            <w:r>
              <w:rPr>
                <w:rFonts w:hint="default" w:ascii="Times New Roman" w:hAnsi="Times New Roman" w:eastAsia="宋体" w:cs="Times New Roman"/>
                <w:snapToGrid w:val="0"/>
                <w:color w:val="auto"/>
                <w:kern w:val="0"/>
                <w:sz w:val="24"/>
                <w:szCs w:val="24"/>
                <w:highlight w:val="none"/>
                <w:lang w:eastAsia="zh-CN"/>
              </w:rPr>
              <w:t>。</w:t>
            </w:r>
          </w:p>
          <w:p w14:paraId="0297E6A3">
            <w:pPr>
              <w:keepNext w:val="0"/>
              <w:keepLines w:val="0"/>
              <w:pageBreakBefore w:val="0"/>
              <w:widowControl/>
              <w:kinsoku/>
              <w:bidi w:val="0"/>
              <w:spacing w:line="500" w:lineRule="exact"/>
              <w:ind w:firstLine="482" w:firstLineChars="200"/>
              <w:jc w:val="left"/>
              <w:textAlignment w:val="auto"/>
              <w:rPr>
                <w:rFonts w:hint="default" w:ascii="Times New Roman" w:hAnsi="Times New Roman" w:cs="Times New Roman"/>
                <w:b/>
                <w:sz w:val="24"/>
                <w:highlight w:val="none"/>
              </w:rPr>
            </w:pPr>
            <w:r>
              <w:rPr>
                <w:rFonts w:hint="default" w:ascii="Times New Roman" w:hAnsi="Times New Roman" w:cs="Times New Roman"/>
                <w:b/>
                <w:sz w:val="24"/>
                <w:highlight w:val="none"/>
                <w:lang w:val="en-US" w:eastAsia="zh-CN"/>
              </w:rPr>
              <w:t>6</w:t>
            </w:r>
            <w:r>
              <w:rPr>
                <w:rFonts w:hint="default" w:ascii="Times New Roman" w:hAnsi="Times New Roman" w:cs="Times New Roman"/>
                <w:b/>
                <w:sz w:val="24"/>
                <w:highlight w:val="none"/>
              </w:rPr>
              <w:t>、与叶县“三线一单”符合性分析</w:t>
            </w:r>
          </w:p>
          <w:p w14:paraId="07109991">
            <w:pPr>
              <w:keepNext w:val="0"/>
              <w:keepLines w:val="0"/>
              <w:pageBreakBefore w:val="0"/>
              <w:widowControl/>
              <w:kinsoku/>
              <w:bidi w:val="0"/>
              <w:spacing w:line="500" w:lineRule="exact"/>
              <w:ind w:firstLine="480" w:firstLineChars="200"/>
              <w:jc w:val="left"/>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（1）生态保护红线</w:t>
            </w:r>
          </w:p>
          <w:p w14:paraId="4BFE1CBA">
            <w:pPr>
              <w:keepNext w:val="0"/>
              <w:keepLines w:val="0"/>
              <w:pageBreakBefore w:val="0"/>
              <w:widowControl w:val="0"/>
              <w:kinsoku/>
              <w:wordWrap/>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w:t>
            </w:r>
            <w:r>
              <w:rPr>
                <w:rFonts w:hint="eastAsia"/>
                <w:sz w:val="24"/>
                <w:szCs w:val="24"/>
                <w:highlight w:val="none"/>
                <w:lang w:val="en-US" w:eastAsia="zh-CN"/>
              </w:rPr>
              <w:t>《关于公布河南省“三线一单”生态环境分区管控更新成果（2023年版）的通知》（河南省生态环境厅公告2024年2号）</w:t>
            </w:r>
            <w:r>
              <w:rPr>
                <w:rFonts w:hint="default" w:ascii="Times New Roman" w:hAnsi="Times New Roman" w:cs="Times New Roman"/>
                <w:color w:val="auto"/>
                <w:sz w:val="24"/>
                <w:highlight w:val="none"/>
              </w:rPr>
              <w:t>，全市国土空间按优先保护单元、重点管控单元、一般管控单元三大类共分为65个生态环境管控单元。其中，优先保护单元23个，面积占比34.63%；重点管控单元35个，面积占比32.13%；一般管控单元7个，面积占比33.24%。</w:t>
            </w:r>
          </w:p>
          <w:p w14:paraId="120AF6A7">
            <w:pPr>
              <w:keepNext w:val="0"/>
              <w:keepLines w:val="0"/>
              <w:pageBreakBefore w:val="0"/>
              <w:widowControl w:val="0"/>
              <w:kinsoku/>
              <w:wordWrap/>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优先保护单元指具有一定生态功能、以生态环境保护为主的区域。突出空间用途管控，以生态环境保护优先为原则，依法禁止或限制有关开发建设活动，优先开展生态保护修复，提高生态系统服务功能，确保生态环境功能不降低。</w:t>
            </w:r>
          </w:p>
          <w:p w14:paraId="519E0867">
            <w:pPr>
              <w:keepNext w:val="0"/>
              <w:keepLines w:val="0"/>
              <w:pageBreakBefore w:val="0"/>
              <w:widowControl w:val="0"/>
              <w:kinsoku/>
              <w:wordWrap/>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重点管控单元指人口密集、资源开发强度较大、污染物排放强度相对较高的区域。主要推动空间布局优化和产业结构转型升级，深化污染治理，提高资源利用效率，减少污染物排放，防控生态环境风险，守住环境质量底线。</w:t>
            </w:r>
          </w:p>
          <w:p w14:paraId="62D9935E">
            <w:pPr>
              <w:keepNext w:val="0"/>
              <w:keepLines w:val="0"/>
              <w:pageBreakBefore w:val="0"/>
              <w:widowControl w:val="0"/>
              <w:kinsoku/>
              <w:wordWrap/>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一般管控单元指除优先保护单元和重点管控单元之外的其他区域。主要落实生态环境保护的基本要求，生态环境状况得到保持或优化。</w:t>
            </w:r>
          </w:p>
          <w:p w14:paraId="018758C2">
            <w:pPr>
              <w:keepNext w:val="0"/>
              <w:keepLines w:val="0"/>
              <w:pageBreakBefore w:val="0"/>
              <w:widowControl/>
              <w:kinsoku/>
              <w:bidi w:val="0"/>
              <w:spacing w:line="500" w:lineRule="exact"/>
              <w:ind w:firstLine="480" w:firstLineChars="200"/>
              <w:jc w:val="left"/>
              <w:textAlignment w:val="auto"/>
              <w:rPr>
                <w:rFonts w:hint="default" w:ascii="Times New Roman" w:hAnsi="Times New Roman" w:cs="Times New Roman"/>
                <w:kern w:val="0"/>
                <w:sz w:val="24"/>
                <w:highlight w:val="none"/>
              </w:rPr>
            </w:pPr>
            <w:r>
              <w:rPr>
                <w:rFonts w:hint="default" w:ascii="Times New Roman" w:hAnsi="Times New Roman" w:cs="Times New Roman"/>
                <w:sz w:val="24"/>
                <w:highlight w:val="none"/>
              </w:rPr>
              <w:t>本项目选址位于</w:t>
            </w:r>
            <w:r>
              <w:rPr>
                <w:rFonts w:hint="default" w:ascii="Times New Roman" w:hAnsi="Times New Roman" w:eastAsia="宋体" w:cs="Times New Roman"/>
                <w:b w:val="0"/>
                <w:bCs/>
                <w:kern w:val="2"/>
                <w:sz w:val="24"/>
                <w:szCs w:val="24"/>
                <w:highlight w:val="none"/>
                <w:u w:val="none"/>
                <w:lang w:val="en-US" w:eastAsia="zh-CN" w:bidi="ar-SA"/>
              </w:rPr>
              <w:t>河南省</w:t>
            </w:r>
            <w:r>
              <w:rPr>
                <w:rFonts w:hint="default" w:ascii="Times New Roman" w:hAnsi="Times New Roman" w:eastAsia="宋体" w:cs="Times New Roman"/>
                <w:b w:val="0"/>
                <w:bCs/>
                <w:color w:val="auto"/>
                <w:sz w:val="24"/>
                <w:szCs w:val="24"/>
                <w:highlight w:val="none"/>
                <w:u w:val="none"/>
                <w:lang w:val="en-US" w:eastAsia="zh-CN"/>
              </w:rPr>
              <w:t>平顶山市叶县廉村镇湾张村东南地叶廉路北侧</w:t>
            </w:r>
            <w:r>
              <w:rPr>
                <w:rFonts w:hint="default" w:ascii="Times New Roman" w:hAnsi="Times New Roman" w:cs="Times New Roman"/>
                <w:kern w:val="0"/>
                <w:sz w:val="24"/>
                <w:highlight w:val="none"/>
              </w:rPr>
              <w:t>，用地性质为</w:t>
            </w:r>
            <w:r>
              <w:rPr>
                <w:rFonts w:hint="default" w:ascii="Times New Roman" w:hAnsi="Times New Roman" w:cs="Times New Roman"/>
                <w:kern w:val="0"/>
                <w:sz w:val="24"/>
                <w:highlight w:val="none"/>
                <w:lang w:val="en-US" w:eastAsia="zh-CN"/>
              </w:rPr>
              <w:t>已获得叶县人民政府的用地批复</w:t>
            </w:r>
            <w:r>
              <w:rPr>
                <w:rFonts w:hint="default" w:ascii="Times New Roman" w:hAnsi="Times New Roman" w:cs="Times New Roman"/>
                <w:kern w:val="0"/>
                <w:sz w:val="24"/>
                <w:highlight w:val="none"/>
              </w:rPr>
              <w:t>，</w:t>
            </w:r>
            <w:r>
              <w:rPr>
                <w:rFonts w:hint="default" w:ascii="Times New Roman" w:hAnsi="Times New Roman" w:cs="Times New Roman"/>
                <w:color w:val="auto"/>
                <w:sz w:val="24"/>
                <w:highlight w:val="none"/>
              </w:rPr>
              <w:t>所在区域属于重点管控单元，单元名称：</w:t>
            </w:r>
            <w:r>
              <w:rPr>
                <w:rFonts w:hint="default" w:ascii="Times New Roman" w:hAnsi="Times New Roman" w:cs="Times New Roman"/>
                <w:color w:val="auto"/>
                <w:sz w:val="24"/>
                <w:highlight w:val="none"/>
                <w:lang w:val="en-US" w:eastAsia="zh-CN"/>
              </w:rPr>
              <w:t>叶县大气重点单元</w:t>
            </w:r>
            <w:r>
              <w:rPr>
                <w:rFonts w:hint="default" w:ascii="Times New Roman" w:hAnsi="Times New Roman" w:cs="Times New Roman"/>
                <w:color w:val="auto"/>
                <w:sz w:val="24"/>
                <w:highlight w:val="none"/>
              </w:rPr>
              <w:t>，单元编码：ZH4104</w:t>
            </w:r>
            <w:r>
              <w:rPr>
                <w:rFonts w:hint="default" w:ascii="Times New Roman" w:hAnsi="Times New Roman" w:cs="Times New Roman"/>
                <w:color w:val="auto"/>
                <w:sz w:val="24"/>
                <w:highlight w:val="none"/>
                <w:lang w:val="en-US" w:eastAsia="zh-CN"/>
              </w:rPr>
              <w:t>2220005</w:t>
            </w:r>
            <w:r>
              <w:rPr>
                <w:rFonts w:hint="default" w:ascii="Times New Roman" w:hAnsi="Times New Roman" w:cs="Times New Roman"/>
                <w:color w:val="auto"/>
                <w:sz w:val="24"/>
                <w:highlight w:val="none"/>
              </w:rPr>
              <w:t>。</w:t>
            </w:r>
            <w:r>
              <w:rPr>
                <w:rFonts w:hint="default" w:ascii="Times New Roman" w:hAnsi="Times New Roman" w:cs="Times New Roman"/>
                <w:kern w:val="0"/>
                <w:sz w:val="24"/>
                <w:highlight w:val="none"/>
              </w:rPr>
              <w:t>周边无自然保护区、风景名胜区、世界文化和自然遗产地，饮用水源保护区等环境敏感区，不在叶县划定的生态红线保护区范围内，本项目符合当地生态保护红线要求。</w:t>
            </w:r>
          </w:p>
          <w:p w14:paraId="6F855419">
            <w:pPr>
              <w:keepNext w:val="0"/>
              <w:keepLines w:val="0"/>
              <w:pageBreakBefore w:val="0"/>
              <w:widowControl/>
              <w:kinsoku/>
              <w:bidi w:val="0"/>
              <w:spacing w:line="500" w:lineRule="exact"/>
              <w:ind w:firstLine="480" w:firstLineChars="200"/>
              <w:jc w:val="left"/>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（2）资源利用上线</w:t>
            </w:r>
          </w:p>
          <w:p w14:paraId="05D15243">
            <w:pPr>
              <w:keepNext w:val="0"/>
              <w:keepLines w:val="0"/>
              <w:pageBreakBefore w:val="0"/>
              <w:widowControl/>
              <w:kinsoku/>
              <w:bidi w:val="0"/>
              <w:spacing w:line="500" w:lineRule="exact"/>
              <w:ind w:firstLine="480" w:firstLineChars="200"/>
              <w:jc w:val="left"/>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本项目</w:t>
            </w:r>
            <w:r>
              <w:rPr>
                <w:rFonts w:hint="default" w:ascii="Times New Roman" w:hAnsi="Times New Roman" w:cs="Times New Roman"/>
                <w:sz w:val="24"/>
                <w:highlight w:val="none"/>
                <w:lang w:eastAsia="zh-CN"/>
              </w:rPr>
              <w:t>用水来自于</w:t>
            </w:r>
            <w:r>
              <w:rPr>
                <w:rFonts w:hint="eastAsia" w:cs="Times New Roman"/>
                <w:sz w:val="24"/>
                <w:highlight w:val="none"/>
                <w:lang w:val="en-US" w:eastAsia="zh-CN"/>
              </w:rPr>
              <w:t>厂区自备水井供给</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用电来自于叶县</w:t>
            </w:r>
            <w:r>
              <w:rPr>
                <w:rFonts w:hint="eastAsia" w:cs="Times New Roman"/>
                <w:sz w:val="24"/>
                <w:highlight w:val="none"/>
                <w:lang w:val="en-US" w:eastAsia="zh-CN"/>
              </w:rPr>
              <w:t>廉村镇</w:t>
            </w:r>
            <w:r>
              <w:rPr>
                <w:rFonts w:hint="default" w:ascii="Times New Roman" w:hAnsi="Times New Roman" w:cs="Times New Roman"/>
                <w:sz w:val="24"/>
                <w:highlight w:val="none"/>
                <w:lang w:val="en-US" w:eastAsia="zh-CN"/>
              </w:rPr>
              <w:t>供电电网，无其他自然能源消耗，项目生产所用原料是从</w:t>
            </w:r>
            <w:r>
              <w:rPr>
                <w:rFonts w:hint="eastAsia" w:cs="Times New Roman"/>
                <w:sz w:val="24"/>
                <w:highlight w:val="none"/>
                <w:lang w:val="en-US" w:eastAsia="zh-CN"/>
              </w:rPr>
              <w:t>相应供应商</w:t>
            </w:r>
            <w:r>
              <w:rPr>
                <w:rFonts w:hint="default" w:ascii="Times New Roman" w:hAnsi="Times New Roman" w:cs="Times New Roman"/>
                <w:sz w:val="24"/>
                <w:highlight w:val="none"/>
                <w:lang w:val="en-US" w:eastAsia="zh-CN"/>
              </w:rPr>
              <w:t>采购得来可以</w:t>
            </w:r>
            <w:r>
              <w:rPr>
                <w:rFonts w:hint="eastAsia" w:cs="Times New Roman"/>
                <w:sz w:val="24"/>
                <w:highlight w:val="none"/>
                <w:lang w:val="en-US" w:eastAsia="zh-CN"/>
              </w:rPr>
              <w:t>重复</w:t>
            </w:r>
            <w:r>
              <w:rPr>
                <w:rFonts w:hint="default" w:ascii="Times New Roman" w:hAnsi="Times New Roman" w:cs="Times New Roman"/>
                <w:sz w:val="24"/>
                <w:highlight w:val="none"/>
                <w:lang w:val="en-US" w:eastAsia="zh-CN"/>
              </w:rPr>
              <w:t>回收利用的废矿</w:t>
            </w:r>
            <w:r>
              <w:rPr>
                <w:rFonts w:hint="eastAsia" w:cs="Times New Roman"/>
                <w:sz w:val="24"/>
                <w:highlight w:val="none"/>
                <w:lang w:val="en-US" w:eastAsia="zh-CN"/>
              </w:rPr>
              <w:t>石</w:t>
            </w:r>
            <w:r>
              <w:rPr>
                <w:rFonts w:hint="default" w:ascii="Times New Roman" w:hAnsi="Times New Roman" w:cs="Times New Roman"/>
                <w:sz w:val="24"/>
                <w:highlight w:val="none"/>
                <w:lang w:val="en-US" w:eastAsia="zh-CN"/>
              </w:rPr>
              <w:t>、建筑垃圾等，其他原料如水泥、石粉、沙、石子等从市场采购得来，</w:t>
            </w:r>
            <w:r>
              <w:rPr>
                <w:rFonts w:hint="default" w:ascii="Times New Roman" w:hAnsi="Times New Roman" w:cs="Times New Roman"/>
                <w:color w:val="auto"/>
                <w:sz w:val="24"/>
                <w:highlight w:val="none"/>
              </w:rPr>
              <w:t>项目资源消耗量相对区域资源总量较少</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各项资源利用均在区域可承载能力范围内，</w:t>
            </w:r>
            <w:r>
              <w:rPr>
                <w:rFonts w:hint="default" w:ascii="Times New Roman" w:hAnsi="Times New Roman" w:cs="Times New Roman"/>
                <w:sz w:val="24"/>
                <w:highlight w:val="none"/>
              </w:rPr>
              <w:t>由此可知，本项目符合资源利用上线要求。</w:t>
            </w:r>
          </w:p>
          <w:p w14:paraId="34524478">
            <w:pPr>
              <w:keepNext w:val="0"/>
              <w:keepLines w:val="0"/>
              <w:pageBreakBefore w:val="0"/>
              <w:widowControl/>
              <w:kinsoku/>
              <w:bidi w:val="0"/>
              <w:spacing w:line="500" w:lineRule="exact"/>
              <w:ind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highlight w:val="none"/>
              </w:rPr>
              <w:t>（3）环境质量底线</w:t>
            </w:r>
          </w:p>
          <w:p w14:paraId="03CF9D7A">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kern w:val="2"/>
                <w:sz w:val="24"/>
                <w:szCs w:val="24"/>
                <w:highlight w:val="none"/>
                <w:u w:val="single"/>
                <w:lang w:val="en-US" w:eastAsia="zh-CN" w:bidi="ar-SA"/>
              </w:rPr>
            </w:pPr>
            <w:r>
              <w:rPr>
                <w:rFonts w:hint="default" w:ascii="Times New Roman" w:hAnsi="Times New Roman" w:cs="Times New Roman"/>
                <w:sz w:val="24"/>
                <w:highlight w:val="none"/>
              </w:rPr>
              <w:t>该区域纳污河流灰河（本项目</w:t>
            </w:r>
            <w:r>
              <w:rPr>
                <w:rFonts w:hint="default" w:ascii="Times New Roman" w:hAnsi="Times New Roman" w:cs="Times New Roman"/>
                <w:sz w:val="24"/>
                <w:highlight w:val="none"/>
                <w:lang w:val="en-US" w:eastAsia="zh-CN"/>
              </w:rPr>
              <w:t>北</w:t>
            </w:r>
            <w:r>
              <w:rPr>
                <w:rFonts w:hint="default" w:ascii="Times New Roman" w:hAnsi="Times New Roman" w:cs="Times New Roman"/>
                <w:sz w:val="24"/>
                <w:highlight w:val="none"/>
              </w:rPr>
              <w:t>侧</w:t>
            </w:r>
            <w:r>
              <w:rPr>
                <w:rFonts w:hint="default" w:ascii="Times New Roman" w:hAnsi="Times New Roman" w:cs="Times New Roman"/>
                <w:sz w:val="24"/>
                <w:highlight w:val="none"/>
                <w:lang w:val="en-US" w:eastAsia="zh-CN"/>
              </w:rPr>
              <w:t>直线距离570</w:t>
            </w:r>
            <w:r>
              <w:rPr>
                <w:rFonts w:hint="default" w:ascii="Times New Roman" w:hAnsi="Times New Roman" w:cs="Times New Roman"/>
                <w:sz w:val="24"/>
                <w:highlight w:val="none"/>
              </w:rPr>
              <w:t>m</w:t>
            </w:r>
            <w:r>
              <w:rPr>
                <w:rFonts w:hint="default" w:ascii="Times New Roman" w:hAnsi="Times New Roman" w:cs="Times New Roman"/>
                <w:sz w:val="24"/>
                <w:highlight w:val="none"/>
                <w:lang w:val="en-US" w:eastAsia="zh-CN"/>
              </w:rPr>
              <w:t>处</w:t>
            </w:r>
            <w:r>
              <w:rPr>
                <w:rFonts w:hint="default" w:ascii="Times New Roman" w:hAnsi="Times New Roman" w:cs="Times New Roman"/>
                <w:sz w:val="24"/>
                <w:highlight w:val="none"/>
              </w:rPr>
              <w:t>）执行《地表水环境质量标准》（GB3838-2002）IV类标准</w:t>
            </w:r>
            <w:r>
              <w:rPr>
                <w:rFonts w:hint="default" w:ascii="Times New Roman" w:hAnsi="Times New Roman" w:eastAsia="宋体" w:cs="Times New Roman"/>
                <w:color w:val="auto"/>
                <w:kern w:val="2"/>
                <w:sz w:val="24"/>
                <w:szCs w:val="24"/>
                <w:highlight w:val="none"/>
                <w:u w:val="none"/>
                <w:lang w:val="en-US" w:eastAsia="zh-CN" w:bidi="ar-SA"/>
              </w:rPr>
              <w:t>，</w:t>
            </w:r>
            <w:r>
              <w:rPr>
                <w:rFonts w:hint="default" w:ascii="Times New Roman" w:hAnsi="Times New Roman" w:cs="Times New Roman"/>
                <w:color w:val="auto"/>
                <w:sz w:val="24"/>
                <w:highlight w:val="none"/>
                <w:u w:val="none"/>
                <w:lang w:val="en-US" w:eastAsia="zh-CN"/>
              </w:rPr>
              <w:t>根据202</w:t>
            </w:r>
            <w:r>
              <w:rPr>
                <w:rFonts w:hint="eastAsia" w:cs="Times New Roman"/>
                <w:color w:val="auto"/>
                <w:sz w:val="24"/>
                <w:highlight w:val="none"/>
                <w:u w:val="none"/>
                <w:lang w:val="en-US" w:eastAsia="zh-CN"/>
              </w:rPr>
              <w:t>3</w:t>
            </w:r>
            <w:r>
              <w:rPr>
                <w:rFonts w:hint="default" w:ascii="Times New Roman" w:hAnsi="Times New Roman" w:cs="Times New Roman"/>
                <w:color w:val="auto"/>
                <w:sz w:val="24"/>
                <w:highlight w:val="none"/>
                <w:u w:val="none"/>
                <w:lang w:val="en-US" w:eastAsia="zh-CN"/>
              </w:rPr>
              <w:t>年平顶山对灰河</w:t>
            </w:r>
            <w:r>
              <w:rPr>
                <w:rFonts w:hint="default" w:ascii="Times New Roman" w:hAnsi="Times New Roman" w:cs="Times New Roman"/>
                <w:sz w:val="24"/>
                <w:szCs w:val="24"/>
                <w:highlight w:val="none"/>
                <w:lang w:val="en-US" w:eastAsia="zh-CN"/>
              </w:rPr>
              <w:t>水寨</w:t>
            </w:r>
            <w:r>
              <w:rPr>
                <w:rFonts w:hint="default" w:ascii="Times New Roman" w:hAnsi="Times New Roman" w:cs="Times New Roman"/>
                <w:sz w:val="24"/>
                <w:szCs w:val="24"/>
                <w:highlight w:val="none"/>
              </w:rPr>
              <w:t>屈庄断面</w:t>
            </w:r>
            <w:r>
              <w:rPr>
                <w:rFonts w:hint="default" w:ascii="Times New Roman" w:hAnsi="Times New Roman" w:cs="Times New Roman"/>
                <w:color w:val="auto"/>
                <w:sz w:val="24"/>
                <w:szCs w:val="24"/>
                <w:highlight w:val="none"/>
                <w:u w:val="none"/>
                <w:lang w:val="en-US" w:eastAsia="zh-CN"/>
              </w:rPr>
              <w:t>的监</w:t>
            </w:r>
            <w:r>
              <w:rPr>
                <w:rFonts w:hint="default" w:ascii="Times New Roman" w:hAnsi="Times New Roman" w:cs="Times New Roman"/>
                <w:color w:val="auto"/>
                <w:sz w:val="24"/>
                <w:highlight w:val="none"/>
                <w:u w:val="none"/>
                <w:lang w:val="en-US" w:eastAsia="zh-CN"/>
              </w:rPr>
              <w:t>测数据可知，项目所在区域地表水环境质量</w:t>
            </w:r>
            <w:r>
              <w:rPr>
                <w:rFonts w:hint="default" w:ascii="Times New Roman" w:hAnsi="Times New Roman" w:eastAsia="宋体" w:cs="Times New Roman"/>
                <w:color w:val="auto"/>
                <w:sz w:val="24"/>
                <w:szCs w:val="24"/>
                <w:highlight w:val="none"/>
                <w:lang w:val="en-US" w:eastAsia="zh-CN"/>
              </w:rPr>
              <w:t>监测因子均满足</w:t>
            </w:r>
            <w:r>
              <w:rPr>
                <w:rFonts w:hint="default" w:ascii="Times New Roman" w:hAnsi="Times New Roman" w:cs="Times New Roman"/>
                <w:color w:val="auto"/>
                <w:sz w:val="24"/>
                <w:highlight w:val="none"/>
                <w:u w:val="none"/>
              </w:rPr>
              <w:t>《地表水环境质量标准》（GB3838-2002）</w:t>
            </w:r>
            <w:r>
              <w:rPr>
                <w:rFonts w:hint="default" w:ascii="Times New Roman" w:hAnsi="Times New Roman" w:cs="Times New Roman"/>
                <w:sz w:val="24"/>
                <w:highlight w:val="none"/>
              </w:rPr>
              <w:t>IV</w:t>
            </w:r>
            <w:r>
              <w:rPr>
                <w:rFonts w:hint="default" w:ascii="Times New Roman" w:hAnsi="Times New Roman" w:cs="Times New Roman"/>
                <w:color w:val="auto"/>
                <w:sz w:val="24"/>
                <w:highlight w:val="none"/>
                <w:u w:val="none"/>
              </w:rPr>
              <w:t>类标准</w:t>
            </w:r>
            <w:r>
              <w:rPr>
                <w:rFonts w:hint="default" w:ascii="Times New Roman" w:hAnsi="Times New Roman" w:eastAsia="宋体" w:cs="Times New Roman"/>
                <w:color w:val="auto"/>
                <w:kern w:val="2"/>
                <w:sz w:val="24"/>
                <w:szCs w:val="24"/>
                <w:highlight w:val="none"/>
                <w:u w:val="none"/>
                <w:lang w:val="en-US" w:eastAsia="zh-CN" w:bidi="ar-SA"/>
              </w:rPr>
              <w:t>。项目运营过程中生产废水循环利用，不外排；生活污水经化粪池处理后用于周围农田施肥，资源化利用，不外排。通过</w:t>
            </w:r>
            <w:r>
              <w:rPr>
                <w:rFonts w:hint="default" w:ascii="Times New Roman" w:hAnsi="Times New Roman" w:eastAsia="宋体" w:cs="Times New Roman"/>
                <w:color w:val="auto"/>
                <w:sz w:val="24"/>
                <w:szCs w:val="24"/>
                <w:highlight w:val="none"/>
              </w:rPr>
              <w:t>《平顶山市202</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碧水保卫战实施方案的通知</w:t>
            </w:r>
            <w:r>
              <w:rPr>
                <w:rFonts w:hint="default" w:ascii="Times New Roman" w:hAnsi="Times New Roman" w:eastAsia="宋体" w:cs="Times New Roman"/>
                <w:color w:val="auto"/>
                <w:sz w:val="24"/>
                <w:szCs w:val="24"/>
                <w:highlight w:val="none"/>
              </w:rPr>
              <w:t>》的实施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通过</w:t>
            </w:r>
            <w:r>
              <w:rPr>
                <w:rFonts w:hint="default" w:ascii="Times New Roman" w:hAnsi="Times New Roman" w:eastAsia="宋体" w:cs="Times New Roman"/>
                <w:color w:val="auto"/>
                <w:sz w:val="24"/>
                <w:szCs w:val="24"/>
                <w:highlight w:val="none"/>
              </w:rPr>
              <w:t>开展城市黑臭水体排查整治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加快推进城镇生活污水基础设施建设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加快城镇生活污水处理厂污泥安全处置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按照城镇污泥处置减量化、稳定化、无害化、资源化要求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推动城市排水系统溢流污染控制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鼓励有条件的县，结合本地实际，开展排水系统溢流污染控制试点</w:t>
            </w:r>
            <w:r>
              <w:rPr>
                <w:rFonts w:hint="default" w:ascii="Times New Roman" w:hAnsi="Times New Roman" w:eastAsia="宋体" w:cs="Times New Roman"/>
                <w:color w:val="auto"/>
                <w:sz w:val="24"/>
                <w:szCs w:val="24"/>
                <w:highlight w:val="none"/>
                <w:lang w:val="en-US" w:eastAsia="zh-CN"/>
              </w:rPr>
              <w:t>等措施。</w:t>
            </w:r>
            <w:r>
              <w:rPr>
                <w:rFonts w:hint="default" w:ascii="Times New Roman" w:hAnsi="Times New Roman" w:eastAsia="宋体" w:cs="Times New Roman"/>
                <w:color w:val="auto"/>
                <w:sz w:val="24"/>
                <w:szCs w:val="24"/>
                <w:highlight w:val="none"/>
              </w:rPr>
              <w:t>改善当地环境质量，使</w:t>
            </w:r>
            <w:r>
              <w:rPr>
                <w:rFonts w:hint="default" w:ascii="Times New Roman" w:hAnsi="Times New Roman" w:eastAsia="宋体" w:cs="Times New Roman"/>
                <w:color w:val="auto"/>
                <w:sz w:val="24"/>
                <w:szCs w:val="24"/>
                <w:highlight w:val="none"/>
                <w:lang w:val="en-US" w:eastAsia="zh-CN"/>
              </w:rPr>
              <w:t>水环境</w:t>
            </w:r>
            <w:r>
              <w:rPr>
                <w:rFonts w:hint="default" w:ascii="Times New Roman" w:hAnsi="Times New Roman" w:eastAsia="宋体" w:cs="Times New Roman"/>
                <w:color w:val="auto"/>
                <w:sz w:val="24"/>
                <w:szCs w:val="24"/>
                <w:highlight w:val="none"/>
              </w:rPr>
              <w:t>质量将逐渐转好。</w:t>
            </w:r>
          </w:p>
          <w:p w14:paraId="13D95D28">
            <w:pPr>
              <w:keepNext w:val="0"/>
              <w:keepLines w:val="0"/>
              <w:pageBreakBefore w:val="0"/>
              <w:widowControl w:val="0"/>
              <w:kinsoku/>
              <w:wordWrap/>
              <w:overflowPunct w:val="0"/>
              <w:topLinePunct/>
              <w:bidi w:val="0"/>
              <w:snapToGrid/>
              <w:spacing w:line="50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4"/>
                <w:highlight w:val="none"/>
                <w:u w:val="none"/>
                <w:lang w:val="en-US" w:eastAsia="zh-CN" w:bidi="ar-SA"/>
              </w:rPr>
              <w:t>本项目区域环境空气执行《环境空气质量标准》（GB3095-2012）中二级标准及修改单标准，根据202</w:t>
            </w:r>
            <w:r>
              <w:rPr>
                <w:rFonts w:hint="eastAsia" w:cs="Times New Roman"/>
                <w:color w:val="auto"/>
                <w:kern w:val="2"/>
                <w:sz w:val="24"/>
                <w:szCs w:val="24"/>
                <w:highlight w:val="none"/>
                <w:u w:val="none"/>
                <w:lang w:val="en-US" w:eastAsia="zh-CN" w:bidi="ar-SA"/>
              </w:rPr>
              <w:t>3</w:t>
            </w:r>
            <w:r>
              <w:rPr>
                <w:rFonts w:hint="default" w:ascii="Times New Roman" w:hAnsi="Times New Roman" w:eastAsia="宋体" w:cs="Times New Roman"/>
                <w:color w:val="auto"/>
                <w:kern w:val="2"/>
                <w:sz w:val="24"/>
                <w:szCs w:val="24"/>
                <w:highlight w:val="none"/>
                <w:u w:val="none"/>
                <w:lang w:val="en-US" w:eastAsia="zh-CN" w:bidi="ar-SA"/>
              </w:rPr>
              <w:t>年度环境空气质量现状调查，项目区域环境空气</w:t>
            </w:r>
            <w:r>
              <w:rPr>
                <w:rFonts w:hint="eastAsia" w:cs="Times New Roman"/>
                <w:color w:val="auto"/>
                <w:kern w:val="2"/>
                <w:sz w:val="24"/>
                <w:szCs w:val="24"/>
                <w:highlight w:val="none"/>
                <w:u w:val="none"/>
                <w:lang w:val="en-US" w:eastAsia="zh-CN" w:bidi="ar-SA"/>
              </w:rPr>
              <w:t>除</w:t>
            </w:r>
            <w:r>
              <w:rPr>
                <w:rFonts w:hint="default" w:ascii="Times New Roman" w:hAnsi="Times New Roman" w:eastAsia="宋体" w:cs="Times New Roman"/>
                <w:color w:val="auto"/>
                <w:kern w:val="2"/>
                <w:sz w:val="24"/>
                <w:szCs w:val="24"/>
                <w:highlight w:val="none"/>
                <w:u w:val="none"/>
                <w:lang w:val="en-US" w:eastAsia="zh-CN" w:bidi="ar-SA"/>
              </w:rPr>
              <w:t>PM</w:t>
            </w:r>
            <w:r>
              <w:rPr>
                <w:rFonts w:hint="default" w:ascii="Times New Roman" w:hAnsi="Times New Roman" w:eastAsia="宋体" w:cs="Times New Roman"/>
                <w:color w:val="auto"/>
                <w:kern w:val="2"/>
                <w:sz w:val="24"/>
                <w:szCs w:val="24"/>
                <w:highlight w:val="none"/>
                <w:u w:val="none"/>
                <w:vertAlign w:val="subscript"/>
                <w:lang w:val="en-US" w:eastAsia="zh-CN" w:bidi="ar-SA"/>
              </w:rPr>
              <w:t>10</w:t>
            </w:r>
            <w:r>
              <w:rPr>
                <w:rFonts w:hint="default" w:ascii="Times New Roman" w:hAnsi="Times New Roman" w:eastAsia="宋体" w:cs="Times New Roman"/>
                <w:color w:val="auto"/>
                <w:kern w:val="2"/>
                <w:sz w:val="24"/>
                <w:szCs w:val="24"/>
                <w:highlight w:val="none"/>
                <w:u w:val="none"/>
                <w:lang w:val="en-US" w:eastAsia="zh-CN" w:bidi="ar-SA"/>
              </w:rPr>
              <w:t>、PM</w:t>
            </w:r>
            <w:r>
              <w:rPr>
                <w:rFonts w:hint="default" w:ascii="Times New Roman" w:hAnsi="Times New Roman" w:eastAsia="宋体" w:cs="Times New Roman"/>
                <w:color w:val="auto"/>
                <w:kern w:val="2"/>
                <w:sz w:val="24"/>
                <w:szCs w:val="24"/>
                <w:highlight w:val="none"/>
                <w:u w:val="none"/>
                <w:vertAlign w:val="subscript"/>
                <w:lang w:val="en-US" w:eastAsia="zh-CN" w:bidi="ar-SA"/>
              </w:rPr>
              <w:t>2.5</w:t>
            </w:r>
            <w:r>
              <w:rPr>
                <w:rFonts w:hint="eastAsia" w:cs="Times New Roman"/>
                <w:color w:val="auto"/>
                <w:kern w:val="2"/>
                <w:sz w:val="24"/>
                <w:szCs w:val="24"/>
                <w:highlight w:val="none"/>
                <w:u w:val="none"/>
                <w:vertAlign w:val="baseline"/>
                <w:lang w:val="en-US" w:eastAsia="zh-CN" w:bidi="ar-SA"/>
              </w:rPr>
              <w:t>之外，其余</w:t>
            </w:r>
            <w:r>
              <w:rPr>
                <w:rFonts w:hint="default" w:ascii="Times New Roman" w:hAnsi="Times New Roman" w:cs="Times New Roman"/>
                <w:sz w:val="24"/>
                <w:szCs w:val="24"/>
                <w:highlight w:val="none"/>
              </w:rPr>
              <w:t>SO</w:t>
            </w:r>
            <w:r>
              <w:rPr>
                <w:rFonts w:hint="default" w:ascii="Times New Roman" w:hAnsi="Times New Roman" w:cs="Times New Roman"/>
                <w:sz w:val="24"/>
                <w:szCs w:val="24"/>
                <w:highlight w:val="none"/>
                <w:vertAlign w:val="subscript"/>
              </w:rPr>
              <w:t>2</w:t>
            </w:r>
            <w:r>
              <w:rPr>
                <w:rFonts w:hint="default" w:ascii="Times New Roman" w:hAnsi="Times New Roman" w:cs="Times New Roman"/>
                <w:sz w:val="24"/>
                <w:szCs w:val="24"/>
                <w:highlight w:val="none"/>
              </w:rPr>
              <w:t>、NO</w:t>
            </w:r>
            <w:r>
              <w:rPr>
                <w:rFonts w:hint="default" w:ascii="Times New Roman" w:hAnsi="Times New Roman" w:cs="Times New Roman"/>
                <w:sz w:val="24"/>
                <w:szCs w:val="24"/>
                <w:highlight w:val="none"/>
                <w:vertAlign w:val="subscript"/>
              </w:rPr>
              <w:t>2</w:t>
            </w:r>
            <w:r>
              <w:rPr>
                <w:rFonts w:hint="default" w:ascii="Times New Roman" w:hAnsi="Times New Roman" w:eastAsia="宋体" w:cs="Times New Roman"/>
                <w:color w:val="auto"/>
                <w:kern w:val="2"/>
                <w:sz w:val="24"/>
                <w:szCs w:val="24"/>
                <w:highlight w:val="none"/>
                <w:u w:val="none"/>
                <w:vertAlign w:val="baseline"/>
                <w:lang w:val="en-US" w:eastAsia="zh-CN" w:bidi="ar-SA"/>
              </w:rPr>
              <w:t>、</w:t>
            </w:r>
            <w:r>
              <w:rPr>
                <w:rFonts w:hint="default" w:ascii="Times New Roman" w:hAnsi="Times New Roman" w:cs="Times New Roman"/>
                <w:sz w:val="24"/>
                <w:szCs w:val="24"/>
                <w:highlight w:val="none"/>
              </w:rPr>
              <w:t>CO</w:t>
            </w:r>
            <w:r>
              <w:rPr>
                <w:rFonts w:hint="eastAsia" w:ascii="Times New Roman" w:hAnsi="Times New Roman" w:cs="Times New Roman"/>
                <w:sz w:val="24"/>
                <w:szCs w:val="24"/>
                <w:highlight w:val="none"/>
                <w:lang w:val="en-US" w:eastAsia="zh-CN"/>
              </w:rPr>
              <w:t>和</w:t>
            </w:r>
            <w:r>
              <w:rPr>
                <w:rFonts w:hint="default" w:ascii="Times New Roman" w:hAnsi="Times New Roman" w:cs="Times New Roman"/>
                <w:sz w:val="24"/>
                <w:szCs w:val="24"/>
                <w:highlight w:val="none"/>
              </w:rPr>
              <w:t>O</w:t>
            </w:r>
            <w:r>
              <w:rPr>
                <w:rFonts w:hint="default" w:ascii="Times New Roman" w:hAnsi="Times New Roman" w:cs="Times New Roman"/>
                <w:sz w:val="24"/>
                <w:szCs w:val="24"/>
                <w:highlight w:val="none"/>
                <w:vertAlign w:val="subscript"/>
              </w:rPr>
              <w:t>3</w:t>
            </w:r>
            <w:r>
              <w:rPr>
                <w:rFonts w:hint="default" w:ascii="Times New Roman" w:hAnsi="Times New Roman" w:eastAsia="宋体" w:cs="Times New Roman"/>
                <w:color w:val="auto"/>
                <w:kern w:val="2"/>
                <w:sz w:val="24"/>
                <w:szCs w:val="24"/>
                <w:highlight w:val="none"/>
                <w:u w:val="none"/>
                <w:lang w:val="en-US" w:eastAsia="zh-CN" w:bidi="ar-SA"/>
              </w:rPr>
              <w:t>因子均满足《环境空气质量标准》（GB3095-2012）中二级标准的要求。本项目营运后在各个产污工序环节都设置了</w:t>
            </w:r>
            <w:r>
              <w:rPr>
                <w:rFonts w:hint="eastAsia" w:cs="Times New Roman"/>
                <w:color w:val="auto"/>
                <w:kern w:val="2"/>
                <w:sz w:val="24"/>
                <w:szCs w:val="24"/>
                <w:highlight w:val="none"/>
                <w:u w:val="none"/>
                <w:lang w:val="en-US" w:eastAsia="zh-CN" w:bidi="ar-SA"/>
              </w:rPr>
              <w:t>集气罩装置</w:t>
            </w:r>
            <w:r>
              <w:rPr>
                <w:rFonts w:hint="default" w:ascii="Times New Roman" w:hAnsi="Times New Roman" w:eastAsia="宋体" w:cs="Times New Roman"/>
                <w:color w:val="auto"/>
                <w:kern w:val="2"/>
                <w:sz w:val="24"/>
                <w:szCs w:val="24"/>
                <w:highlight w:val="none"/>
                <w:u w:val="none"/>
                <w:lang w:val="en-US" w:eastAsia="zh-CN" w:bidi="ar-SA"/>
              </w:rPr>
              <w:t>，经过</w:t>
            </w:r>
            <w:r>
              <w:rPr>
                <w:rFonts w:hint="eastAsia" w:cs="Times New Roman"/>
                <w:color w:val="auto"/>
                <w:kern w:val="2"/>
                <w:sz w:val="24"/>
                <w:szCs w:val="24"/>
                <w:highlight w:val="none"/>
                <w:u w:val="none"/>
                <w:lang w:val="en-US" w:eastAsia="zh-CN" w:bidi="ar-SA"/>
              </w:rPr>
              <w:t>袋式除尘器</w:t>
            </w:r>
            <w:r>
              <w:rPr>
                <w:rFonts w:hint="default" w:ascii="Times New Roman" w:hAnsi="Times New Roman" w:eastAsia="宋体" w:cs="Times New Roman"/>
                <w:color w:val="auto"/>
                <w:kern w:val="2"/>
                <w:sz w:val="24"/>
                <w:szCs w:val="24"/>
                <w:highlight w:val="none"/>
                <w:u w:val="none"/>
                <w:lang w:val="en-US" w:eastAsia="zh-CN" w:bidi="ar-SA"/>
              </w:rPr>
              <w:t>处理后</w:t>
            </w:r>
            <w:r>
              <w:rPr>
                <w:rFonts w:hint="default" w:ascii="Times New Roman" w:hAnsi="Times New Roman" w:cs="Times New Roman"/>
                <w:color w:val="auto"/>
                <w:kern w:val="2"/>
                <w:sz w:val="24"/>
                <w:szCs w:val="24"/>
                <w:highlight w:val="none"/>
                <w:u w:val="none"/>
                <w:lang w:val="en-US" w:eastAsia="zh-CN" w:bidi="ar-SA"/>
              </w:rPr>
              <w:t>再</w:t>
            </w:r>
            <w:r>
              <w:rPr>
                <w:rFonts w:hint="default" w:ascii="Times New Roman" w:hAnsi="Times New Roman" w:eastAsia="宋体" w:cs="Times New Roman"/>
                <w:color w:val="auto"/>
                <w:kern w:val="2"/>
                <w:sz w:val="24"/>
                <w:szCs w:val="24"/>
                <w:highlight w:val="none"/>
                <w:u w:val="none"/>
                <w:lang w:val="en-US" w:eastAsia="zh-CN" w:bidi="ar-SA"/>
              </w:rPr>
              <w:t>达标排放</w:t>
            </w:r>
            <w:r>
              <w:rPr>
                <w:rFonts w:hint="default" w:ascii="Times New Roman" w:hAnsi="Times New Roman" w:cs="Times New Roman"/>
                <w:color w:val="auto"/>
                <w:kern w:val="2"/>
                <w:sz w:val="24"/>
                <w:szCs w:val="24"/>
                <w:highlight w:val="none"/>
                <w:u w:val="none"/>
                <w:lang w:val="en-US" w:eastAsia="zh-CN" w:bidi="ar-SA"/>
              </w:rPr>
              <w:t>。</w:t>
            </w:r>
            <w:r>
              <w:rPr>
                <w:rFonts w:hint="default" w:ascii="Times New Roman" w:hAnsi="Times New Roman" w:eastAsia="宋体" w:cs="Times New Roman"/>
                <w:color w:val="auto"/>
                <w:kern w:val="2"/>
                <w:sz w:val="24"/>
                <w:szCs w:val="24"/>
                <w:highlight w:val="none"/>
                <w:u w:val="none"/>
                <w:lang w:val="en-US" w:eastAsia="zh-CN" w:bidi="ar-SA"/>
              </w:rPr>
              <w:t>通过</w:t>
            </w:r>
            <w:r>
              <w:rPr>
                <w:rFonts w:hint="default" w:ascii="Times New Roman" w:hAnsi="Times New Roman" w:eastAsia="宋体" w:cs="Times New Roman"/>
                <w:color w:val="auto"/>
                <w:sz w:val="24"/>
                <w:szCs w:val="24"/>
                <w:highlight w:val="none"/>
              </w:rPr>
              <w:t>《平顶山市202</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蓝天保卫战实施方案的通知</w:t>
            </w:r>
            <w:r>
              <w:rPr>
                <w:rFonts w:hint="default" w:ascii="Times New Roman" w:hAnsi="Times New Roman" w:eastAsia="宋体" w:cs="Times New Roman"/>
                <w:color w:val="auto"/>
                <w:sz w:val="24"/>
                <w:szCs w:val="24"/>
                <w:highlight w:val="none"/>
              </w:rPr>
              <w:t>》的实施，</w:t>
            </w:r>
            <w:r>
              <w:rPr>
                <w:rFonts w:ascii="Times New Roman" w:hAnsi="Times New Roman" w:eastAsia="宋体"/>
                <w:color w:val="auto"/>
                <w:sz w:val="24"/>
                <w:szCs w:val="24"/>
                <w:highlight w:val="none"/>
              </w:rPr>
              <w:t>通过</w:t>
            </w:r>
            <w:r>
              <w:rPr>
                <w:rFonts w:hint="eastAsia"/>
                <w:color w:val="auto"/>
                <w:sz w:val="24"/>
                <w:szCs w:val="24"/>
                <w:highlight w:val="none"/>
                <w:lang w:val="en-US" w:eastAsia="zh-CN"/>
              </w:rPr>
              <w:t>实施工业炉窑清洁能源替代</w:t>
            </w:r>
            <w:r>
              <w:rPr>
                <w:rFonts w:ascii="Times New Roman" w:hAnsi="Times New Roman" w:eastAsia="宋体"/>
                <w:color w:val="auto"/>
                <w:sz w:val="24"/>
                <w:szCs w:val="24"/>
                <w:highlight w:val="none"/>
              </w:rPr>
              <w:t>，</w:t>
            </w:r>
            <w:r>
              <w:rPr>
                <w:rFonts w:hint="eastAsia"/>
                <w:color w:val="auto"/>
                <w:sz w:val="24"/>
                <w:szCs w:val="24"/>
                <w:highlight w:val="none"/>
                <w:lang w:val="en-US" w:eastAsia="zh-CN"/>
              </w:rPr>
              <w:t>持续推进</w:t>
            </w:r>
            <w:r>
              <w:rPr>
                <w:rFonts w:ascii="Times New Roman" w:hAnsi="Times New Roman" w:eastAsia="宋体"/>
                <w:color w:val="auto"/>
                <w:sz w:val="24"/>
                <w:szCs w:val="24"/>
                <w:highlight w:val="none"/>
              </w:rPr>
              <w:t>清洁取暖</w:t>
            </w:r>
            <w:r>
              <w:rPr>
                <w:rFonts w:hint="eastAsia"/>
                <w:color w:val="auto"/>
                <w:sz w:val="24"/>
                <w:szCs w:val="24"/>
                <w:highlight w:val="none"/>
                <w:lang w:val="en-US" w:eastAsia="zh-CN"/>
              </w:rPr>
              <w:t>改造</w:t>
            </w:r>
            <w:r>
              <w:rPr>
                <w:rFonts w:ascii="Times New Roman" w:hAnsi="Times New Roman" w:eastAsia="宋体"/>
                <w:color w:val="auto"/>
                <w:sz w:val="24"/>
                <w:szCs w:val="24"/>
                <w:highlight w:val="none"/>
              </w:rPr>
              <w:t>，</w:t>
            </w:r>
            <w:r>
              <w:rPr>
                <w:rFonts w:hint="eastAsia"/>
                <w:color w:val="auto"/>
                <w:sz w:val="24"/>
                <w:szCs w:val="24"/>
                <w:highlight w:val="none"/>
                <w:lang w:val="en-US" w:eastAsia="zh-CN"/>
              </w:rPr>
              <w:t>加快煤电结构优化调整</w:t>
            </w:r>
            <w:r>
              <w:rPr>
                <w:rFonts w:ascii="Times New Roman" w:hAnsi="Times New Roman" w:eastAsia="宋体"/>
                <w:color w:val="auto"/>
                <w:sz w:val="24"/>
                <w:szCs w:val="24"/>
                <w:highlight w:val="none"/>
              </w:rPr>
              <w:t>，</w:t>
            </w:r>
            <w:r>
              <w:rPr>
                <w:rFonts w:hint="eastAsia"/>
                <w:color w:val="auto"/>
                <w:sz w:val="24"/>
                <w:szCs w:val="24"/>
                <w:highlight w:val="none"/>
                <w:lang w:val="en-US" w:eastAsia="zh-CN"/>
              </w:rPr>
              <w:t>大力推广新能源汽车</w:t>
            </w:r>
            <w:r>
              <w:rPr>
                <w:rFonts w:ascii="Times New Roman" w:hAnsi="Times New Roman" w:eastAsia="宋体"/>
                <w:color w:val="auto"/>
                <w:sz w:val="24"/>
                <w:szCs w:val="24"/>
                <w:highlight w:val="none"/>
              </w:rPr>
              <w:t>，强化重点工业企业无组织排放治理，</w:t>
            </w:r>
            <w:r>
              <w:rPr>
                <w:rFonts w:hint="default" w:ascii="Times New Roman" w:hAnsi="Times New Roman" w:eastAsia="宋体" w:cs="Times New Roman"/>
                <w:color w:val="auto"/>
                <w:sz w:val="24"/>
                <w:szCs w:val="24"/>
                <w:highlight w:val="none"/>
              </w:rPr>
              <w:t>开展工业燃煤设施拆改，</w:t>
            </w:r>
            <w:r>
              <w:rPr>
                <w:rFonts w:hint="eastAsia"/>
                <w:color w:val="auto"/>
                <w:sz w:val="24"/>
                <w:szCs w:val="24"/>
                <w:highlight w:val="none"/>
                <w:lang w:val="en-US" w:eastAsia="zh-CN"/>
              </w:rPr>
              <w:t>开展低效失效治理设施排查整治</w:t>
            </w:r>
            <w:r>
              <w:rPr>
                <w:rFonts w:ascii="Times New Roman" w:hAnsi="Times New Roman" w:eastAsia="宋体"/>
                <w:color w:val="auto"/>
                <w:sz w:val="24"/>
                <w:szCs w:val="24"/>
                <w:highlight w:val="none"/>
              </w:rPr>
              <w:t>等管理，</w:t>
            </w:r>
            <w:r>
              <w:rPr>
                <w:rFonts w:hint="default" w:ascii="Times New Roman" w:hAnsi="Times New Roman" w:eastAsia="宋体" w:cs="Times New Roman"/>
                <w:color w:val="auto"/>
                <w:sz w:val="24"/>
                <w:szCs w:val="24"/>
                <w:highlight w:val="none"/>
              </w:rPr>
              <w:t>强化挥发性有机物（VOCs）污染防治等措施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改善当地环境质量，使空气质量将逐渐转好。</w:t>
            </w:r>
          </w:p>
          <w:p w14:paraId="57870552">
            <w:pPr>
              <w:pStyle w:val="35"/>
              <w:keepNext w:val="0"/>
              <w:keepLines w:val="0"/>
              <w:pageBreakBefore w:val="0"/>
              <w:widowControl w:val="0"/>
              <w:kinsoku/>
              <w:wordWrap w:val="0"/>
              <w:overflowPunct/>
              <w:topLinePunct w:val="0"/>
              <w:autoSpaceDE/>
              <w:autoSpaceDN/>
              <w:bidi w:val="0"/>
              <w:adjustRightInd/>
              <w:snapToGrid/>
              <w:spacing w:line="500" w:lineRule="exact"/>
              <w:ind w:firstLine="482"/>
              <w:textAlignment w:val="auto"/>
              <w:rPr>
                <w:rFonts w:hint="default" w:ascii="Times New Roman" w:hAnsi="Times New Roman" w:cs="Times New Roman"/>
                <w:highlight w:val="none"/>
              </w:rPr>
            </w:pPr>
            <w:r>
              <w:rPr>
                <w:rFonts w:hint="default" w:ascii="Times New Roman" w:hAnsi="Times New Roman" w:eastAsia="宋体" w:cs="Times New Roman"/>
                <w:color w:val="auto"/>
                <w:kern w:val="2"/>
                <w:sz w:val="24"/>
                <w:szCs w:val="24"/>
                <w:highlight w:val="none"/>
                <w:u w:val="none"/>
                <w:lang w:val="zh-CN" w:eastAsia="zh-CN" w:bidi="ar-SA"/>
              </w:rPr>
              <w:t>综上</w:t>
            </w:r>
            <w:r>
              <w:rPr>
                <w:rFonts w:hint="default" w:ascii="Times New Roman" w:hAnsi="Times New Roman" w:cs="Times New Roman"/>
                <w:color w:val="auto"/>
                <w:kern w:val="2"/>
                <w:sz w:val="24"/>
                <w:szCs w:val="24"/>
                <w:highlight w:val="none"/>
                <w:u w:val="none"/>
                <w:lang w:val="en-US" w:eastAsia="zh-CN" w:bidi="ar-SA"/>
              </w:rPr>
              <w:t>所述</w:t>
            </w:r>
            <w:r>
              <w:rPr>
                <w:rFonts w:hint="default" w:ascii="Times New Roman" w:hAnsi="Times New Roman" w:eastAsia="宋体" w:cs="Times New Roman"/>
                <w:color w:val="auto"/>
                <w:kern w:val="2"/>
                <w:sz w:val="24"/>
                <w:szCs w:val="24"/>
                <w:highlight w:val="none"/>
                <w:u w:val="none"/>
                <w:lang w:val="zh-CN" w:eastAsia="zh-CN" w:bidi="ar-SA"/>
              </w:rPr>
              <w:t>，</w:t>
            </w:r>
            <w:r>
              <w:rPr>
                <w:rFonts w:hint="default" w:ascii="Times New Roman" w:hAnsi="Times New Roman" w:eastAsia="宋体" w:cs="Times New Roman"/>
                <w:color w:val="auto"/>
                <w:sz w:val="24"/>
                <w:szCs w:val="24"/>
                <w:highlight w:val="none"/>
              </w:rPr>
              <w:t>项目运营期各环节</w:t>
            </w:r>
            <w:r>
              <w:rPr>
                <w:rFonts w:hint="default" w:ascii="Times New Roman" w:hAnsi="Times New Roman" w:cs="Times New Roman"/>
                <w:color w:val="auto"/>
                <w:sz w:val="24"/>
                <w:szCs w:val="24"/>
                <w:highlight w:val="none"/>
                <w:lang w:val="en-US" w:eastAsia="zh-CN"/>
              </w:rPr>
              <w:t>产生</w:t>
            </w:r>
            <w:r>
              <w:rPr>
                <w:rFonts w:hint="default" w:ascii="Times New Roman" w:hAnsi="Times New Roman" w:eastAsia="宋体" w:cs="Times New Roman"/>
                <w:color w:val="auto"/>
                <w:sz w:val="24"/>
                <w:szCs w:val="24"/>
                <w:highlight w:val="none"/>
              </w:rPr>
              <w:t>废气均采取</w:t>
            </w:r>
            <w:r>
              <w:rPr>
                <w:rFonts w:hint="default" w:ascii="Times New Roman" w:hAnsi="Times New Roman" w:eastAsia="宋体" w:cs="Times New Roman"/>
                <w:color w:val="auto"/>
                <w:sz w:val="24"/>
                <w:szCs w:val="24"/>
                <w:highlight w:val="none"/>
                <w:lang w:eastAsia="zh-CN"/>
              </w:rPr>
              <w:t>相应</w:t>
            </w:r>
            <w:r>
              <w:rPr>
                <w:rFonts w:hint="default" w:ascii="Times New Roman" w:hAnsi="Times New Roman" w:cs="Times New Roman"/>
                <w:color w:val="auto"/>
                <w:sz w:val="24"/>
                <w:szCs w:val="24"/>
                <w:highlight w:val="none"/>
                <w:lang w:val="en-US" w:eastAsia="zh-CN"/>
              </w:rPr>
              <w:t>环保</w:t>
            </w:r>
            <w:r>
              <w:rPr>
                <w:rFonts w:hint="default" w:ascii="Times New Roman" w:hAnsi="Times New Roman" w:eastAsia="宋体" w:cs="Times New Roman"/>
                <w:color w:val="auto"/>
                <w:sz w:val="24"/>
                <w:szCs w:val="24"/>
                <w:highlight w:val="none"/>
              </w:rPr>
              <w:t>处理措施后达标排放，</w:t>
            </w:r>
            <w:r>
              <w:rPr>
                <w:rFonts w:hint="default" w:ascii="Times New Roman" w:hAnsi="Times New Roman" w:eastAsia="宋体" w:cs="Times New Roman"/>
                <w:color w:val="auto"/>
                <w:sz w:val="24"/>
                <w:szCs w:val="24"/>
                <w:highlight w:val="none"/>
                <w:lang w:val="en-US" w:eastAsia="zh-CN"/>
              </w:rPr>
              <w:t>生产废水循环利用，不外排；</w:t>
            </w:r>
            <w:r>
              <w:rPr>
                <w:rFonts w:hint="default" w:ascii="Times New Roman" w:hAnsi="Times New Roman" w:cs="Times New Roman"/>
                <w:color w:val="auto"/>
                <w:sz w:val="24"/>
                <w:szCs w:val="24"/>
                <w:highlight w:val="none"/>
                <w:lang w:val="en-US" w:eastAsia="zh-CN"/>
              </w:rPr>
              <w:t>员工产生的</w:t>
            </w:r>
            <w:r>
              <w:rPr>
                <w:rFonts w:hint="default" w:ascii="Times New Roman" w:hAnsi="Times New Roman" w:eastAsia="宋体" w:cs="Times New Roman"/>
                <w:color w:val="auto"/>
                <w:sz w:val="24"/>
                <w:szCs w:val="24"/>
                <w:highlight w:val="none"/>
                <w:lang w:val="en-US" w:eastAsia="zh-CN"/>
              </w:rPr>
              <w:t>生</w:t>
            </w:r>
            <w:r>
              <w:rPr>
                <w:rFonts w:hint="default" w:ascii="Times New Roman" w:hAnsi="Times New Roman" w:cs="Times New Roman"/>
                <w:color w:val="auto"/>
                <w:sz w:val="24"/>
                <w:szCs w:val="24"/>
                <w:highlight w:val="none"/>
                <w:lang w:val="en-US" w:eastAsia="zh-CN"/>
              </w:rPr>
              <w:t>活</w:t>
            </w:r>
            <w:r>
              <w:rPr>
                <w:rFonts w:hint="default" w:ascii="Times New Roman" w:hAnsi="Times New Roman" w:eastAsia="宋体" w:cs="Times New Roman"/>
                <w:color w:val="auto"/>
                <w:sz w:val="24"/>
                <w:szCs w:val="24"/>
                <w:highlight w:val="none"/>
              </w:rPr>
              <w:t>废水经</w:t>
            </w:r>
            <w:r>
              <w:rPr>
                <w:rFonts w:hint="default" w:ascii="Times New Roman" w:hAnsi="Times New Roman" w:cs="Times New Roman"/>
                <w:color w:val="auto"/>
                <w:sz w:val="24"/>
                <w:szCs w:val="24"/>
                <w:highlight w:val="none"/>
                <w:lang w:val="en-US" w:eastAsia="zh-CN"/>
              </w:rPr>
              <w:t>化粪池</w:t>
            </w:r>
            <w:r>
              <w:rPr>
                <w:rFonts w:hint="default" w:ascii="Times New Roman" w:hAnsi="Times New Roman" w:eastAsia="宋体" w:cs="Times New Roman"/>
                <w:color w:val="auto"/>
                <w:sz w:val="24"/>
                <w:szCs w:val="24"/>
                <w:highlight w:val="none"/>
              </w:rPr>
              <w:t>处理后</w:t>
            </w:r>
            <w:r>
              <w:rPr>
                <w:rFonts w:hint="default" w:ascii="Times New Roman" w:hAnsi="Times New Roman" w:eastAsia="宋体" w:cs="Times New Roman"/>
                <w:color w:val="auto"/>
                <w:kern w:val="2"/>
                <w:sz w:val="24"/>
                <w:szCs w:val="24"/>
                <w:highlight w:val="none"/>
                <w:u w:val="none"/>
                <w:lang w:val="en-US" w:eastAsia="zh-CN" w:bidi="ar-SA"/>
              </w:rPr>
              <w:t>用于周围农田施肥，资源化利用，不外排</w:t>
            </w:r>
            <w:r>
              <w:rPr>
                <w:rFonts w:hint="default" w:ascii="Times New Roman" w:hAnsi="Times New Roman"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kern w:val="2"/>
                <w:sz w:val="24"/>
                <w:szCs w:val="24"/>
                <w:highlight w:val="none"/>
                <w:u w:val="none"/>
                <w:lang w:val="zh-CN" w:eastAsia="zh-CN" w:bidi="ar-SA"/>
              </w:rPr>
              <w:t>产生的</w:t>
            </w:r>
            <w:r>
              <w:rPr>
                <w:rFonts w:hint="default" w:ascii="Times New Roman" w:hAnsi="Times New Roman" w:eastAsia="宋体" w:cs="Times New Roman"/>
                <w:color w:val="auto"/>
                <w:kern w:val="2"/>
                <w:sz w:val="24"/>
                <w:szCs w:val="24"/>
                <w:highlight w:val="none"/>
                <w:u w:val="none"/>
                <w:lang w:val="en-US" w:eastAsia="zh-CN" w:bidi="ar-SA"/>
              </w:rPr>
              <w:t>固体</w:t>
            </w:r>
            <w:r>
              <w:rPr>
                <w:rFonts w:hint="default" w:ascii="Times New Roman" w:hAnsi="Times New Roman" w:eastAsia="宋体" w:cs="Times New Roman"/>
                <w:color w:val="auto"/>
                <w:kern w:val="2"/>
                <w:sz w:val="24"/>
                <w:szCs w:val="24"/>
                <w:highlight w:val="none"/>
                <w:u w:val="none"/>
                <w:lang w:val="zh-CN" w:eastAsia="zh-CN" w:bidi="ar-SA"/>
              </w:rPr>
              <w:t>废物按照</w:t>
            </w:r>
            <w:r>
              <w:rPr>
                <w:rFonts w:hint="default" w:ascii="Times New Roman" w:hAnsi="Times New Roman" w:eastAsia="宋体" w:cs="Times New Roman"/>
                <w:color w:val="auto"/>
                <w:sz w:val="24"/>
                <w:szCs w:val="24"/>
                <w:highlight w:val="none"/>
              </w:rPr>
              <w:t>《一般工业固体废物贮存</w:t>
            </w:r>
            <w:r>
              <w:rPr>
                <w:rFonts w:hint="default" w:ascii="Times New Roman" w:hAnsi="Times New Roman" w:eastAsia="宋体" w:cs="Times New Roman"/>
                <w:color w:val="auto"/>
                <w:sz w:val="24"/>
                <w:szCs w:val="24"/>
                <w:highlight w:val="none"/>
                <w:lang w:eastAsia="zh-CN"/>
              </w:rPr>
              <w:t>和填埋</w:t>
            </w:r>
            <w:r>
              <w:rPr>
                <w:rFonts w:hint="default" w:ascii="Times New Roman" w:hAnsi="Times New Roman" w:eastAsia="宋体" w:cs="Times New Roman"/>
                <w:color w:val="auto"/>
                <w:sz w:val="24"/>
                <w:szCs w:val="24"/>
                <w:highlight w:val="none"/>
              </w:rPr>
              <w:t>污染控制标准》（GB18599-2</w:t>
            </w:r>
            <w:r>
              <w:rPr>
                <w:rFonts w:hint="default" w:ascii="Times New Roman" w:hAnsi="Times New Roman" w:eastAsia="宋体" w:cs="Times New Roman"/>
                <w:color w:val="auto"/>
                <w:sz w:val="24"/>
                <w:szCs w:val="24"/>
                <w:highlight w:val="none"/>
                <w:lang w:val="en-US" w:eastAsia="zh-CN"/>
              </w:rPr>
              <w:t>020</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和</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危险</w:t>
            </w:r>
            <w:r>
              <w:rPr>
                <w:rFonts w:hint="default" w:ascii="Times New Roman" w:hAnsi="Times New Roman" w:cs="Times New Roman"/>
                <w:color w:val="auto"/>
                <w:sz w:val="24"/>
                <w:szCs w:val="24"/>
                <w:highlight w:val="none"/>
              </w:rPr>
              <w:t>废物贮存污染控制标准》（</w:t>
            </w:r>
            <w:r>
              <w:rPr>
                <w:rFonts w:hint="default" w:ascii="Times New Roman" w:hAnsi="Times New Roman" w:cs="Times New Roman"/>
                <w:color w:val="auto"/>
                <w:sz w:val="24"/>
                <w:highlight w:val="none"/>
              </w:rPr>
              <w:t>GB18597-20</w:t>
            </w:r>
            <w:r>
              <w:rPr>
                <w:rFonts w:hint="default" w:ascii="Times New Roman" w:hAnsi="Times New Roman" w:cs="Times New Roman"/>
                <w:color w:val="auto"/>
                <w:sz w:val="24"/>
                <w:highlight w:val="none"/>
                <w:lang w:val="en-US" w:eastAsia="zh-CN"/>
              </w:rPr>
              <w:t>23</w:t>
            </w:r>
            <w:r>
              <w:rPr>
                <w:rFonts w:hint="default" w:ascii="Times New Roman" w:hAnsi="Times New Roman" w:cs="Times New Roman"/>
                <w:color w:val="auto"/>
                <w:sz w:val="24"/>
                <w:szCs w:val="24"/>
                <w:highlight w:val="none"/>
              </w:rPr>
              <w:t>）</w:t>
            </w:r>
            <w:r>
              <w:rPr>
                <w:rFonts w:hint="default" w:ascii="Times New Roman" w:hAnsi="Times New Roman" w:eastAsia="宋体" w:cs="Times New Roman"/>
                <w:color w:val="auto"/>
                <w:kern w:val="2"/>
                <w:sz w:val="24"/>
                <w:szCs w:val="24"/>
                <w:highlight w:val="none"/>
                <w:u w:val="none"/>
                <w:lang w:val="zh-CN" w:eastAsia="zh-CN" w:bidi="ar-SA"/>
              </w:rPr>
              <w:t>进行处理，</w:t>
            </w:r>
            <w:r>
              <w:rPr>
                <w:rFonts w:hint="default" w:ascii="Times New Roman" w:hAnsi="Times New Roman" w:eastAsia="宋体" w:cs="Times New Roman"/>
                <w:color w:val="auto"/>
                <w:kern w:val="2"/>
                <w:sz w:val="24"/>
                <w:szCs w:val="24"/>
                <w:highlight w:val="none"/>
                <w:lang w:val="en-US" w:eastAsia="zh-CN" w:bidi="ar-SA"/>
              </w:rPr>
              <w:t>不会造成二次污染</w:t>
            </w:r>
            <w:r>
              <w:rPr>
                <w:rFonts w:hint="default" w:ascii="Times New Roman" w:hAnsi="Times New Roman" w:cs="Times New Roman"/>
                <w:color w:val="auto"/>
                <w:kern w:val="2"/>
                <w:sz w:val="24"/>
                <w:szCs w:val="24"/>
                <w:highlight w:val="none"/>
                <w:lang w:val="en-US" w:eastAsia="zh-CN" w:bidi="ar-SA"/>
              </w:rPr>
              <w:t>；本</w:t>
            </w:r>
            <w:r>
              <w:rPr>
                <w:rFonts w:hint="default" w:ascii="Times New Roman" w:hAnsi="Times New Roman" w:eastAsia="宋体" w:cs="Times New Roman"/>
                <w:color w:val="auto"/>
                <w:kern w:val="2"/>
                <w:sz w:val="24"/>
                <w:szCs w:val="24"/>
                <w:highlight w:val="none"/>
                <w:lang w:val="en-US" w:eastAsia="zh-CN" w:bidi="ar-SA"/>
              </w:rPr>
              <w:t>项目的高噪声设备经合理分布、有效治理后，对厂界影响较小。</w:t>
            </w:r>
            <w:r>
              <w:rPr>
                <w:rFonts w:hint="default" w:ascii="Times New Roman" w:hAnsi="Times New Roman" w:eastAsia="宋体" w:cs="Times New Roman"/>
                <w:color w:val="auto"/>
                <w:kern w:val="2"/>
                <w:sz w:val="24"/>
                <w:szCs w:val="24"/>
                <w:highlight w:val="none"/>
                <w:u w:val="none"/>
                <w:lang w:val="zh-CN" w:eastAsia="zh-CN" w:bidi="ar-SA"/>
              </w:rPr>
              <w:t>项目排放的污染物可得到有效控制，符合区域环境质量控制要求。</w:t>
            </w:r>
          </w:p>
          <w:p w14:paraId="367D7DAE">
            <w:pPr>
              <w:pStyle w:val="35"/>
              <w:keepNext w:val="0"/>
              <w:keepLines w:val="0"/>
              <w:pageBreakBefore w:val="0"/>
              <w:kinsoku/>
              <w:bidi w:val="0"/>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（4）生态环境准入清单</w:t>
            </w:r>
          </w:p>
          <w:p w14:paraId="5F0AAA1D">
            <w:pPr>
              <w:keepNext w:val="0"/>
              <w:keepLines w:val="0"/>
              <w:pageBreakBefore w:val="0"/>
              <w:widowControl w:val="0"/>
              <w:kinsoku/>
              <w:wordWrap/>
              <w:bidi w:val="0"/>
              <w:spacing w:line="500" w:lineRule="exact"/>
              <w:ind w:firstLine="480" w:firstLineChars="200"/>
              <w:textAlignment w:val="auto"/>
              <w:rPr>
                <w:rFonts w:hint="default" w:ascii="Times New Roman" w:hAnsi="Times New Roman" w:cs="Times New Roman"/>
                <w:bCs/>
                <w:highlight w:val="none"/>
                <w:lang w:bidi="ar"/>
              </w:rPr>
            </w:pPr>
            <w:r>
              <w:rPr>
                <w:rFonts w:hint="default" w:ascii="Times New Roman" w:hAnsi="Times New Roman" w:cs="Times New Roman"/>
                <w:color w:val="auto"/>
                <w:sz w:val="24"/>
                <w:highlight w:val="none"/>
              </w:rPr>
              <w:t>根据</w:t>
            </w:r>
            <w:r>
              <w:rPr>
                <w:rFonts w:hint="eastAsia" w:cs="Times New Roman"/>
                <w:color w:val="auto"/>
                <w:sz w:val="24"/>
                <w:highlight w:val="none"/>
                <w:lang w:eastAsia="zh-CN"/>
              </w:rPr>
              <w:t>《</w:t>
            </w:r>
            <w:r>
              <w:rPr>
                <w:rFonts w:hint="eastAsia"/>
                <w:sz w:val="24"/>
                <w:szCs w:val="24"/>
                <w:highlight w:val="none"/>
                <w:lang w:val="en-US" w:eastAsia="zh-CN"/>
              </w:rPr>
              <w:t>关于公布河南省“三线一单”生态环境分区管控更新成果（2023年版）的通知</w:t>
            </w:r>
            <w:r>
              <w:rPr>
                <w:rFonts w:hint="eastAsia" w:cs="Times New Roman"/>
                <w:color w:val="auto"/>
                <w:sz w:val="24"/>
                <w:highlight w:val="none"/>
                <w:lang w:eastAsia="zh-CN"/>
              </w:rPr>
              <w:t>》</w:t>
            </w:r>
            <w:r>
              <w:rPr>
                <w:rFonts w:hint="eastAsia" w:cs="Times New Roman"/>
                <w:color w:val="auto"/>
                <w:sz w:val="24"/>
                <w:szCs w:val="24"/>
                <w:highlight w:val="none"/>
                <w:lang w:eastAsia="zh-CN"/>
              </w:rPr>
              <w:t>（</w:t>
            </w:r>
            <w:r>
              <w:rPr>
                <w:rFonts w:hint="eastAsia"/>
                <w:sz w:val="24"/>
                <w:szCs w:val="24"/>
                <w:highlight w:val="none"/>
                <w:lang w:val="en-US" w:eastAsia="zh-CN"/>
              </w:rPr>
              <w:t>河南省生态环境厅公告2024年2号</w:t>
            </w:r>
            <w:r>
              <w:rPr>
                <w:rFonts w:hint="eastAsia" w:cs="Times New Roman"/>
                <w:color w:val="auto"/>
                <w:sz w:val="24"/>
                <w:szCs w:val="24"/>
                <w:highlight w:val="none"/>
                <w:lang w:eastAsia="zh-CN"/>
              </w:rPr>
              <w:t>）</w:t>
            </w:r>
            <w:r>
              <w:rPr>
                <w:rFonts w:hint="default" w:ascii="Times New Roman" w:hAnsi="Times New Roman" w:cs="Times New Roman"/>
                <w:color w:val="auto"/>
                <w:sz w:val="24"/>
                <w:highlight w:val="none"/>
              </w:rPr>
              <w:t>，本项目所在区域属于重点管控单元，单元名称：</w:t>
            </w:r>
            <w:r>
              <w:rPr>
                <w:rFonts w:hint="default" w:ascii="Times New Roman" w:hAnsi="Times New Roman" w:cs="Times New Roman"/>
                <w:color w:val="auto"/>
                <w:sz w:val="24"/>
                <w:highlight w:val="none"/>
                <w:lang w:val="en-US" w:eastAsia="zh-CN"/>
              </w:rPr>
              <w:t>叶县大气重点单元，</w:t>
            </w:r>
            <w:r>
              <w:rPr>
                <w:rFonts w:hint="default" w:ascii="Times New Roman" w:hAnsi="Times New Roman" w:cs="Times New Roman"/>
                <w:color w:val="auto"/>
                <w:sz w:val="24"/>
                <w:highlight w:val="none"/>
              </w:rPr>
              <w:t>单元编码：ZH4104</w:t>
            </w:r>
            <w:r>
              <w:rPr>
                <w:rFonts w:hint="default" w:ascii="Times New Roman" w:hAnsi="Times New Roman" w:cs="Times New Roman"/>
                <w:color w:val="auto"/>
                <w:sz w:val="24"/>
                <w:highlight w:val="none"/>
                <w:lang w:val="en-US" w:eastAsia="zh-CN"/>
              </w:rPr>
              <w:t>2220005</w:t>
            </w:r>
            <w:r>
              <w:rPr>
                <w:rFonts w:hint="default" w:ascii="Times New Roman" w:hAnsi="Times New Roman" w:cs="Times New Roman"/>
                <w:color w:val="auto"/>
                <w:sz w:val="24"/>
                <w:highlight w:val="none"/>
              </w:rPr>
              <w:t>。</w:t>
            </w:r>
            <w:r>
              <w:rPr>
                <w:rFonts w:hint="default" w:ascii="Times New Roman" w:hAnsi="Times New Roman" w:eastAsia="宋体" w:cs="Times New Roman"/>
                <w:sz w:val="24"/>
                <w:szCs w:val="24"/>
                <w:highlight w:val="none"/>
                <w:lang w:val="en-US" w:eastAsia="zh-CN"/>
              </w:rPr>
              <w:t>本项目所在区域涉及的环境管控单元生态环境准入条件如下表：</w:t>
            </w:r>
          </w:p>
          <w:p w14:paraId="7DADD80D">
            <w:pPr>
              <w:keepNext w:val="0"/>
              <w:keepLines w:val="0"/>
              <w:pageBreakBefore w:val="0"/>
              <w:kinsoku/>
              <w:bidi w:val="0"/>
              <w:spacing w:line="500" w:lineRule="exact"/>
              <w:jc w:val="center"/>
              <w:textAlignment w:val="auto"/>
              <w:rPr>
                <w:rFonts w:hint="default" w:ascii="Times New Roman" w:hAnsi="Times New Roman" w:eastAsia="黑体" w:cs="Times New Roman"/>
                <w:sz w:val="24"/>
                <w:highlight w:val="none"/>
                <w:lang w:val="en-US" w:eastAsia="zh-CN"/>
              </w:rPr>
            </w:pPr>
            <w:r>
              <w:rPr>
                <w:rFonts w:hint="default" w:ascii="Times New Roman" w:hAnsi="Times New Roman" w:eastAsia="黑体" w:cs="Times New Roman"/>
                <w:sz w:val="24"/>
                <w:highlight w:val="none"/>
              </w:rPr>
              <w:t>表</w:t>
            </w:r>
            <w:r>
              <w:rPr>
                <w:rFonts w:hint="default" w:ascii="Times New Roman" w:hAnsi="Times New Roman" w:eastAsia="黑体" w:cs="Times New Roman"/>
                <w:sz w:val="24"/>
                <w:highlight w:val="none"/>
                <w:lang w:val="en-US" w:eastAsia="zh-CN"/>
              </w:rPr>
              <w:t>1-2  项目与</w:t>
            </w:r>
            <w:r>
              <w:rPr>
                <w:rFonts w:hint="default" w:ascii="Times New Roman" w:hAnsi="Times New Roman" w:eastAsia="黑体" w:cs="Times New Roman"/>
                <w:sz w:val="24"/>
                <w:highlight w:val="none"/>
              </w:rPr>
              <w:t>叶县环境管控单元生态环境准入清单</w:t>
            </w:r>
            <w:r>
              <w:rPr>
                <w:rFonts w:hint="default" w:ascii="Times New Roman" w:hAnsi="Times New Roman" w:eastAsia="黑体" w:cs="Times New Roman"/>
                <w:sz w:val="24"/>
                <w:highlight w:val="none"/>
                <w:lang w:val="en-US" w:eastAsia="zh-CN"/>
              </w:rPr>
              <w:t>相符性分析</w:t>
            </w:r>
          </w:p>
          <w:tbl>
            <w:tblPr>
              <w:tblStyle w:val="23"/>
              <w:tblpPr w:leftFromText="180" w:rightFromText="180" w:vertAnchor="text" w:tblpXSpec="center" w:tblpY="1"/>
              <w:tblOverlap w:val="never"/>
              <w:tblW w:w="497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719"/>
              <w:gridCol w:w="722"/>
              <w:gridCol w:w="720"/>
              <w:gridCol w:w="452"/>
              <w:gridCol w:w="2024"/>
              <w:gridCol w:w="2093"/>
            </w:tblGrid>
            <w:tr w14:paraId="7557C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noWrap w:val="0"/>
                  <w:vAlign w:val="center"/>
                </w:tcPr>
                <w:p w14:paraId="3849DAD4">
                  <w:pPr>
                    <w:spacing w:line="360" w:lineRule="exact"/>
                    <w:jc w:val="center"/>
                    <w:rPr>
                      <w:rFonts w:hint="default" w:ascii="Times New Roman" w:hAnsi="Times New Roman" w:eastAsia="宋体" w:cs="Times New Roman"/>
                      <w:b/>
                      <w:bCs/>
                      <w:color w:val="auto"/>
                      <w:szCs w:val="24"/>
                      <w:highlight w:val="none"/>
                      <w:lang w:val="en-US" w:eastAsia="zh-CN"/>
                    </w:rPr>
                  </w:pPr>
                  <w:r>
                    <w:rPr>
                      <w:rFonts w:hint="default" w:ascii="Times New Roman" w:hAnsi="Times New Roman" w:eastAsia="宋体" w:cs="Times New Roman"/>
                      <w:b/>
                      <w:bCs/>
                      <w:color w:val="auto"/>
                      <w:szCs w:val="24"/>
                      <w:highlight w:val="none"/>
                      <w:lang w:val="en-US" w:eastAsia="zh-CN"/>
                    </w:rPr>
                    <w:t>环境管控单元编码</w:t>
                  </w:r>
                </w:p>
              </w:tc>
              <w:tc>
                <w:tcPr>
                  <w:tcW w:w="483" w:type="pct"/>
                  <w:noWrap w:val="0"/>
                  <w:vAlign w:val="center"/>
                </w:tcPr>
                <w:p w14:paraId="1BDD2195">
                  <w:pPr>
                    <w:spacing w:line="360" w:lineRule="exact"/>
                    <w:jc w:val="center"/>
                    <w:rPr>
                      <w:rFonts w:hint="default" w:ascii="Times New Roman" w:hAnsi="Times New Roman" w:eastAsia="宋体" w:cs="Times New Roman"/>
                      <w:b/>
                      <w:bCs/>
                      <w:color w:val="auto"/>
                      <w:szCs w:val="24"/>
                      <w:highlight w:val="none"/>
                      <w:lang w:val="en-US" w:eastAsia="zh-CN"/>
                    </w:rPr>
                  </w:pPr>
                  <w:r>
                    <w:rPr>
                      <w:rFonts w:hint="default" w:ascii="Times New Roman" w:hAnsi="Times New Roman" w:eastAsia="宋体" w:cs="Times New Roman"/>
                      <w:b/>
                      <w:bCs/>
                      <w:color w:val="auto"/>
                      <w:szCs w:val="24"/>
                      <w:highlight w:val="none"/>
                      <w:lang w:val="en-US" w:eastAsia="zh-CN"/>
                    </w:rPr>
                    <w:t>环境管控单元名称</w:t>
                  </w:r>
                </w:p>
              </w:tc>
              <w:tc>
                <w:tcPr>
                  <w:tcW w:w="484" w:type="pct"/>
                  <w:noWrap w:val="0"/>
                  <w:vAlign w:val="center"/>
                </w:tcPr>
                <w:p w14:paraId="10E94603">
                  <w:pPr>
                    <w:spacing w:line="360" w:lineRule="exact"/>
                    <w:jc w:val="center"/>
                    <w:rPr>
                      <w:rFonts w:hint="default" w:ascii="Times New Roman" w:hAnsi="Times New Roman" w:eastAsia="宋体" w:cs="Times New Roman"/>
                      <w:b/>
                      <w:bCs/>
                      <w:color w:val="auto"/>
                      <w:szCs w:val="24"/>
                      <w:highlight w:val="none"/>
                      <w:lang w:val="en-US" w:eastAsia="zh-CN"/>
                    </w:rPr>
                  </w:pPr>
                  <w:r>
                    <w:rPr>
                      <w:rFonts w:hint="default" w:ascii="Times New Roman" w:hAnsi="Times New Roman" w:eastAsia="宋体" w:cs="Times New Roman"/>
                      <w:b/>
                      <w:bCs/>
                      <w:color w:val="auto"/>
                      <w:szCs w:val="24"/>
                      <w:highlight w:val="none"/>
                      <w:lang w:val="en-US" w:eastAsia="zh-CN"/>
                    </w:rPr>
                    <w:t>行政区划</w:t>
                  </w:r>
                </w:p>
              </w:tc>
              <w:tc>
                <w:tcPr>
                  <w:tcW w:w="483" w:type="pct"/>
                  <w:noWrap w:val="0"/>
                  <w:vAlign w:val="center"/>
                </w:tcPr>
                <w:p w14:paraId="2120CD92">
                  <w:pPr>
                    <w:spacing w:line="360" w:lineRule="exact"/>
                    <w:jc w:val="center"/>
                    <w:rPr>
                      <w:rFonts w:hint="default" w:ascii="Times New Roman" w:hAnsi="Times New Roman" w:eastAsia="宋体" w:cs="Times New Roman"/>
                      <w:b/>
                      <w:bCs/>
                      <w:color w:val="auto"/>
                      <w:szCs w:val="24"/>
                      <w:highlight w:val="none"/>
                      <w:lang w:val="en-US" w:eastAsia="zh-CN"/>
                    </w:rPr>
                  </w:pPr>
                  <w:r>
                    <w:rPr>
                      <w:rFonts w:hint="default" w:ascii="Times New Roman" w:hAnsi="Times New Roman" w:eastAsia="宋体" w:cs="Times New Roman"/>
                      <w:b/>
                      <w:bCs/>
                      <w:color w:val="auto"/>
                      <w:szCs w:val="24"/>
                      <w:highlight w:val="none"/>
                      <w:lang w:val="en-US" w:eastAsia="zh-CN"/>
                    </w:rPr>
                    <w:t>管控单元分类</w:t>
                  </w:r>
                </w:p>
              </w:tc>
              <w:tc>
                <w:tcPr>
                  <w:tcW w:w="1661" w:type="pct"/>
                  <w:gridSpan w:val="2"/>
                  <w:noWrap w:val="0"/>
                  <w:vAlign w:val="center"/>
                </w:tcPr>
                <w:p w14:paraId="5DAA8DFE">
                  <w:pPr>
                    <w:spacing w:line="360" w:lineRule="exact"/>
                    <w:jc w:val="center"/>
                    <w:rPr>
                      <w:rFonts w:hint="default" w:ascii="Times New Roman" w:hAnsi="Times New Roman" w:eastAsia="宋体" w:cs="Times New Roman"/>
                      <w:b/>
                      <w:bCs/>
                      <w:color w:val="auto"/>
                      <w:szCs w:val="24"/>
                      <w:highlight w:val="none"/>
                      <w:lang w:val="en-US" w:eastAsia="zh-CN"/>
                    </w:rPr>
                  </w:pPr>
                  <w:r>
                    <w:rPr>
                      <w:rFonts w:hint="default" w:ascii="Times New Roman" w:hAnsi="Times New Roman" w:eastAsia="宋体" w:cs="Times New Roman"/>
                      <w:b/>
                      <w:bCs/>
                      <w:color w:val="auto"/>
                      <w:szCs w:val="24"/>
                      <w:highlight w:val="none"/>
                      <w:lang w:val="en-US" w:eastAsia="zh-CN"/>
                    </w:rPr>
                    <w:t>管控要求</w:t>
                  </w:r>
                </w:p>
              </w:tc>
              <w:tc>
                <w:tcPr>
                  <w:tcW w:w="1403" w:type="pct"/>
                  <w:noWrap w:val="0"/>
                  <w:vAlign w:val="center"/>
                </w:tcPr>
                <w:p w14:paraId="48204260">
                  <w:pPr>
                    <w:spacing w:line="360" w:lineRule="exact"/>
                    <w:jc w:val="center"/>
                    <w:rPr>
                      <w:rFonts w:hint="default" w:ascii="Times New Roman" w:hAnsi="Times New Roman" w:eastAsia="宋体" w:cs="Times New Roman"/>
                      <w:b/>
                      <w:bCs/>
                      <w:color w:val="auto"/>
                      <w:szCs w:val="24"/>
                      <w:highlight w:val="none"/>
                      <w:lang w:val="en-US" w:eastAsia="zh-CN"/>
                    </w:rPr>
                  </w:pPr>
                  <w:r>
                    <w:rPr>
                      <w:rFonts w:hint="default" w:ascii="Times New Roman" w:hAnsi="Times New Roman" w:eastAsia="宋体" w:cs="Times New Roman"/>
                      <w:b/>
                      <w:bCs/>
                      <w:color w:val="auto"/>
                      <w:szCs w:val="24"/>
                      <w:highlight w:val="none"/>
                      <w:lang w:val="en-US" w:eastAsia="zh-CN"/>
                    </w:rPr>
                    <w:t>本项目情况</w:t>
                  </w:r>
                </w:p>
              </w:tc>
            </w:tr>
            <w:tr w14:paraId="6F4C5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483" w:type="pct"/>
                  <w:vMerge w:val="restart"/>
                  <w:noWrap w:val="0"/>
                  <w:vAlign w:val="center"/>
                </w:tcPr>
                <w:p w14:paraId="074C775F">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ZH4104222000</w:t>
                  </w:r>
                  <w:r>
                    <w:rPr>
                      <w:rFonts w:hint="default" w:ascii="Times New Roman" w:hAnsi="Times New Roman" w:cs="Times New Roman"/>
                      <w:color w:val="auto"/>
                      <w:szCs w:val="24"/>
                      <w:highlight w:val="none"/>
                      <w:lang w:val="en-US" w:eastAsia="zh-CN"/>
                    </w:rPr>
                    <w:t>5</w:t>
                  </w:r>
                </w:p>
              </w:tc>
              <w:tc>
                <w:tcPr>
                  <w:tcW w:w="483" w:type="pct"/>
                  <w:vMerge w:val="restart"/>
                  <w:noWrap w:val="0"/>
                  <w:vAlign w:val="center"/>
                </w:tcPr>
                <w:p w14:paraId="027D4A78">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cs="Times New Roman"/>
                      <w:color w:val="auto"/>
                      <w:szCs w:val="24"/>
                      <w:highlight w:val="none"/>
                      <w:lang w:val="en-US" w:eastAsia="zh-CN"/>
                    </w:rPr>
                    <w:t>叶县大气重点单元</w:t>
                  </w:r>
                </w:p>
              </w:tc>
              <w:tc>
                <w:tcPr>
                  <w:tcW w:w="484" w:type="pct"/>
                  <w:vMerge w:val="restart"/>
                  <w:noWrap w:val="0"/>
                  <w:vAlign w:val="center"/>
                </w:tcPr>
                <w:p w14:paraId="03F24094">
                  <w:pPr>
                    <w:spacing w:line="360" w:lineRule="exact"/>
                    <w:jc w:val="center"/>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河南省平顶山市叶县</w:t>
                  </w:r>
                </w:p>
              </w:tc>
              <w:tc>
                <w:tcPr>
                  <w:tcW w:w="483" w:type="pct"/>
                  <w:vMerge w:val="restart"/>
                  <w:noWrap w:val="0"/>
                  <w:vAlign w:val="center"/>
                </w:tcPr>
                <w:p w14:paraId="51BD1CDC">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重点管控</w:t>
                  </w:r>
                </w:p>
                <w:p w14:paraId="481DCF7E">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单元</w:t>
                  </w:r>
                </w:p>
              </w:tc>
              <w:tc>
                <w:tcPr>
                  <w:tcW w:w="303" w:type="pct"/>
                  <w:noWrap w:val="0"/>
                  <w:vAlign w:val="center"/>
                </w:tcPr>
                <w:p w14:paraId="46CA4EE0">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空间布局</w:t>
                  </w:r>
                </w:p>
                <w:p w14:paraId="1F90E4A8">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约束</w:t>
                  </w:r>
                </w:p>
              </w:tc>
              <w:tc>
                <w:tcPr>
                  <w:tcW w:w="1358" w:type="pct"/>
                  <w:noWrap w:val="0"/>
                  <w:vAlign w:val="center"/>
                </w:tcPr>
                <w:p w14:paraId="3DC6C7D8">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持续组织开展“散乱污”企业排查整治专项行动，按省定要求完成淘汰落后产能目标任务，对于落后产能和“散乱污”企业，持续保持“动态清零”，坚决杜绝“散乱污”企业死灰复燃、异地转移。</w:t>
                  </w:r>
                </w:p>
              </w:tc>
              <w:tc>
                <w:tcPr>
                  <w:tcW w:w="1403" w:type="pct"/>
                  <w:noWrap w:val="0"/>
                  <w:vAlign w:val="center"/>
                </w:tcPr>
                <w:p w14:paraId="6607F537">
                  <w:pPr>
                    <w:spacing w:line="360" w:lineRule="exact"/>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lang w:val="en-US" w:eastAsia="zh-CN"/>
                    </w:rPr>
                    <w:t>获得叶县发展和改革委员会的备案，用地取得了叶县人民政府的用地批复，不属于“散乱污”企业；</w:t>
                  </w:r>
                  <w:r>
                    <w:rPr>
                      <w:rFonts w:hint="default" w:ascii="Times New Roman" w:hAnsi="Times New Roman" w:eastAsia="宋体"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lang w:val="en-US" w:eastAsia="zh-CN"/>
                    </w:rPr>
                    <w:t>生产过程中会有颗粒物废气产生和一些无组织排放颗粒污，企业会加强污染物处理，严格控制无组织颗粒物的排放。</w:t>
                  </w:r>
                </w:p>
              </w:tc>
            </w:tr>
            <w:tr w14:paraId="10783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3" w:type="pct"/>
                  <w:vMerge w:val="continue"/>
                  <w:noWrap w:val="0"/>
                  <w:vAlign w:val="center"/>
                </w:tcPr>
                <w:p w14:paraId="38BEEAAA">
                  <w:pPr>
                    <w:spacing w:line="360" w:lineRule="exact"/>
                    <w:jc w:val="center"/>
                    <w:rPr>
                      <w:rFonts w:hint="default" w:ascii="Times New Roman" w:hAnsi="Times New Roman" w:eastAsia="宋体" w:cs="Times New Roman"/>
                      <w:color w:val="auto"/>
                      <w:szCs w:val="24"/>
                      <w:highlight w:val="none"/>
                      <w:lang w:val="en-US" w:eastAsia="zh-CN"/>
                    </w:rPr>
                  </w:pPr>
                </w:p>
              </w:tc>
              <w:tc>
                <w:tcPr>
                  <w:tcW w:w="483" w:type="pct"/>
                  <w:vMerge w:val="continue"/>
                  <w:noWrap w:val="0"/>
                  <w:vAlign w:val="center"/>
                </w:tcPr>
                <w:p w14:paraId="31328100">
                  <w:pPr>
                    <w:spacing w:line="360" w:lineRule="exact"/>
                    <w:jc w:val="center"/>
                    <w:rPr>
                      <w:rFonts w:hint="default" w:ascii="Times New Roman" w:hAnsi="Times New Roman" w:eastAsia="宋体" w:cs="Times New Roman"/>
                      <w:color w:val="auto"/>
                      <w:szCs w:val="24"/>
                      <w:highlight w:val="none"/>
                      <w:lang w:val="en-US" w:eastAsia="zh-CN"/>
                    </w:rPr>
                  </w:pPr>
                </w:p>
              </w:tc>
              <w:tc>
                <w:tcPr>
                  <w:tcW w:w="484" w:type="pct"/>
                  <w:vMerge w:val="continue"/>
                  <w:noWrap w:val="0"/>
                  <w:vAlign w:val="center"/>
                </w:tcPr>
                <w:p w14:paraId="210C2AA5">
                  <w:pPr>
                    <w:spacing w:line="360" w:lineRule="exact"/>
                    <w:jc w:val="center"/>
                    <w:rPr>
                      <w:rFonts w:hint="default" w:ascii="Times New Roman" w:hAnsi="Times New Roman" w:eastAsia="宋体" w:cs="Times New Roman"/>
                      <w:color w:val="auto"/>
                      <w:szCs w:val="24"/>
                      <w:highlight w:val="none"/>
                      <w:lang w:val="en-US" w:eastAsia="zh-CN"/>
                    </w:rPr>
                  </w:pPr>
                </w:p>
              </w:tc>
              <w:tc>
                <w:tcPr>
                  <w:tcW w:w="483" w:type="pct"/>
                  <w:vMerge w:val="continue"/>
                  <w:noWrap w:val="0"/>
                  <w:vAlign w:val="center"/>
                </w:tcPr>
                <w:p w14:paraId="4CCF4C97">
                  <w:pPr>
                    <w:spacing w:line="360" w:lineRule="exact"/>
                    <w:jc w:val="center"/>
                    <w:rPr>
                      <w:rFonts w:hint="default" w:ascii="Times New Roman" w:hAnsi="Times New Roman" w:eastAsia="宋体" w:cs="Times New Roman"/>
                      <w:color w:val="auto"/>
                      <w:szCs w:val="24"/>
                      <w:highlight w:val="none"/>
                      <w:lang w:val="en-US" w:eastAsia="zh-CN"/>
                    </w:rPr>
                  </w:pPr>
                </w:p>
              </w:tc>
              <w:tc>
                <w:tcPr>
                  <w:tcW w:w="303" w:type="pct"/>
                  <w:noWrap w:val="0"/>
                  <w:vAlign w:val="center"/>
                </w:tcPr>
                <w:p w14:paraId="3E7175DA">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污染物排</w:t>
                  </w:r>
                </w:p>
                <w:p w14:paraId="7302B1B3">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放管控</w:t>
                  </w:r>
                </w:p>
              </w:tc>
              <w:tc>
                <w:tcPr>
                  <w:tcW w:w="1358" w:type="pct"/>
                  <w:noWrap w:val="0"/>
                  <w:vAlign w:val="center"/>
                </w:tcPr>
                <w:p w14:paraId="6692C96B">
                  <w:pPr>
                    <w:spacing w:line="360" w:lineRule="exact"/>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在禁燃区内，禁止销售、燃用高污染燃料</w:t>
                  </w:r>
                  <w:r>
                    <w:rPr>
                      <w:rFonts w:hint="eastAsia" w:ascii="Times New Roman" w:hAnsi="Times New Roman" w:cs="Times New Roman"/>
                      <w:color w:val="auto"/>
                      <w:szCs w:val="24"/>
                      <w:highlight w:val="none"/>
                      <w:lang w:val="en-US" w:eastAsia="zh-CN"/>
                    </w:rPr>
                    <w:t>；</w:t>
                  </w:r>
                  <w:r>
                    <w:rPr>
                      <w:rFonts w:hint="default" w:ascii="Times New Roman" w:hAnsi="Times New Roman" w:eastAsia="宋体" w:cs="Times New Roman"/>
                      <w:color w:val="auto"/>
                      <w:szCs w:val="24"/>
                      <w:highlight w:val="none"/>
                      <w:lang w:val="en-US" w:eastAsia="zh-CN"/>
                    </w:rPr>
                    <w:t>禁止新建、扩建燃用高污染燃料的设施。现有使用高污染燃料的单位和个人，应当按照市、县(市)人民政府规定的期限改用清洁能源或拆除使用高污染燃料的设施(高污染燃料不含集中供热、热电联产、以及工业企业生产工艺必须使用的煤炭及其制品)。</w:t>
                  </w:r>
                </w:p>
              </w:tc>
              <w:tc>
                <w:tcPr>
                  <w:tcW w:w="1403" w:type="pct"/>
                  <w:noWrap w:val="0"/>
                  <w:vAlign w:val="center"/>
                </w:tcPr>
                <w:p w14:paraId="6B51355C">
                  <w:pPr>
                    <w:spacing w:line="360" w:lineRule="exact"/>
                    <w:jc w:val="center"/>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szCs w:val="24"/>
                      <w:highlight w:val="none"/>
                      <w:lang w:val="en-US" w:eastAsia="zh-CN"/>
                    </w:rPr>
                    <w:t>1.本项目不属于“两高”项目；本项目不涉及煤炭燃料</w:t>
                  </w:r>
                  <w:r>
                    <w:rPr>
                      <w:rFonts w:hint="eastAsia" w:cs="Times New Roman"/>
                      <w:color w:val="auto"/>
                      <w:szCs w:val="24"/>
                      <w:highlight w:val="none"/>
                      <w:lang w:val="en-US" w:eastAsia="zh-CN"/>
                    </w:rPr>
                    <w:t>和其他高污染燃料</w:t>
                  </w:r>
                  <w:r>
                    <w:rPr>
                      <w:rFonts w:hint="default" w:ascii="Times New Roman" w:hAnsi="Times New Roman" w:cs="Times New Roman"/>
                      <w:color w:val="auto"/>
                      <w:szCs w:val="24"/>
                      <w:highlight w:val="none"/>
                      <w:lang w:val="en-US" w:eastAsia="zh-CN"/>
                    </w:rPr>
                    <w:t>销售和使用。</w:t>
                  </w:r>
                </w:p>
              </w:tc>
            </w:tr>
          </w:tbl>
          <w:p w14:paraId="7894C6A5">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黑体" w:cs="Times New Roman"/>
                <w:sz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综上所述，本项目符合生态环境准入要求。综上所述，本项目建设内容符合</w:t>
            </w:r>
            <w:r>
              <w:rPr>
                <w:rFonts w:hint="default" w:ascii="Times New Roman" w:hAnsi="Times New Roman" w:cs="Times New Roman"/>
                <w:color w:val="auto"/>
                <w:kern w:val="2"/>
                <w:sz w:val="24"/>
                <w:szCs w:val="24"/>
                <w:highlight w:val="none"/>
                <w:lang w:val="en-US" w:eastAsia="zh-CN" w:bidi="ar-SA"/>
              </w:rPr>
              <w:t>叶县</w:t>
            </w:r>
            <w:r>
              <w:rPr>
                <w:rFonts w:hint="default" w:ascii="Times New Roman" w:hAnsi="Times New Roman" w:eastAsia="宋体" w:cs="Times New Roman"/>
                <w:color w:val="auto"/>
                <w:kern w:val="2"/>
                <w:sz w:val="24"/>
                <w:szCs w:val="24"/>
                <w:highlight w:val="none"/>
                <w:lang w:val="en-US" w:eastAsia="zh-CN" w:bidi="ar-SA"/>
              </w:rPr>
              <w:t>“三线一单”的相关要求。</w:t>
            </w:r>
          </w:p>
          <w:p w14:paraId="5CBF90BF">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b/>
                <w:highlight w:val="none"/>
              </w:rPr>
            </w:pPr>
            <w:r>
              <w:rPr>
                <w:rFonts w:hint="default" w:ascii="Times New Roman" w:hAnsi="Times New Roman" w:cs="Times New Roman"/>
                <w:b/>
                <w:highlight w:val="none"/>
                <w:lang w:val="en-US" w:eastAsia="zh-CN"/>
              </w:rPr>
              <w:t>7</w:t>
            </w:r>
            <w:r>
              <w:rPr>
                <w:rFonts w:hint="default" w:ascii="Times New Roman" w:hAnsi="Times New Roman" w:cs="Times New Roman"/>
                <w:b/>
                <w:highlight w:val="none"/>
              </w:rPr>
              <w:t>、与县级集中式饮用水水源保护区划相符性分析</w:t>
            </w:r>
          </w:p>
          <w:p w14:paraId="009A9D43">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根据《河南省人民政府办公厅印发河南省县级集中式饮用水水源保护区划的通知》（豫政办【2013】107号）及《河南省人民政府关于划定调整取消部分集中式饮用水水源保护区的通知》（豫政文【2019】162号）中相关内容，叶县县级集中式饮用水水源保护区划如下：</w:t>
            </w:r>
          </w:p>
          <w:p w14:paraId="4F3E3F6E">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（1）叶县盐都水务地下水井群（昆鲁大道以北、昆阳大道以西，共3眼井）</w:t>
            </w:r>
          </w:p>
          <w:p w14:paraId="75A53A8F">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一级保护区范围：取水井外围30米的区域。</w:t>
            </w:r>
          </w:p>
          <w:p w14:paraId="24757F19">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二级保护区范围：一级保护区外，1～2号取水井外围330米外公切线所包含的区域。</w:t>
            </w:r>
          </w:p>
          <w:p w14:paraId="017E4ED8">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准保护区范围：二级保护区外，东至新建街、西至北关大街、南至文化路、北至昆鲁大道的区域。</w:t>
            </w:r>
          </w:p>
          <w:p w14:paraId="590D8F0B">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（2）叶县自由路地下水井群（共2眼井）</w:t>
            </w:r>
          </w:p>
          <w:p w14:paraId="5232C0EC">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一级保护区范围：取水井外围200米外公切线所包含的区域。</w:t>
            </w:r>
          </w:p>
          <w:p w14:paraId="41751E5E">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（3）叶县东升洁地下水井群（昆鲁大道以南、昆阳大道以东、中心路以北，共6眼井）</w:t>
            </w:r>
          </w:p>
          <w:p w14:paraId="62F90A93">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一级保护区范围：取水井外围30米的区域。</w:t>
            </w:r>
          </w:p>
          <w:p w14:paraId="4B252C8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color w:val="000000" w:themeColor="text1"/>
                <w:sz w:val="24"/>
                <w:highlight w:val="none"/>
                <w:u w:val="none"/>
                <w14:textFill>
                  <w14:solidFill>
                    <w14:schemeClr w14:val="tx1"/>
                  </w14:solidFill>
                </w14:textFill>
              </w:rPr>
              <w:t>本项目位于平顶山市叶县廉村镇湾张村东南地叶廉路</w:t>
            </w:r>
            <w:r>
              <w:rPr>
                <w:rFonts w:hint="default" w:ascii="Times New Roman" w:hAnsi="Times New Roman" w:cs="Times New Roman"/>
                <w:color w:val="000000" w:themeColor="text1"/>
                <w:sz w:val="24"/>
                <w:highlight w:val="none"/>
                <w:u w:val="none"/>
                <w:lang w:eastAsia="zh-CN"/>
                <w14:textFill>
                  <w14:solidFill>
                    <w14:schemeClr w14:val="tx1"/>
                  </w14:solidFill>
                </w14:textFill>
              </w:rPr>
              <w:t>，</w:t>
            </w:r>
            <w:r>
              <w:rPr>
                <w:rFonts w:hint="default" w:ascii="Times New Roman" w:hAnsi="Times New Roman" w:cs="Times New Roman"/>
                <w:color w:val="000000" w:themeColor="text1"/>
                <w:sz w:val="24"/>
                <w:highlight w:val="none"/>
                <w:u w:val="none"/>
                <w14:textFill>
                  <w14:solidFill>
                    <w14:schemeClr w14:val="tx1"/>
                  </w14:solidFill>
                </w14:textFill>
              </w:rPr>
              <w:t>距离最近的地下水井群为叶县东升洁地下水井群</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一级</w:t>
            </w:r>
            <w:r>
              <w:rPr>
                <w:rFonts w:hint="default" w:ascii="Times New Roman" w:hAnsi="Times New Roman" w:cs="Times New Roman"/>
                <w:color w:val="000000" w:themeColor="text1"/>
                <w:sz w:val="24"/>
                <w:highlight w:val="none"/>
                <w:u w:val="none"/>
                <w14:textFill>
                  <w14:solidFill>
                    <w14:schemeClr w14:val="tx1"/>
                  </w14:solidFill>
                </w14:textFill>
              </w:rPr>
              <w:t>保护区，最近距离约为1</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1.0</w:t>
            </w:r>
            <w:r>
              <w:rPr>
                <w:rFonts w:hint="default" w:ascii="Times New Roman" w:hAnsi="Times New Roman" w:cs="Times New Roman"/>
                <w:color w:val="000000" w:themeColor="text1"/>
                <w:sz w:val="24"/>
                <w:highlight w:val="none"/>
                <w:u w:val="none"/>
                <w14:textFill>
                  <w14:solidFill>
                    <w14:schemeClr w14:val="tx1"/>
                  </w14:solidFill>
                </w14:textFill>
              </w:rPr>
              <w:t>km，不在其划定的一级保护区范围内，符合叶县县级集中式饮用水水源保护区划要求。</w:t>
            </w:r>
          </w:p>
          <w:p w14:paraId="7FAAD9EA">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b/>
                <w:highlight w:val="none"/>
              </w:rPr>
            </w:pPr>
            <w:r>
              <w:rPr>
                <w:rFonts w:hint="default" w:ascii="Times New Roman" w:hAnsi="Times New Roman" w:cs="Times New Roman"/>
                <w:b/>
                <w:highlight w:val="none"/>
                <w:lang w:val="en-US" w:eastAsia="zh-CN"/>
              </w:rPr>
              <w:t>8</w:t>
            </w:r>
            <w:r>
              <w:rPr>
                <w:rFonts w:hint="default" w:ascii="Times New Roman" w:hAnsi="Times New Roman" w:cs="Times New Roman"/>
                <w:b/>
                <w:highlight w:val="none"/>
              </w:rPr>
              <w:t>、与叶县乡镇集中式饮用水水源保护区划相符性分析</w:t>
            </w:r>
          </w:p>
          <w:p w14:paraId="42107AB6">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根据《河南省人民政府办公厅关于印发河南省乡镇集中式饮用水水源保护区划的通知》（豫政办【2016】23号）及《河南省人民政府关于划定调整取消部分集中式饮用水水源保护区的通知》（豫政文【2019】162号），叶县乡镇集中式饮用水水源保护区划如下：</w:t>
            </w:r>
          </w:p>
          <w:p w14:paraId="7CEDA01D">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（1）叶县任店镇水厂地下水井（共1眼井）</w:t>
            </w:r>
          </w:p>
          <w:p w14:paraId="21830E77">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一级保护区范围：水厂厂区及外围东25米、南11米、北29米的区域。</w:t>
            </w:r>
          </w:p>
          <w:p w14:paraId="542F0D3E">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（2）叶县廉村镇水厂地下水井（共1眼井）</w:t>
            </w:r>
          </w:p>
          <w:p w14:paraId="3C2C4238">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一级保护区范围：水厂厂区及外围东30米、西10米、南5米、北30米的区域。</w:t>
            </w:r>
          </w:p>
          <w:p w14:paraId="15309B4F">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（3）叶县水寨乡蒋李水厂地下水井（共1眼井）</w:t>
            </w:r>
          </w:p>
          <w:p w14:paraId="00B7D91D">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一级保护区范围：水厂厂区及外围东10米、西30米、南10米、北30米的区域。</w:t>
            </w:r>
          </w:p>
          <w:p w14:paraId="2C689167">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（4）叶县保安镇水厂地下水井（共1眼井）</w:t>
            </w:r>
          </w:p>
          <w:p w14:paraId="0A4EE5E1">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一级保护区范围：水厂厂区及外围东10米、西30米、南15米、北30米的区域。</w:t>
            </w:r>
          </w:p>
          <w:p w14:paraId="272BE00B">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二级保护区范围：一级保护区外围300米的区域。</w:t>
            </w:r>
          </w:p>
          <w:p w14:paraId="3A1A1C53">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color w:val="000000" w:themeColor="text1"/>
                <w:highlight w:val="none"/>
                <w:u w:val="none"/>
                <w14:textFill>
                  <w14:solidFill>
                    <w14:schemeClr w14:val="tx1"/>
                  </w14:solidFill>
                </w14:textFill>
              </w:rPr>
              <w:t>本项目选址位于</w:t>
            </w:r>
            <w:r>
              <w:rPr>
                <w:rFonts w:hint="default" w:ascii="Times New Roman" w:hAnsi="Times New Roman" w:cs="Times New Roman"/>
                <w:color w:val="000000" w:themeColor="text1"/>
                <w:sz w:val="24"/>
                <w:highlight w:val="none"/>
                <w:u w:val="none"/>
                <w14:textFill>
                  <w14:solidFill>
                    <w14:schemeClr w14:val="tx1"/>
                  </w14:solidFill>
                </w14:textFill>
              </w:rPr>
              <w:t>平顶山市叶县廉村镇湾张村东南地叶廉路</w:t>
            </w:r>
            <w:r>
              <w:rPr>
                <w:rFonts w:hint="default" w:ascii="Times New Roman" w:hAnsi="Times New Roman" w:cs="Times New Roman"/>
                <w:color w:val="000000" w:themeColor="text1"/>
                <w:sz w:val="24"/>
                <w:highlight w:val="none"/>
                <w:u w:val="none"/>
                <w:lang w:eastAsia="zh-CN"/>
                <w14:textFill>
                  <w14:solidFill>
                    <w14:schemeClr w14:val="tx1"/>
                  </w14:solidFill>
                </w14:textFill>
              </w:rPr>
              <w:t>，</w:t>
            </w:r>
            <w:r>
              <w:rPr>
                <w:rFonts w:hint="default" w:ascii="Times New Roman" w:hAnsi="Times New Roman" w:cs="Times New Roman"/>
                <w:color w:val="000000" w:themeColor="text1"/>
                <w:sz w:val="24"/>
                <w:highlight w:val="none"/>
                <w:u w:val="none"/>
                <w14:textFill>
                  <w14:solidFill>
                    <w14:schemeClr w14:val="tx1"/>
                  </w14:solidFill>
                </w14:textFill>
              </w:rPr>
              <w:t>距离最近的地下水井为</w:t>
            </w:r>
            <w:r>
              <w:rPr>
                <w:rFonts w:hint="default" w:ascii="Times New Roman" w:hAnsi="Times New Roman" w:cs="Times New Roman"/>
                <w:color w:val="000000" w:themeColor="text1"/>
                <w:highlight w:val="none"/>
                <w:u w:val="none"/>
                <w14:textFill>
                  <w14:solidFill>
                    <w14:schemeClr w14:val="tx1"/>
                  </w14:solidFill>
                </w14:textFill>
              </w:rPr>
              <w:t>叶县廉村镇水厂地下水井</w:t>
            </w:r>
            <w:r>
              <w:rPr>
                <w:rFonts w:hint="default" w:ascii="Times New Roman" w:hAnsi="Times New Roman" w:cs="Times New Roman"/>
                <w:color w:val="000000" w:themeColor="text1"/>
                <w:sz w:val="24"/>
                <w:highlight w:val="none"/>
                <w:u w:val="none"/>
                <w14:textFill>
                  <w14:solidFill>
                    <w14:schemeClr w14:val="tx1"/>
                  </w14:solidFill>
                </w14:textFill>
              </w:rPr>
              <w:t>，最近距离约为</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700</w:t>
            </w:r>
            <w:r>
              <w:rPr>
                <w:rFonts w:hint="default" w:ascii="Times New Roman" w:hAnsi="Times New Roman" w:cs="Times New Roman"/>
                <w:color w:val="000000" w:themeColor="text1"/>
                <w:sz w:val="24"/>
                <w:highlight w:val="none"/>
                <w:u w:val="none"/>
                <w14:textFill>
                  <w14:solidFill>
                    <w14:schemeClr w14:val="tx1"/>
                  </w14:solidFill>
                </w14:textFill>
              </w:rPr>
              <w:t>m</w:t>
            </w:r>
            <w:r>
              <w:rPr>
                <w:rFonts w:hint="default" w:ascii="Times New Roman" w:hAnsi="Times New Roman" w:cs="Times New Roman"/>
                <w:color w:val="000000" w:themeColor="text1"/>
                <w:sz w:val="24"/>
                <w:highlight w:val="none"/>
                <w:u w:val="none"/>
                <w:lang w:eastAsia="zh-CN"/>
                <w14:textFill>
                  <w14:solidFill>
                    <w14:schemeClr w14:val="tx1"/>
                  </w14:solidFill>
                </w14:textFill>
              </w:rPr>
              <w:t>，</w:t>
            </w:r>
            <w:r>
              <w:rPr>
                <w:rFonts w:hint="default" w:ascii="Times New Roman" w:hAnsi="Times New Roman" w:cs="Times New Roman"/>
                <w:color w:val="000000" w:themeColor="text1"/>
                <w:sz w:val="24"/>
                <w:highlight w:val="none"/>
                <w:u w:val="none"/>
                <w14:textFill>
                  <w14:solidFill>
                    <w14:schemeClr w14:val="tx1"/>
                  </w14:solidFill>
                </w14:textFill>
              </w:rPr>
              <w:t>不在其划定的</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乡镇</w:t>
            </w:r>
            <w:r>
              <w:rPr>
                <w:rFonts w:hint="default" w:ascii="Times New Roman" w:hAnsi="Times New Roman" w:cs="Times New Roman"/>
                <w:color w:val="000000" w:themeColor="text1"/>
                <w:highlight w:val="none"/>
                <w:u w:val="none"/>
                <w14:textFill>
                  <w14:solidFill>
                    <w14:schemeClr w14:val="tx1"/>
                  </w14:solidFill>
                </w14:textFill>
              </w:rPr>
              <w:t>水源地</w:t>
            </w:r>
            <w:r>
              <w:rPr>
                <w:rFonts w:hint="default" w:ascii="Times New Roman" w:hAnsi="Times New Roman" w:cs="Times New Roman"/>
                <w:color w:val="000000" w:themeColor="text1"/>
                <w:highlight w:val="none"/>
                <w:u w:val="none"/>
                <w:lang w:val="en-US" w:eastAsia="zh-CN"/>
                <w14:textFill>
                  <w14:solidFill>
                    <w14:schemeClr w14:val="tx1"/>
                  </w14:solidFill>
                </w14:textFill>
              </w:rPr>
              <w:t>保护区</w:t>
            </w:r>
            <w:r>
              <w:rPr>
                <w:rFonts w:hint="default" w:ascii="Times New Roman" w:hAnsi="Times New Roman" w:cs="Times New Roman"/>
                <w:color w:val="000000" w:themeColor="text1"/>
                <w:highlight w:val="none"/>
                <w:u w:val="none"/>
                <w14:textFill>
                  <w14:solidFill>
                    <w14:schemeClr w14:val="tx1"/>
                  </w14:solidFill>
                </w14:textFill>
              </w:rPr>
              <w:t>的范围内，符合叶县乡镇集中式饮用水水源保护区划要求。</w:t>
            </w:r>
          </w:p>
          <w:p w14:paraId="18560D77">
            <w:pPr>
              <w:keepNext w:val="0"/>
              <w:keepLines w:val="0"/>
              <w:pageBreakBefore w:val="0"/>
              <w:widowControl w:val="0"/>
              <w:kinsoku/>
              <w:wordWrap/>
              <w:overflowPunct/>
              <w:topLinePunct w:val="0"/>
              <w:autoSpaceDE w:val="0"/>
              <w:autoSpaceDN w:val="0"/>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val="0"/>
                <w:color w:val="auto"/>
                <w:kern w:val="28"/>
                <w:sz w:val="24"/>
                <w:szCs w:val="40"/>
                <w:highlight w:val="none"/>
                <w:u w:val="none"/>
                <w:lang w:val="en-US" w:eastAsia="zh-CN" w:bidi="ar-SA"/>
              </w:rPr>
              <w:t>9</w:t>
            </w:r>
            <w:r>
              <w:rPr>
                <w:rFonts w:hint="default" w:ascii="Times New Roman" w:hAnsi="Times New Roman" w:eastAsia="宋体" w:cs="Times New Roman"/>
                <w:b/>
                <w:bCs w:val="0"/>
                <w:color w:val="auto"/>
                <w:kern w:val="28"/>
                <w:sz w:val="24"/>
                <w:szCs w:val="40"/>
                <w:highlight w:val="none"/>
                <w:u w:val="none"/>
                <w:lang w:val="en-US" w:eastAsia="zh-CN" w:bidi="ar-SA"/>
              </w:rPr>
              <w:t>、</w:t>
            </w:r>
            <w:r>
              <w:rPr>
                <w:rFonts w:hint="default" w:ascii="Times New Roman" w:hAnsi="Times New Roman" w:eastAsia="宋体" w:cs="Times New Roman"/>
                <w:b/>
                <w:bCs w:val="0"/>
                <w:color w:val="auto"/>
                <w:kern w:val="28"/>
                <w:sz w:val="24"/>
                <w:szCs w:val="40"/>
                <w:highlight w:val="none"/>
                <w:lang w:val="en-US" w:eastAsia="zh-CN" w:bidi="ar-SA"/>
              </w:rPr>
              <w:t>项目与《平顶山市</w:t>
            </w:r>
            <w:r>
              <w:rPr>
                <w:rFonts w:hint="default" w:ascii="Times New Roman" w:hAnsi="Times New Roman" w:cs="Times New Roman"/>
                <w:b/>
                <w:bCs w:val="0"/>
                <w:color w:val="auto"/>
                <w:kern w:val="28"/>
                <w:sz w:val="24"/>
                <w:szCs w:val="40"/>
                <w:highlight w:val="none"/>
                <w:lang w:val="en-US" w:eastAsia="zh-CN" w:bidi="ar-SA"/>
              </w:rPr>
              <w:t>202</w:t>
            </w:r>
            <w:r>
              <w:rPr>
                <w:rFonts w:hint="eastAsia" w:cs="Times New Roman"/>
                <w:b/>
                <w:bCs w:val="0"/>
                <w:color w:val="auto"/>
                <w:kern w:val="28"/>
                <w:sz w:val="24"/>
                <w:szCs w:val="40"/>
                <w:highlight w:val="none"/>
                <w:lang w:val="en-US" w:eastAsia="zh-CN" w:bidi="ar-SA"/>
              </w:rPr>
              <w:t>4</w:t>
            </w:r>
            <w:r>
              <w:rPr>
                <w:rFonts w:hint="default" w:ascii="Times New Roman" w:hAnsi="Times New Roman" w:cs="Times New Roman"/>
                <w:b/>
                <w:bCs w:val="0"/>
                <w:color w:val="auto"/>
                <w:kern w:val="28"/>
                <w:sz w:val="24"/>
                <w:szCs w:val="40"/>
                <w:highlight w:val="none"/>
                <w:lang w:val="en-US" w:eastAsia="zh-CN" w:bidi="ar-SA"/>
              </w:rPr>
              <w:t>年蓝天保卫战实施方案的通知</w:t>
            </w:r>
            <w:r>
              <w:rPr>
                <w:rFonts w:hint="default" w:ascii="Times New Roman" w:hAnsi="Times New Roman" w:eastAsia="宋体" w:cs="Times New Roman"/>
                <w:b/>
                <w:bCs w:val="0"/>
                <w:color w:val="auto"/>
                <w:kern w:val="28"/>
                <w:sz w:val="24"/>
                <w:szCs w:val="40"/>
                <w:highlight w:val="none"/>
                <w:lang w:val="en-US" w:eastAsia="zh-CN" w:bidi="ar-SA"/>
              </w:rPr>
              <w:t>》相符性分析</w:t>
            </w:r>
          </w:p>
          <w:p w14:paraId="496651EA">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bCs w:val="0"/>
                <w:color w:val="auto"/>
                <w:kern w:val="28"/>
                <w:sz w:val="24"/>
                <w:szCs w:val="40"/>
                <w:highlight w:val="none"/>
                <w:u w:val="none"/>
                <w:lang w:val="en-US" w:eastAsia="zh-CN" w:bidi="ar-SA"/>
              </w:rPr>
            </w:pPr>
            <w:r>
              <w:rPr>
                <w:rFonts w:hint="default" w:ascii="Times New Roman" w:hAnsi="Times New Roman" w:eastAsia="宋体" w:cs="Times New Roman"/>
                <w:color w:val="auto"/>
                <w:kern w:val="0"/>
                <w:sz w:val="24"/>
                <w:szCs w:val="24"/>
                <w:highlight w:val="none"/>
                <w:lang w:val="en-US" w:eastAsia="zh-CN"/>
              </w:rPr>
              <w:t>本项目建设内容与《平顶山市202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年蓝天保卫战实施方案的通知》（平环委办〔202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en-US" w:eastAsia="zh-CN"/>
              </w:rPr>
              <w:t>号）中相关内容的相符性分析详见下表。</w:t>
            </w:r>
          </w:p>
          <w:p w14:paraId="57052E80">
            <w:pPr>
              <w:pStyle w:val="7"/>
              <w:keepNext w:val="0"/>
              <w:keepLines w:val="0"/>
              <w:pageBreakBefore w:val="0"/>
              <w:widowControl w:val="0"/>
              <w:kinsoku/>
              <w:wordWrap/>
              <w:overflowPunct/>
              <w:topLinePunct w:val="0"/>
              <w:bidi w:val="0"/>
              <w:spacing w:line="500" w:lineRule="exact"/>
              <w:jc w:val="both"/>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黑体" w:cs="Times New Roman"/>
                <w:b w:val="0"/>
                <w:bCs w:val="0"/>
                <w:color w:val="auto"/>
                <w:sz w:val="24"/>
                <w:szCs w:val="24"/>
                <w:highlight w:val="none"/>
                <w:u w:val="none"/>
                <w:lang w:val="en-US" w:eastAsia="zh-CN"/>
              </w:rPr>
              <w:t>表1-</w:t>
            </w:r>
            <w:r>
              <w:rPr>
                <w:rFonts w:hint="eastAsia" w:ascii="Times New Roman" w:hAnsi="Times New Roman" w:eastAsia="黑体" w:cs="Times New Roman"/>
                <w:b w:val="0"/>
                <w:bCs w:val="0"/>
                <w:color w:val="auto"/>
                <w:sz w:val="24"/>
                <w:szCs w:val="24"/>
                <w:highlight w:val="none"/>
                <w:u w:val="none"/>
                <w:lang w:val="en-US" w:eastAsia="zh-CN"/>
              </w:rPr>
              <w:t>3</w:t>
            </w:r>
            <w:r>
              <w:rPr>
                <w:rFonts w:hint="default" w:ascii="Times New Roman" w:hAnsi="Times New Roman" w:eastAsia="黑体" w:cs="Times New Roman"/>
                <w:b w:val="0"/>
                <w:bCs w:val="0"/>
                <w:color w:val="auto"/>
                <w:sz w:val="24"/>
                <w:szCs w:val="24"/>
                <w:highlight w:val="none"/>
                <w:u w:val="none"/>
                <w:lang w:val="en-US" w:eastAsia="zh-CN"/>
              </w:rPr>
              <w:t xml:space="preserve"> 本项目建设内容与</w:t>
            </w:r>
            <w:r>
              <w:rPr>
                <w:rFonts w:hint="default" w:ascii="Times New Roman" w:hAnsi="Times New Roman" w:eastAsia="黑体" w:cs="Times New Roman"/>
                <w:color w:val="auto"/>
                <w:kern w:val="0"/>
                <w:sz w:val="24"/>
                <w:szCs w:val="24"/>
                <w:highlight w:val="none"/>
                <w:lang w:val="en-US" w:eastAsia="zh-CN"/>
              </w:rPr>
              <w:t>平环委办〔2024〕13号</w:t>
            </w:r>
            <w:r>
              <w:rPr>
                <w:rFonts w:hint="eastAsia" w:ascii="Times New Roman" w:hAnsi="Times New Roman" w:eastAsia="黑体" w:cs="Times New Roman"/>
                <w:color w:val="auto"/>
                <w:kern w:val="0"/>
                <w:sz w:val="24"/>
                <w:szCs w:val="24"/>
                <w:highlight w:val="none"/>
                <w:lang w:val="en-US" w:eastAsia="zh-CN"/>
              </w:rPr>
              <w:t>文件</w:t>
            </w:r>
            <w:r>
              <w:rPr>
                <w:rFonts w:hint="default" w:ascii="Times New Roman" w:hAnsi="Times New Roman" w:eastAsia="黑体" w:cs="Times New Roman"/>
                <w:b w:val="0"/>
                <w:bCs w:val="0"/>
                <w:color w:val="auto"/>
                <w:sz w:val="24"/>
                <w:szCs w:val="24"/>
                <w:highlight w:val="none"/>
                <w:u w:val="none"/>
                <w:lang w:val="en-US" w:eastAsia="zh-CN"/>
              </w:rPr>
              <w:t>符合性分析一览表</w:t>
            </w:r>
          </w:p>
          <w:tbl>
            <w:tblPr>
              <w:tblStyle w:val="23"/>
              <w:tblW w:w="747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Layout w:type="fixed"/>
              <w:tblCellMar>
                <w:top w:w="0" w:type="dxa"/>
                <w:left w:w="108" w:type="dxa"/>
                <w:bottom w:w="0" w:type="dxa"/>
                <w:right w:w="108" w:type="dxa"/>
              </w:tblCellMar>
            </w:tblPr>
            <w:tblGrid>
              <w:gridCol w:w="1011"/>
              <w:gridCol w:w="1011"/>
              <w:gridCol w:w="3252"/>
              <w:gridCol w:w="1504"/>
              <w:gridCol w:w="701"/>
            </w:tblGrid>
            <w:tr w14:paraId="0E9EE4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436" w:hRule="atLeast"/>
                <w:jc w:val="center"/>
              </w:trPr>
              <w:tc>
                <w:tcPr>
                  <w:tcW w:w="1011" w:type="dxa"/>
                  <w:tcBorders>
                    <w:tl2br w:val="nil"/>
                    <w:tr2bl w:val="nil"/>
                  </w:tcBorders>
                  <w:noWrap w:val="0"/>
                  <w:vAlign w:val="center"/>
                </w:tcPr>
                <w:p w14:paraId="59478F19">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类别</w:t>
                  </w:r>
                </w:p>
              </w:tc>
              <w:tc>
                <w:tcPr>
                  <w:tcW w:w="1011" w:type="dxa"/>
                  <w:tcBorders>
                    <w:tl2br w:val="nil"/>
                    <w:tr2bl w:val="nil"/>
                  </w:tcBorders>
                  <w:noWrap w:val="0"/>
                  <w:vAlign w:val="center"/>
                </w:tcPr>
                <w:p w14:paraId="036528F2">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主要</w:t>
                  </w:r>
                </w:p>
                <w:p w14:paraId="42FA0243">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任务</w:t>
                  </w:r>
                </w:p>
              </w:tc>
              <w:tc>
                <w:tcPr>
                  <w:tcW w:w="3252" w:type="dxa"/>
                  <w:tcBorders>
                    <w:tl2br w:val="nil"/>
                    <w:tr2bl w:val="nil"/>
                  </w:tcBorders>
                  <w:noWrap w:val="0"/>
                  <w:vAlign w:val="center"/>
                </w:tcPr>
                <w:p w14:paraId="34C09C9E">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实施方案相关要求</w:t>
                  </w:r>
                </w:p>
              </w:tc>
              <w:tc>
                <w:tcPr>
                  <w:tcW w:w="1504" w:type="dxa"/>
                  <w:tcBorders>
                    <w:tl2br w:val="nil"/>
                    <w:tr2bl w:val="nil"/>
                  </w:tcBorders>
                  <w:noWrap w:val="0"/>
                  <w:vAlign w:val="center"/>
                </w:tcPr>
                <w:p w14:paraId="64FE8CB9">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本项目情况</w:t>
                  </w:r>
                </w:p>
              </w:tc>
              <w:tc>
                <w:tcPr>
                  <w:tcW w:w="701" w:type="dxa"/>
                  <w:tcBorders>
                    <w:tl2br w:val="nil"/>
                    <w:tr2bl w:val="nil"/>
                  </w:tcBorders>
                  <w:noWrap w:val="0"/>
                  <w:vAlign w:val="center"/>
                </w:tcPr>
                <w:p w14:paraId="120550E0">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符合性</w:t>
                  </w:r>
                </w:p>
              </w:tc>
            </w:tr>
            <w:tr w14:paraId="44845E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1011" w:type="dxa"/>
                  <w:vMerge w:val="restart"/>
                  <w:tcBorders>
                    <w:tl2br w:val="nil"/>
                    <w:tr2bl w:val="nil"/>
                  </w:tcBorders>
                  <w:noWrap w:val="0"/>
                  <w:vAlign w:val="center"/>
                </w:tcPr>
                <w:p w14:paraId="231D1522">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lang w:val="en-US" w:eastAsia="zh-CN"/>
                    </w:rPr>
                    <w:t>平顶山市202</w:t>
                  </w:r>
                  <w:r>
                    <w:rPr>
                      <w:rFonts w:hint="eastAsia" w:cs="Times New Roman"/>
                      <w:color w:val="auto"/>
                      <w:kern w:val="0"/>
                      <w:sz w:val="21"/>
                      <w:szCs w:val="21"/>
                      <w:highlight w:val="none"/>
                      <w:lang w:val="en-US" w:eastAsia="zh-CN"/>
                    </w:rPr>
                    <w:t>4</w:t>
                  </w:r>
                  <w:r>
                    <w:rPr>
                      <w:rFonts w:hint="default" w:ascii="Times New Roman" w:hAnsi="Times New Roman" w:eastAsia="宋体" w:cs="Times New Roman"/>
                      <w:color w:val="auto"/>
                      <w:kern w:val="0"/>
                      <w:sz w:val="21"/>
                      <w:szCs w:val="21"/>
                      <w:highlight w:val="none"/>
                      <w:lang w:val="en-US" w:eastAsia="zh-CN"/>
                    </w:rPr>
                    <w:t>年蓝天保卫战实施方案</w:t>
                  </w:r>
                </w:p>
              </w:tc>
              <w:tc>
                <w:tcPr>
                  <w:tcW w:w="1011" w:type="dxa"/>
                  <w:tcBorders>
                    <w:tl2br w:val="nil"/>
                    <w:tr2bl w:val="nil"/>
                  </w:tcBorders>
                  <w:noWrap w:val="0"/>
                  <w:vAlign w:val="center"/>
                </w:tcPr>
                <w:p w14:paraId="1E5AE4B1">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深入推进超低排放改造</w:t>
                  </w:r>
                </w:p>
              </w:tc>
              <w:tc>
                <w:tcPr>
                  <w:tcW w:w="3252" w:type="dxa"/>
                  <w:tcBorders>
                    <w:tl2br w:val="nil"/>
                    <w:tr2bl w:val="nil"/>
                  </w:tcBorders>
                  <w:noWrap w:val="0"/>
                  <w:vAlign w:val="center"/>
                </w:tcPr>
                <w:p w14:paraId="40CCD273">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color w:val="auto"/>
                      <w:kern w:val="2"/>
                      <w:sz w:val="21"/>
                      <w:szCs w:val="21"/>
                      <w:highlight w:val="none"/>
                      <w:u w:val="none"/>
                      <w:lang w:val="en-US" w:eastAsia="zh-CN" w:bidi="ar-SA"/>
                    </w:rPr>
                    <w:t>高质量推进钢铁、水泥、焦化行业全工序、全流程超低排放改造，严把工程质量，加强运行管理，推动行业绿色低碳转型升级。2024年5月底前，建立水泥、焦化企业超低排放改造任务清单，明确改造技术路线和时限要求，2024年年底前，长流程和短流程钢铁企业完成有组织、无组织超低排放评估监测和中钢协公告</w:t>
                  </w:r>
                  <w:r>
                    <w:rPr>
                      <w:rFonts w:hint="eastAsia" w:cs="Times New Roman"/>
                      <w:b w:val="0"/>
                      <w:bCs w:val="0"/>
                      <w:color w:val="auto"/>
                      <w:kern w:val="2"/>
                      <w:sz w:val="21"/>
                      <w:szCs w:val="21"/>
                      <w:highlight w:val="none"/>
                      <w:u w:val="none"/>
                      <w:lang w:val="en-US" w:eastAsia="zh-CN" w:bidi="ar-SA"/>
                    </w:rPr>
                    <w:t>；</w:t>
                  </w:r>
                  <w:r>
                    <w:rPr>
                      <w:rFonts w:hint="default" w:ascii="Times New Roman" w:hAnsi="Times New Roman" w:eastAsia="宋体" w:cs="Times New Roman"/>
                      <w:b w:val="0"/>
                      <w:bCs w:val="0"/>
                      <w:color w:val="auto"/>
                      <w:kern w:val="2"/>
                      <w:sz w:val="21"/>
                      <w:szCs w:val="21"/>
                      <w:highlight w:val="none"/>
                      <w:u w:val="none"/>
                      <w:lang w:val="en-US" w:eastAsia="zh-CN" w:bidi="ar-SA"/>
                    </w:rPr>
                    <w:t>水泥、焦化企业基本完成有组织和无组织超低排放改造。对全面完成超低排放改造并公告的企业，可开展A级绩效评级工作，重污染天气预警期间A级企业可采取自主减排措施。</w:t>
                  </w:r>
                </w:p>
              </w:tc>
              <w:tc>
                <w:tcPr>
                  <w:tcW w:w="1504" w:type="dxa"/>
                  <w:tcBorders>
                    <w:tl2br w:val="nil"/>
                    <w:tr2bl w:val="nil"/>
                  </w:tcBorders>
                  <w:noWrap w:val="0"/>
                  <w:vAlign w:val="center"/>
                </w:tcPr>
                <w:p w14:paraId="37AFC44D">
                  <w:pPr>
                    <w:autoSpaceDE w:val="0"/>
                    <w:autoSpaceDN w:val="0"/>
                    <w:spacing w:line="240" w:lineRule="auto"/>
                    <w:jc w:val="center"/>
                    <w:rPr>
                      <w:rFonts w:hint="default" w:ascii="Times New Roman" w:hAnsi="Times New Roman" w:eastAsia="宋体" w:cs="Times New Roman"/>
                      <w:b w:val="0"/>
                      <w:bCs w:val="0"/>
                      <w:color w:val="auto"/>
                      <w:kern w:val="0"/>
                      <w:sz w:val="21"/>
                      <w:szCs w:val="21"/>
                      <w:highlight w:val="none"/>
                      <w:u w:val="none"/>
                      <w:lang w:val="en-US" w:eastAsia="zh-CN"/>
                    </w:rPr>
                  </w:pPr>
                  <w:r>
                    <w:rPr>
                      <w:rFonts w:hint="default" w:ascii="Times New Roman" w:hAnsi="Times New Roman" w:eastAsia="宋体" w:cs="Times New Roman"/>
                      <w:b w:val="0"/>
                      <w:bCs w:val="0"/>
                      <w:color w:val="auto"/>
                      <w:kern w:val="2"/>
                      <w:sz w:val="21"/>
                      <w:szCs w:val="21"/>
                      <w:highlight w:val="none"/>
                      <w:u w:val="none"/>
                      <w:lang w:val="en-US" w:eastAsia="zh-CN" w:bidi="ar-SA"/>
                    </w:rPr>
                    <w:t>本项目生产过程中</w:t>
                  </w:r>
                  <w:r>
                    <w:rPr>
                      <w:rFonts w:hint="default" w:ascii="Times New Roman" w:hAnsi="Times New Roman" w:cs="Times New Roman"/>
                      <w:b w:val="0"/>
                      <w:bCs w:val="0"/>
                      <w:color w:val="auto"/>
                      <w:kern w:val="2"/>
                      <w:sz w:val="21"/>
                      <w:szCs w:val="21"/>
                      <w:highlight w:val="none"/>
                      <w:u w:val="none"/>
                      <w:lang w:val="en-US" w:eastAsia="zh-CN" w:bidi="ar-SA"/>
                    </w:rPr>
                    <w:t>注重</w:t>
                  </w:r>
                  <w:r>
                    <w:rPr>
                      <w:rFonts w:hint="default" w:ascii="Times New Roman" w:hAnsi="Times New Roman" w:eastAsia="宋体" w:cs="Times New Roman"/>
                      <w:b w:val="0"/>
                      <w:bCs w:val="0"/>
                      <w:color w:val="auto"/>
                      <w:kern w:val="2"/>
                      <w:sz w:val="21"/>
                      <w:szCs w:val="21"/>
                      <w:highlight w:val="none"/>
                      <w:u w:val="none"/>
                      <w:lang w:val="en-US" w:eastAsia="zh-CN" w:bidi="ar-SA"/>
                    </w:rPr>
                    <w:t>加强物料运输、装卸储存及生产过程中的无组织排放控制，确保污染物稳定达标排放</w:t>
                  </w:r>
                  <w:r>
                    <w:rPr>
                      <w:rFonts w:hint="default" w:ascii="Times New Roman" w:hAnsi="Times New Roman" w:cs="Times New Roman"/>
                      <w:b w:val="0"/>
                      <w:bCs w:val="0"/>
                      <w:color w:val="auto"/>
                      <w:kern w:val="2"/>
                      <w:sz w:val="21"/>
                      <w:szCs w:val="21"/>
                      <w:highlight w:val="none"/>
                      <w:u w:val="none"/>
                      <w:lang w:val="en-US" w:eastAsia="zh-CN" w:bidi="ar-SA"/>
                    </w:rPr>
                    <w:t>，减少对周围环境的影响。</w:t>
                  </w:r>
                </w:p>
              </w:tc>
              <w:tc>
                <w:tcPr>
                  <w:tcW w:w="701" w:type="dxa"/>
                  <w:tcBorders>
                    <w:tl2br w:val="nil"/>
                    <w:tr2bl w:val="nil"/>
                  </w:tcBorders>
                  <w:noWrap w:val="0"/>
                  <w:vAlign w:val="center"/>
                </w:tcPr>
                <w:p w14:paraId="6CB55301">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符合</w:t>
                  </w:r>
                </w:p>
              </w:tc>
            </w:tr>
            <w:tr w14:paraId="6161FF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1011" w:type="dxa"/>
                  <w:vMerge w:val="continue"/>
                  <w:tcBorders>
                    <w:tl2br w:val="nil"/>
                    <w:tr2bl w:val="nil"/>
                  </w:tcBorders>
                  <w:noWrap w:val="0"/>
                  <w:vAlign w:val="center"/>
                </w:tcPr>
                <w:p w14:paraId="2961B41D">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p>
              </w:tc>
              <w:tc>
                <w:tcPr>
                  <w:tcW w:w="1011" w:type="dxa"/>
                  <w:tcBorders>
                    <w:tl2br w:val="nil"/>
                    <w:tr2bl w:val="nil"/>
                  </w:tcBorders>
                  <w:noWrap w:val="0"/>
                  <w:vAlign w:val="center"/>
                </w:tcPr>
                <w:p w14:paraId="3F1744DA">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深化扬尘污染精细化管控</w:t>
                  </w:r>
                </w:p>
              </w:tc>
              <w:tc>
                <w:tcPr>
                  <w:tcW w:w="3252" w:type="dxa"/>
                  <w:tcBorders>
                    <w:tl2br w:val="nil"/>
                    <w:tr2bl w:val="nil"/>
                  </w:tcBorders>
                  <w:noWrap w:val="0"/>
                  <w:vAlign w:val="center"/>
                </w:tcPr>
                <w:p w14:paraId="41AEB7BA">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color w:val="auto"/>
                      <w:kern w:val="2"/>
                      <w:sz w:val="21"/>
                      <w:szCs w:val="21"/>
                      <w:highlight w:val="none"/>
                      <w:u w:val="none"/>
                      <w:lang w:val="en-US" w:eastAsia="zh-CN" w:bidi="ar-SA"/>
                    </w:rPr>
                    <w:t>聚焦建筑施工、城市道路、车辆运输、线性工程、矿山开采和裸露地面等重点领域，细化完善全市重点扬尘污染源管控清单，建立施工防尘措施检查制度，按照“谁组织、谁监管”原则，明确监管责任，严格落实扬尘治理“两个标准”要求，加强施工围挡、车辆冲洗、湿法作业、密闭运输、地面硬化、物料覆盖等管理，提升扬尘污染精细化管理水平。按照省要求推进扬尘污染防治智慧化监控平台互联互通，推动5000平方米及以上建筑工地安装在线监测和视频监控设施并接入当地监管平台。市政道路、水务等长距离线性工程实行分段施工。工程项目将防治扬尘污染费用纳入工程造价，作为专项费用用于扬尘治理。强化道路扬尘综合治理，开展渣土、物料等运输车辆规范化整治，依法查处遗撒滴漏或扬散物料、不按照规定路线、时段行驶等违法行为，城市建成区道路机械化清扫率达到80%以上。逐月开展降尘量监测，实施公开排名通报。</w:t>
                  </w:r>
                </w:p>
              </w:tc>
              <w:tc>
                <w:tcPr>
                  <w:tcW w:w="1504" w:type="dxa"/>
                  <w:tcBorders>
                    <w:tl2br w:val="nil"/>
                    <w:tr2bl w:val="nil"/>
                  </w:tcBorders>
                  <w:noWrap w:val="0"/>
                  <w:vAlign w:val="center"/>
                </w:tcPr>
                <w:p w14:paraId="3DF9A6F6">
                  <w:pPr>
                    <w:autoSpaceDE w:val="0"/>
                    <w:autoSpaceDN w:val="0"/>
                    <w:spacing w:line="240" w:lineRule="auto"/>
                    <w:jc w:val="center"/>
                    <w:rPr>
                      <w:rFonts w:hint="default" w:ascii="Times New Roman" w:hAnsi="Times New Roman" w:eastAsia="宋体" w:cs="Times New Roman"/>
                      <w:b w:val="0"/>
                      <w:bCs w:val="0"/>
                      <w:color w:val="auto"/>
                      <w:kern w:val="0"/>
                      <w:sz w:val="21"/>
                      <w:szCs w:val="21"/>
                      <w:highlight w:val="none"/>
                      <w:u w:val="none"/>
                      <w:lang w:val="en-US" w:eastAsia="zh-CN"/>
                    </w:rPr>
                  </w:pPr>
                  <w:r>
                    <w:rPr>
                      <w:rFonts w:hint="eastAsia" w:ascii="宋体" w:hAnsi="宋体" w:eastAsia="宋体" w:cs="宋体"/>
                      <w:b w:val="0"/>
                      <w:bCs w:val="0"/>
                      <w:color w:val="auto"/>
                      <w:kern w:val="2"/>
                      <w:sz w:val="21"/>
                      <w:szCs w:val="21"/>
                      <w:highlight w:val="none"/>
                      <w:u w:val="none"/>
                      <w:lang w:val="en-US" w:eastAsia="zh-CN" w:bidi="ar-SA"/>
                    </w:rPr>
                    <w:t>执行“谁组织、谁监管”原则，明确监管责任，严格落实扬尘治理“两个标准”要求，加强施工围挡、车辆冲洗、湿法作业、密闭运输、地面硬化、物料覆盖等管理，提升扬尘污染精细化管理水平，</w:t>
                  </w:r>
                  <w:r>
                    <w:rPr>
                      <w:rFonts w:hint="default" w:ascii="Times New Roman" w:hAnsi="Times New Roman" w:eastAsia="宋体" w:cs="Times New Roman"/>
                      <w:b w:val="0"/>
                      <w:bCs w:val="0"/>
                      <w:color w:val="auto"/>
                      <w:kern w:val="2"/>
                      <w:sz w:val="21"/>
                      <w:szCs w:val="21"/>
                      <w:highlight w:val="none"/>
                      <w:u w:val="none"/>
                      <w:lang w:val="en-US" w:eastAsia="zh-CN" w:bidi="ar-SA"/>
                    </w:rPr>
                    <w:t>项目</w:t>
                  </w:r>
                  <w:r>
                    <w:rPr>
                      <w:rFonts w:hint="default" w:ascii="Times New Roman" w:hAnsi="Times New Roman" w:cs="Times New Roman"/>
                      <w:b w:val="0"/>
                      <w:bCs w:val="0"/>
                      <w:color w:val="auto"/>
                      <w:kern w:val="2"/>
                      <w:sz w:val="21"/>
                      <w:szCs w:val="21"/>
                      <w:highlight w:val="none"/>
                      <w:u w:val="none"/>
                      <w:lang w:val="en-US" w:eastAsia="zh-CN" w:bidi="ar-SA"/>
                    </w:rPr>
                    <w:t>加强对</w:t>
                  </w:r>
                  <w:r>
                    <w:rPr>
                      <w:rFonts w:hint="eastAsia" w:cs="Times New Roman"/>
                      <w:b w:val="0"/>
                      <w:bCs w:val="0"/>
                      <w:color w:val="auto"/>
                      <w:kern w:val="2"/>
                      <w:sz w:val="21"/>
                      <w:szCs w:val="21"/>
                      <w:highlight w:val="none"/>
                      <w:u w:val="none"/>
                      <w:lang w:val="en-US" w:eastAsia="zh-CN" w:bidi="ar-SA"/>
                    </w:rPr>
                    <w:t>颗粒物</w:t>
                  </w:r>
                  <w:r>
                    <w:rPr>
                      <w:rFonts w:hint="default" w:ascii="Times New Roman" w:hAnsi="Times New Roman" w:cs="Times New Roman"/>
                      <w:b w:val="0"/>
                      <w:bCs w:val="0"/>
                      <w:color w:val="auto"/>
                      <w:kern w:val="2"/>
                      <w:sz w:val="21"/>
                      <w:szCs w:val="21"/>
                      <w:highlight w:val="none"/>
                      <w:u w:val="none"/>
                      <w:lang w:val="en-US" w:eastAsia="zh-CN" w:bidi="ar-SA"/>
                    </w:rPr>
                    <w:t>的治理，通过集气罩的收集，然后进入袋式除尘器处理，最后通过15m高排气筒排出</w:t>
                  </w:r>
                </w:p>
              </w:tc>
              <w:tc>
                <w:tcPr>
                  <w:tcW w:w="701" w:type="dxa"/>
                  <w:tcBorders>
                    <w:tl2br w:val="nil"/>
                    <w:tr2bl w:val="nil"/>
                  </w:tcBorders>
                  <w:noWrap w:val="0"/>
                  <w:vAlign w:val="center"/>
                </w:tcPr>
                <w:p w14:paraId="19FCD6EF">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符合</w:t>
                  </w:r>
                </w:p>
              </w:tc>
            </w:tr>
            <w:tr w14:paraId="16A193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1011" w:type="dxa"/>
                  <w:vMerge w:val="continue"/>
                  <w:tcBorders>
                    <w:tl2br w:val="nil"/>
                    <w:tr2bl w:val="nil"/>
                  </w:tcBorders>
                  <w:noWrap w:val="0"/>
                  <w:vAlign w:val="center"/>
                </w:tcPr>
                <w:p w14:paraId="5C8ACA4C">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p>
              </w:tc>
              <w:tc>
                <w:tcPr>
                  <w:tcW w:w="1011" w:type="dxa"/>
                  <w:tcBorders>
                    <w:tl2br w:val="nil"/>
                    <w:tr2bl w:val="nil"/>
                  </w:tcBorders>
                  <w:shd w:val="clear" w:color="auto" w:fill="auto"/>
                  <w:noWrap w:val="0"/>
                  <w:vAlign w:val="center"/>
                </w:tcPr>
                <w:p w14:paraId="54B9A427">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cs="Times New Roman"/>
                      <w:b w:val="0"/>
                      <w:bCs w:val="0"/>
                      <w:color w:val="auto"/>
                      <w:kern w:val="2"/>
                      <w:sz w:val="21"/>
                      <w:szCs w:val="21"/>
                      <w:highlight w:val="none"/>
                      <w:u w:val="none"/>
                      <w:lang w:val="en-US" w:eastAsia="zh-CN" w:bidi="ar-SA"/>
                    </w:rPr>
                    <w:t>提升重污染天气应对实效</w:t>
                  </w:r>
                </w:p>
              </w:tc>
              <w:tc>
                <w:tcPr>
                  <w:tcW w:w="3252" w:type="dxa"/>
                  <w:tcBorders>
                    <w:tl2br w:val="nil"/>
                    <w:tr2bl w:val="nil"/>
                  </w:tcBorders>
                  <w:shd w:val="clear" w:color="auto" w:fill="auto"/>
                  <w:noWrap w:val="0"/>
                  <w:vAlign w:val="center"/>
                </w:tcPr>
                <w:p w14:paraId="45D5F7F2">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color w:val="auto"/>
                      <w:kern w:val="2"/>
                      <w:sz w:val="21"/>
                      <w:szCs w:val="21"/>
                      <w:highlight w:val="none"/>
                      <w:u w:val="none"/>
                      <w:lang w:val="en-US" w:eastAsia="zh-CN" w:bidi="ar-SA"/>
                    </w:rPr>
                    <w:t>健全完善重污染夭气预警响应机制，规范重污染天气预警、启动、响应、解除工作流程，强化区域联合应对，加强部门间的联系沟通，健全完善重污染天气监测预警、会商研判、应急响应、督查调度机制，综合采取远程监控、入企监督指导、污染高值预警、实地监测溯源、综合分析应对等方式</w:t>
                  </w:r>
                  <w:r>
                    <w:rPr>
                      <w:rFonts w:hint="eastAsia" w:ascii="Times New Roman" w:hAnsi="Times New Roman" w:cs="Times New Roman"/>
                      <w:b w:val="0"/>
                      <w:bCs w:val="0"/>
                      <w:color w:val="auto"/>
                      <w:kern w:val="2"/>
                      <w:sz w:val="21"/>
                      <w:szCs w:val="21"/>
                      <w:highlight w:val="none"/>
                      <w:u w:val="none"/>
                      <w:lang w:val="en-US" w:eastAsia="zh-CN" w:bidi="ar-SA"/>
                    </w:rPr>
                    <w:t>，</w:t>
                  </w:r>
                  <w:r>
                    <w:rPr>
                      <w:rFonts w:hint="default" w:ascii="Times New Roman" w:hAnsi="Times New Roman" w:eastAsia="宋体" w:cs="Times New Roman"/>
                      <w:b w:val="0"/>
                      <w:bCs w:val="0"/>
                      <w:color w:val="auto"/>
                      <w:kern w:val="2"/>
                      <w:sz w:val="21"/>
                      <w:szCs w:val="21"/>
                      <w:highlight w:val="none"/>
                      <w:u w:val="none"/>
                      <w:lang w:val="en-US" w:eastAsia="zh-CN" w:bidi="ar-SA"/>
                    </w:rPr>
                    <w:t>全面提升臭氧污染及重污染夭气协同管控实效</w:t>
                  </w:r>
                  <w:r>
                    <w:rPr>
                      <w:rFonts w:hint="eastAsia" w:ascii="Times New Roman" w:hAnsi="Times New Roman" w:eastAsia="宋体" w:cs="Times New Roman"/>
                      <w:b w:val="0"/>
                      <w:bCs w:val="0"/>
                      <w:color w:val="auto"/>
                      <w:kern w:val="2"/>
                      <w:sz w:val="21"/>
                      <w:szCs w:val="21"/>
                      <w:highlight w:val="none"/>
                      <w:u w:val="none"/>
                      <w:lang w:val="en-US" w:eastAsia="zh-CN" w:bidi="ar-SA"/>
                    </w:rPr>
                    <w:t>。</w:t>
                  </w:r>
                </w:p>
              </w:tc>
              <w:tc>
                <w:tcPr>
                  <w:tcW w:w="1504" w:type="dxa"/>
                  <w:tcBorders>
                    <w:tl2br w:val="nil"/>
                    <w:tr2bl w:val="nil"/>
                  </w:tcBorders>
                  <w:shd w:val="clear" w:color="auto" w:fill="auto"/>
                  <w:noWrap w:val="0"/>
                  <w:vAlign w:val="center"/>
                </w:tcPr>
                <w:p w14:paraId="7A7361C7">
                  <w:pPr>
                    <w:autoSpaceDE w:val="0"/>
                    <w:autoSpaceDN w:val="0"/>
                    <w:spacing w:line="240" w:lineRule="auto"/>
                    <w:jc w:val="center"/>
                    <w:rPr>
                      <w:rFonts w:hint="default" w:ascii="Times New Roman" w:hAnsi="Times New Roman" w:eastAsia="宋体" w:cs="Times New Roman"/>
                      <w:b w:val="0"/>
                      <w:bCs w:val="0"/>
                      <w:color w:val="auto"/>
                      <w:kern w:val="0"/>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企业应对</w:t>
                  </w:r>
                  <w:r>
                    <w:rPr>
                      <w:rFonts w:hint="default" w:ascii="Times New Roman" w:hAnsi="Times New Roman" w:eastAsia="宋体" w:cs="Times New Roman"/>
                      <w:b w:val="0"/>
                      <w:bCs w:val="0"/>
                      <w:color w:val="auto"/>
                      <w:kern w:val="2"/>
                      <w:sz w:val="21"/>
                      <w:szCs w:val="21"/>
                      <w:highlight w:val="none"/>
                      <w:u w:val="none"/>
                      <w:lang w:val="en-US" w:eastAsia="zh-CN" w:bidi="ar-SA"/>
                    </w:rPr>
                    <w:t>重污染</w:t>
                  </w:r>
                  <w:r>
                    <w:rPr>
                      <w:rFonts w:hint="eastAsia" w:cs="Times New Roman"/>
                      <w:b w:val="0"/>
                      <w:bCs w:val="0"/>
                      <w:color w:val="auto"/>
                      <w:kern w:val="2"/>
                      <w:sz w:val="21"/>
                      <w:szCs w:val="21"/>
                      <w:highlight w:val="none"/>
                      <w:u w:val="none"/>
                      <w:lang w:val="en-US" w:eastAsia="zh-CN" w:bidi="ar-SA"/>
                    </w:rPr>
                    <w:t>天</w:t>
                  </w:r>
                  <w:r>
                    <w:rPr>
                      <w:rFonts w:hint="default" w:ascii="Times New Roman" w:hAnsi="Times New Roman" w:eastAsia="宋体" w:cs="Times New Roman"/>
                      <w:b w:val="0"/>
                      <w:bCs w:val="0"/>
                      <w:color w:val="auto"/>
                      <w:kern w:val="2"/>
                      <w:sz w:val="21"/>
                      <w:szCs w:val="21"/>
                      <w:highlight w:val="none"/>
                      <w:u w:val="none"/>
                      <w:lang w:val="en-US" w:eastAsia="zh-CN" w:bidi="ar-SA"/>
                    </w:rPr>
                    <w:t>气预警响应机制，规范重污染天气预警、启动、响应、解除工作流程，强化区域联合应对</w:t>
                  </w:r>
                </w:p>
              </w:tc>
              <w:tc>
                <w:tcPr>
                  <w:tcW w:w="701" w:type="dxa"/>
                  <w:tcBorders>
                    <w:tl2br w:val="nil"/>
                    <w:tr2bl w:val="nil"/>
                  </w:tcBorders>
                  <w:shd w:val="clear" w:color="auto" w:fill="auto"/>
                  <w:noWrap w:val="0"/>
                  <w:vAlign w:val="center"/>
                </w:tcPr>
                <w:p w14:paraId="1E08BF75">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符合</w:t>
                  </w:r>
                </w:p>
              </w:tc>
            </w:tr>
          </w:tbl>
          <w:p w14:paraId="313202CC">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kern w:val="0"/>
                <w:sz w:val="24"/>
                <w:szCs w:val="24"/>
                <w:highlight w:val="none"/>
                <w:lang w:val="en-US" w:eastAsia="zh-CN"/>
              </w:rPr>
              <w:t>由以上分析可知，本项目建设符合《平顶山市202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年蓝天保卫战实施方案的通知》（平环委办〔202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en-US" w:eastAsia="zh-CN"/>
              </w:rPr>
              <w:t>号）中相关要求</w:t>
            </w:r>
            <w:r>
              <w:rPr>
                <w:rFonts w:hint="default" w:ascii="Times New Roman" w:hAnsi="Times New Roman" w:eastAsia="宋体" w:cs="Times New Roman"/>
                <w:color w:val="auto"/>
                <w:sz w:val="24"/>
                <w:szCs w:val="24"/>
                <w:highlight w:val="none"/>
              </w:rPr>
              <w:t>。</w:t>
            </w:r>
          </w:p>
          <w:p w14:paraId="0EA43E84">
            <w:pPr>
              <w:keepNext w:val="0"/>
              <w:keepLines w:val="0"/>
              <w:pageBreakBefore w:val="0"/>
              <w:widowControl/>
              <w:kinsoku/>
              <w:wordWrap/>
              <w:overflowPunct/>
              <w:topLinePunct w:val="0"/>
              <w:autoSpaceDE/>
              <w:autoSpaceDN/>
              <w:bidi w:val="0"/>
              <w:adjustRightInd/>
              <w:snapToGrid/>
              <w:spacing w:line="500" w:lineRule="exact"/>
              <w:ind w:firstLine="482" w:firstLineChars="200"/>
              <w:jc w:val="left"/>
              <w:textAlignment w:val="auto"/>
              <w:rPr>
                <w:rFonts w:hint="default" w:ascii="Times New Roman" w:hAnsi="Times New Roman" w:eastAsia="黑体" w:cs="Times New Roman"/>
                <w:b w:val="0"/>
                <w:bCs/>
                <w:color w:val="auto"/>
                <w:kern w:val="28"/>
                <w:sz w:val="24"/>
                <w:szCs w:val="40"/>
                <w:highlight w:val="none"/>
                <w:lang w:val="en-US" w:eastAsia="zh-CN" w:bidi="ar-SA"/>
              </w:rPr>
            </w:pPr>
            <w:r>
              <w:rPr>
                <w:rFonts w:hint="eastAsia" w:cs="Times New Roman"/>
                <w:b/>
                <w:bCs w:val="0"/>
                <w:color w:val="auto"/>
                <w:kern w:val="28"/>
                <w:sz w:val="24"/>
                <w:szCs w:val="40"/>
                <w:highlight w:val="none"/>
                <w:u w:val="none"/>
                <w:lang w:val="en-US" w:eastAsia="zh-CN" w:bidi="ar-SA"/>
              </w:rPr>
              <w:t>10</w:t>
            </w:r>
            <w:r>
              <w:rPr>
                <w:rFonts w:hint="default" w:ascii="Times New Roman" w:hAnsi="Times New Roman" w:eastAsia="宋体" w:cs="Times New Roman"/>
                <w:b/>
                <w:bCs w:val="0"/>
                <w:color w:val="auto"/>
                <w:kern w:val="28"/>
                <w:sz w:val="24"/>
                <w:szCs w:val="40"/>
                <w:highlight w:val="none"/>
                <w:u w:val="none"/>
                <w:lang w:val="en-US" w:eastAsia="zh-CN" w:bidi="ar-SA"/>
              </w:rPr>
              <w:t>、</w:t>
            </w:r>
            <w:r>
              <w:rPr>
                <w:rFonts w:hint="default" w:ascii="Times New Roman" w:hAnsi="Times New Roman" w:eastAsia="宋体" w:cs="Times New Roman"/>
                <w:b/>
                <w:bCs w:val="0"/>
                <w:color w:val="auto"/>
                <w:kern w:val="28"/>
                <w:sz w:val="24"/>
                <w:szCs w:val="40"/>
                <w:highlight w:val="none"/>
                <w:lang w:val="en-US" w:eastAsia="zh-CN" w:bidi="ar-SA"/>
              </w:rPr>
              <w:t>项目与《平顶山市</w:t>
            </w:r>
            <w:r>
              <w:rPr>
                <w:rFonts w:hint="default" w:ascii="Times New Roman" w:hAnsi="Times New Roman" w:cs="Times New Roman"/>
                <w:b/>
                <w:bCs w:val="0"/>
                <w:color w:val="auto"/>
                <w:kern w:val="28"/>
                <w:sz w:val="24"/>
                <w:szCs w:val="40"/>
                <w:highlight w:val="none"/>
                <w:lang w:val="en-US" w:eastAsia="zh-CN" w:bidi="ar-SA"/>
              </w:rPr>
              <w:t>202</w:t>
            </w:r>
            <w:r>
              <w:rPr>
                <w:rFonts w:hint="eastAsia" w:cs="Times New Roman"/>
                <w:b/>
                <w:bCs w:val="0"/>
                <w:color w:val="auto"/>
                <w:kern w:val="28"/>
                <w:sz w:val="24"/>
                <w:szCs w:val="40"/>
                <w:highlight w:val="none"/>
                <w:lang w:val="en-US" w:eastAsia="zh-CN" w:bidi="ar-SA"/>
              </w:rPr>
              <w:t>4</w:t>
            </w:r>
            <w:r>
              <w:rPr>
                <w:rFonts w:hint="default" w:ascii="Times New Roman" w:hAnsi="Times New Roman" w:cs="Times New Roman"/>
                <w:b/>
                <w:bCs w:val="0"/>
                <w:color w:val="auto"/>
                <w:kern w:val="28"/>
                <w:sz w:val="24"/>
                <w:szCs w:val="40"/>
                <w:highlight w:val="none"/>
                <w:lang w:val="en-US" w:eastAsia="zh-CN" w:bidi="ar-SA"/>
              </w:rPr>
              <w:t>年碧水保卫战实施方案的通知</w:t>
            </w:r>
            <w:r>
              <w:rPr>
                <w:rFonts w:hint="default" w:ascii="Times New Roman" w:hAnsi="Times New Roman" w:eastAsia="宋体" w:cs="Times New Roman"/>
                <w:b/>
                <w:bCs w:val="0"/>
                <w:color w:val="auto"/>
                <w:kern w:val="28"/>
                <w:sz w:val="24"/>
                <w:szCs w:val="40"/>
                <w:highlight w:val="none"/>
                <w:lang w:val="en-US" w:eastAsia="zh-CN" w:bidi="ar-SA"/>
              </w:rPr>
              <w:t>》相符性分析</w:t>
            </w:r>
          </w:p>
          <w:p w14:paraId="6313A63E">
            <w:pPr>
              <w:keepNext w:val="0"/>
              <w:keepLines w:val="0"/>
              <w:pageBreakBefore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bCs w:val="0"/>
                <w:color w:val="auto"/>
                <w:kern w:val="28"/>
                <w:sz w:val="24"/>
                <w:szCs w:val="40"/>
                <w:highlight w:val="none"/>
                <w:u w:val="none"/>
                <w:lang w:val="en-US" w:eastAsia="zh-CN" w:bidi="ar-SA"/>
              </w:rPr>
            </w:pPr>
            <w:r>
              <w:rPr>
                <w:rFonts w:hint="default" w:ascii="Times New Roman" w:hAnsi="Times New Roman" w:eastAsia="宋体" w:cs="Times New Roman"/>
                <w:color w:val="auto"/>
                <w:kern w:val="0"/>
                <w:sz w:val="24"/>
                <w:szCs w:val="24"/>
                <w:highlight w:val="none"/>
                <w:lang w:val="en-US" w:eastAsia="zh-CN"/>
              </w:rPr>
              <w:t>本项目建设内容与《平顶山市202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年碧水保卫战实施方案的通知》（平环委办〔202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〕1</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号）中相关内容的相符性分析详见下表。</w:t>
            </w:r>
          </w:p>
          <w:p w14:paraId="0DDDD179">
            <w:pPr>
              <w:pStyle w:val="7"/>
              <w:keepNext w:val="0"/>
              <w:keepLines w:val="0"/>
              <w:pageBreakBefore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黑体" w:cs="Times New Roman"/>
                <w:b w:val="0"/>
                <w:bCs w:val="0"/>
                <w:color w:val="auto"/>
                <w:sz w:val="24"/>
                <w:szCs w:val="24"/>
                <w:highlight w:val="none"/>
                <w:u w:val="none"/>
                <w:lang w:val="en-US" w:eastAsia="zh-CN"/>
              </w:rPr>
              <w:t>表1-</w:t>
            </w:r>
            <w:r>
              <w:rPr>
                <w:rFonts w:hint="eastAsia" w:eastAsia="黑体" w:cs="Times New Roman"/>
                <w:b w:val="0"/>
                <w:bCs w:val="0"/>
                <w:color w:val="auto"/>
                <w:sz w:val="24"/>
                <w:szCs w:val="24"/>
                <w:highlight w:val="none"/>
                <w:u w:val="none"/>
                <w:lang w:val="en-US" w:eastAsia="zh-CN"/>
              </w:rPr>
              <w:t>4</w:t>
            </w:r>
            <w:r>
              <w:rPr>
                <w:rFonts w:hint="default" w:ascii="Times New Roman" w:hAnsi="Times New Roman" w:eastAsia="黑体" w:cs="Times New Roman"/>
                <w:b w:val="0"/>
                <w:bCs w:val="0"/>
                <w:color w:val="auto"/>
                <w:sz w:val="24"/>
                <w:szCs w:val="24"/>
                <w:highlight w:val="none"/>
                <w:u w:val="none"/>
                <w:lang w:val="en-US" w:eastAsia="zh-CN"/>
              </w:rPr>
              <w:t xml:space="preserve"> 本项目建设内容与</w:t>
            </w:r>
            <w:r>
              <w:rPr>
                <w:rFonts w:hint="default" w:ascii="Times New Roman" w:hAnsi="Times New Roman" w:eastAsia="黑体" w:cs="Times New Roman"/>
                <w:color w:val="auto"/>
                <w:kern w:val="0"/>
                <w:sz w:val="24"/>
                <w:szCs w:val="24"/>
                <w:highlight w:val="none"/>
                <w:lang w:val="en-US" w:eastAsia="zh-CN"/>
              </w:rPr>
              <w:t>平环委办〔2024〕1</w:t>
            </w:r>
            <w:r>
              <w:rPr>
                <w:rFonts w:hint="eastAsia" w:eastAsia="黑体" w:cs="Times New Roman"/>
                <w:color w:val="auto"/>
                <w:kern w:val="0"/>
                <w:sz w:val="24"/>
                <w:szCs w:val="24"/>
                <w:highlight w:val="none"/>
                <w:lang w:val="en-US" w:eastAsia="zh-CN"/>
              </w:rPr>
              <w:t>5</w:t>
            </w:r>
            <w:r>
              <w:rPr>
                <w:rFonts w:hint="default" w:ascii="Times New Roman" w:hAnsi="Times New Roman" w:eastAsia="黑体" w:cs="Times New Roman"/>
                <w:color w:val="auto"/>
                <w:kern w:val="0"/>
                <w:sz w:val="24"/>
                <w:szCs w:val="24"/>
                <w:highlight w:val="none"/>
                <w:lang w:val="en-US" w:eastAsia="zh-CN"/>
              </w:rPr>
              <w:t>号</w:t>
            </w:r>
            <w:r>
              <w:rPr>
                <w:rFonts w:hint="default" w:ascii="Times New Roman" w:hAnsi="Times New Roman" w:eastAsia="黑体" w:cs="Times New Roman"/>
                <w:b w:val="0"/>
                <w:bCs w:val="0"/>
                <w:color w:val="auto"/>
                <w:sz w:val="24"/>
                <w:szCs w:val="24"/>
                <w:highlight w:val="none"/>
                <w:u w:val="none"/>
                <w:lang w:val="en-US" w:eastAsia="zh-CN"/>
              </w:rPr>
              <w:t>文件符合性分析一览表</w:t>
            </w:r>
          </w:p>
          <w:tbl>
            <w:tblPr>
              <w:tblStyle w:val="23"/>
              <w:tblW w:w="735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Layout w:type="fixed"/>
              <w:tblCellMar>
                <w:top w:w="0" w:type="dxa"/>
                <w:left w:w="108" w:type="dxa"/>
                <w:bottom w:w="0" w:type="dxa"/>
                <w:right w:w="108" w:type="dxa"/>
              </w:tblCellMar>
            </w:tblPr>
            <w:tblGrid>
              <w:gridCol w:w="1141"/>
              <w:gridCol w:w="3628"/>
              <w:gridCol w:w="1738"/>
              <w:gridCol w:w="850"/>
            </w:tblGrid>
            <w:tr w14:paraId="10ACEF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327" w:hRule="atLeast"/>
                <w:jc w:val="center"/>
              </w:trPr>
              <w:tc>
                <w:tcPr>
                  <w:tcW w:w="1141" w:type="dxa"/>
                  <w:tcBorders>
                    <w:tl2br w:val="nil"/>
                    <w:tr2bl w:val="nil"/>
                  </w:tcBorders>
                  <w:noWrap w:val="0"/>
                  <w:vAlign w:val="center"/>
                </w:tcPr>
                <w:p w14:paraId="537039C9">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类别</w:t>
                  </w:r>
                </w:p>
              </w:tc>
              <w:tc>
                <w:tcPr>
                  <w:tcW w:w="3628" w:type="dxa"/>
                  <w:tcBorders>
                    <w:tl2br w:val="nil"/>
                    <w:tr2bl w:val="nil"/>
                  </w:tcBorders>
                  <w:noWrap w:val="0"/>
                  <w:vAlign w:val="center"/>
                </w:tcPr>
                <w:p w14:paraId="57A55CFA">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实施方案相关要求</w:t>
                  </w:r>
                </w:p>
              </w:tc>
              <w:tc>
                <w:tcPr>
                  <w:tcW w:w="1738" w:type="dxa"/>
                  <w:tcBorders>
                    <w:tl2br w:val="nil"/>
                    <w:tr2bl w:val="nil"/>
                  </w:tcBorders>
                  <w:noWrap w:val="0"/>
                  <w:vAlign w:val="center"/>
                </w:tcPr>
                <w:p w14:paraId="6391650B">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本项目情况</w:t>
                  </w:r>
                </w:p>
              </w:tc>
              <w:tc>
                <w:tcPr>
                  <w:tcW w:w="850" w:type="dxa"/>
                  <w:tcBorders>
                    <w:tl2br w:val="nil"/>
                    <w:tr2bl w:val="nil"/>
                  </w:tcBorders>
                  <w:noWrap w:val="0"/>
                  <w:vAlign w:val="center"/>
                </w:tcPr>
                <w:p w14:paraId="28216CCD">
                  <w:pPr>
                    <w:autoSpaceDE w:val="0"/>
                    <w:autoSpaceDN w:val="0"/>
                    <w:spacing w:line="240" w:lineRule="auto"/>
                    <w:jc w:val="center"/>
                    <w:rPr>
                      <w:rFonts w:hint="default" w:ascii="Times New Roman" w:hAnsi="Times New Roman" w:eastAsia="宋体" w:cs="Times New Roman"/>
                      <w:b/>
                      <w:bCs/>
                      <w:color w:val="auto"/>
                      <w:kern w:val="2"/>
                      <w:sz w:val="21"/>
                      <w:szCs w:val="21"/>
                      <w:highlight w:val="none"/>
                      <w:u w:val="none"/>
                      <w:lang w:val="zh-CN" w:eastAsia="zh-CN" w:bidi="ar-SA"/>
                    </w:rPr>
                  </w:pPr>
                  <w:r>
                    <w:rPr>
                      <w:rFonts w:hint="default" w:ascii="Times New Roman" w:hAnsi="Times New Roman" w:eastAsia="宋体" w:cs="Times New Roman"/>
                      <w:b/>
                      <w:bCs/>
                      <w:color w:val="auto"/>
                      <w:kern w:val="2"/>
                      <w:sz w:val="21"/>
                      <w:szCs w:val="21"/>
                      <w:highlight w:val="none"/>
                      <w:u w:val="none"/>
                      <w:lang w:val="zh-CN" w:eastAsia="zh-CN" w:bidi="ar-SA"/>
                    </w:rPr>
                    <w:t>符合性</w:t>
                  </w:r>
                </w:p>
              </w:tc>
            </w:tr>
            <w:tr w14:paraId="70C4C0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1141" w:type="dxa"/>
                  <w:vMerge w:val="restart"/>
                  <w:tcBorders>
                    <w:tl2br w:val="nil"/>
                    <w:tr2bl w:val="nil"/>
                  </w:tcBorders>
                  <w:noWrap w:val="0"/>
                  <w:vAlign w:val="center"/>
                </w:tcPr>
                <w:p w14:paraId="6EEC41D8">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lang w:val="en-US" w:eastAsia="zh-CN"/>
                    </w:rPr>
                    <w:t>平顶山市202</w:t>
                  </w:r>
                  <w:r>
                    <w:rPr>
                      <w:rFonts w:hint="eastAsia" w:cs="Times New Roman"/>
                      <w:color w:val="auto"/>
                      <w:kern w:val="0"/>
                      <w:sz w:val="21"/>
                      <w:szCs w:val="21"/>
                      <w:highlight w:val="none"/>
                      <w:lang w:val="en-US" w:eastAsia="zh-CN"/>
                    </w:rPr>
                    <w:t>4</w:t>
                  </w:r>
                  <w:r>
                    <w:rPr>
                      <w:rFonts w:hint="default" w:ascii="Times New Roman" w:hAnsi="Times New Roman" w:eastAsia="宋体" w:cs="Times New Roman"/>
                      <w:color w:val="auto"/>
                      <w:kern w:val="0"/>
                      <w:sz w:val="21"/>
                      <w:szCs w:val="21"/>
                      <w:highlight w:val="none"/>
                      <w:lang w:val="en-US" w:eastAsia="zh-CN"/>
                    </w:rPr>
                    <w:t>年碧水保卫战实施方案</w:t>
                  </w:r>
                </w:p>
              </w:tc>
              <w:tc>
                <w:tcPr>
                  <w:tcW w:w="3628" w:type="dxa"/>
                  <w:tcBorders>
                    <w:tl2br w:val="nil"/>
                    <w:tr2bl w:val="nil"/>
                  </w:tcBorders>
                  <w:noWrap w:val="0"/>
                  <w:vAlign w:val="center"/>
                </w:tcPr>
                <w:p w14:paraId="53BF72BB">
                  <w:pPr>
                    <w:autoSpaceDE w:val="0"/>
                    <w:autoSpaceDN w:val="0"/>
                    <w:spacing w:line="240" w:lineRule="auto"/>
                    <w:jc w:val="left"/>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bCs/>
                      <w:color w:val="auto"/>
                      <w:kern w:val="2"/>
                      <w:sz w:val="21"/>
                      <w:szCs w:val="21"/>
                      <w:highlight w:val="none"/>
                      <w:u w:val="none"/>
                      <w:lang w:val="en-US" w:eastAsia="zh-CN" w:bidi="ar-SA"/>
                    </w:rPr>
                    <w:t>积极推动再生水循环利用。</w:t>
                  </w:r>
                  <w:r>
                    <w:rPr>
                      <w:rFonts w:hint="default" w:ascii="Times New Roman" w:hAnsi="Times New Roman" w:eastAsia="宋体" w:cs="Times New Roman"/>
                      <w:b w:val="0"/>
                      <w:bCs w:val="0"/>
                      <w:color w:val="auto"/>
                      <w:kern w:val="2"/>
                      <w:sz w:val="21"/>
                      <w:szCs w:val="21"/>
                      <w:highlight w:val="none"/>
                      <w:u w:val="none"/>
                      <w:lang w:val="en-US" w:eastAsia="zh-CN" w:bidi="ar-SA"/>
                    </w:rPr>
                    <w:t>以现有污水处理厂为基础，合理布局再生水利用基础设施，推进区域污水资源化循环利用。推动各地谋划建设一批再生水循环利用项目，积极参与国家区域再生水循环利用试点，探索建立污染治理、生态保护、循环利用有机结合的区域再生水循环利用体系，不断提升再生水利用率。</w:t>
                  </w:r>
                </w:p>
              </w:tc>
              <w:tc>
                <w:tcPr>
                  <w:tcW w:w="1738" w:type="dxa"/>
                  <w:tcBorders>
                    <w:tl2br w:val="nil"/>
                    <w:tr2bl w:val="nil"/>
                  </w:tcBorders>
                  <w:noWrap w:val="0"/>
                  <w:vAlign w:val="center"/>
                </w:tcPr>
                <w:p w14:paraId="76135F06">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color w:val="auto"/>
                      <w:kern w:val="2"/>
                      <w:sz w:val="21"/>
                      <w:szCs w:val="21"/>
                      <w:highlight w:val="none"/>
                      <w:u w:val="none"/>
                      <w:lang w:val="en-US" w:eastAsia="zh-CN" w:bidi="ar-SA"/>
                    </w:rPr>
                    <w:t>本项目</w:t>
                  </w:r>
                  <w:r>
                    <w:rPr>
                      <w:rFonts w:hint="default" w:ascii="Times New Roman" w:hAnsi="Times New Roman" w:cs="Times New Roman"/>
                      <w:b w:val="0"/>
                      <w:bCs w:val="0"/>
                      <w:color w:val="auto"/>
                      <w:kern w:val="2"/>
                      <w:sz w:val="21"/>
                      <w:szCs w:val="21"/>
                      <w:highlight w:val="none"/>
                      <w:u w:val="none"/>
                      <w:lang w:val="en-US" w:eastAsia="zh-CN" w:bidi="ar-SA"/>
                    </w:rPr>
                    <w:t>厂区内设置</w:t>
                  </w:r>
                  <w:r>
                    <w:rPr>
                      <w:rFonts w:hint="eastAsia" w:cs="Times New Roman"/>
                      <w:b w:val="0"/>
                      <w:bCs w:val="0"/>
                      <w:color w:val="auto"/>
                      <w:kern w:val="2"/>
                      <w:sz w:val="21"/>
                      <w:szCs w:val="21"/>
                      <w:highlight w:val="none"/>
                      <w:u w:val="none"/>
                      <w:lang w:val="en-US" w:eastAsia="zh-CN" w:bidi="ar-SA"/>
                    </w:rPr>
                    <w:t>沉降罐、污水</w:t>
                  </w:r>
                  <w:r>
                    <w:rPr>
                      <w:rFonts w:hint="default" w:ascii="Times New Roman" w:hAnsi="Times New Roman" w:cs="Times New Roman"/>
                      <w:b w:val="0"/>
                      <w:bCs w:val="0"/>
                      <w:color w:val="auto"/>
                      <w:kern w:val="2"/>
                      <w:sz w:val="21"/>
                      <w:szCs w:val="21"/>
                      <w:highlight w:val="none"/>
                      <w:u w:val="none"/>
                      <w:lang w:val="en-US" w:eastAsia="zh-CN" w:bidi="ar-SA"/>
                    </w:rPr>
                    <w:t>池</w:t>
                  </w:r>
                  <w:r>
                    <w:rPr>
                      <w:rFonts w:hint="eastAsia" w:cs="Times New Roman"/>
                      <w:b w:val="0"/>
                      <w:bCs w:val="0"/>
                      <w:color w:val="auto"/>
                      <w:kern w:val="2"/>
                      <w:sz w:val="21"/>
                      <w:szCs w:val="21"/>
                      <w:highlight w:val="none"/>
                      <w:u w:val="none"/>
                      <w:lang w:val="en-US" w:eastAsia="zh-CN" w:bidi="ar-SA"/>
                    </w:rPr>
                    <w:t>、压滤机</w:t>
                  </w:r>
                  <w:r>
                    <w:rPr>
                      <w:rFonts w:hint="default" w:ascii="Times New Roman" w:hAnsi="Times New Roman" w:cs="Times New Roman"/>
                      <w:b w:val="0"/>
                      <w:bCs w:val="0"/>
                      <w:color w:val="auto"/>
                      <w:kern w:val="2"/>
                      <w:sz w:val="21"/>
                      <w:szCs w:val="21"/>
                      <w:highlight w:val="none"/>
                      <w:u w:val="none"/>
                      <w:lang w:val="en-US" w:eastAsia="zh-CN" w:bidi="ar-SA"/>
                    </w:rPr>
                    <w:t>等废水处理设施，生产废水经过</w:t>
                  </w:r>
                  <w:r>
                    <w:rPr>
                      <w:rFonts w:hint="eastAsia" w:cs="Times New Roman"/>
                      <w:b w:val="0"/>
                      <w:bCs w:val="0"/>
                      <w:color w:val="auto"/>
                      <w:kern w:val="2"/>
                      <w:sz w:val="21"/>
                      <w:szCs w:val="21"/>
                      <w:highlight w:val="none"/>
                      <w:u w:val="none"/>
                      <w:lang w:val="en-US" w:eastAsia="zh-CN" w:bidi="ar-SA"/>
                    </w:rPr>
                    <w:t>浓缩</w:t>
                  </w:r>
                  <w:r>
                    <w:rPr>
                      <w:rFonts w:hint="default" w:ascii="Times New Roman" w:hAnsi="Times New Roman" w:cs="Times New Roman"/>
                      <w:b w:val="0"/>
                      <w:bCs w:val="0"/>
                      <w:color w:val="auto"/>
                      <w:kern w:val="2"/>
                      <w:sz w:val="21"/>
                      <w:szCs w:val="21"/>
                      <w:highlight w:val="none"/>
                      <w:u w:val="none"/>
                      <w:lang w:val="en-US" w:eastAsia="zh-CN" w:bidi="ar-SA"/>
                    </w:rPr>
                    <w:t>处理后再循环利用，不外排，生活污水经过化粪池处理后用于农田施肥，资源化利用，不外排。积极推动水资源循环利用</w:t>
                  </w:r>
                  <w:r>
                    <w:rPr>
                      <w:rFonts w:hint="default" w:ascii="Times New Roman" w:hAnsi="Times New Roman" w:eastAsia="宋体" w:cs="Times New Roman"/>
                      <w:b w:val="0"/>
                      <w:bCs/>
                      <w:color w:val="auto"/>
                      <w:highlight w:val="none"/>
                      <w:u w:val="none"/>
                      <w:lang w:val="en-US" w:eastAsia="zh-CN"/>
                    </w:rPr>
                    <w:t>。</w:t>
                  </w:r>
                </w:p>
              </w:tc>
              <w:tc>
                <w:tcPr>
                  <w:tcW w:w="850" w:type="dxa"/>
                  <w:tcBorders>
                    <w:tl2br w:val="nil"/>
                    <w:tr2bl w:val="nil"/>
                  </w:tcBorders>
                  <w:noWrap w:val="0"/>
                  <w:vAlign w:val="center"/>
                </w:tcPr>
                <w:p w14:paraId="5C8CFDE9">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color w:val="auto"/>
                      <w:kern w:val="2"/>
                      <w:sz w:val="21"/>
                      <w:szCs w:val="21"/>
                      <w:highlight w:val="none"/>
                      <w:u w:val="none"/>
                      <w:lang w:val="en-US" w:eastAsia="zh-CN" w:bidi="ar-SA"/>
                    </w:rPr>
                    <w:t>符合</w:t>
                  </w:r>
                </w:p>
              </w:tc>
            </w:tr>
            <w:tr w14:paraId="336B46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3266" w:hRule="atLeast"/>
                <w:jc w:val="center"/>
              </w:trPr>
              <w:tc>
                <w:tcPr>
                  <w:tcW w:w="1141" w:type="dxa"/>
                  <w:vMerge w:val="continue"/>
                  <w:tcBorders>
                    <w:tl2br w:val="nil"/>
                    <w:tr2bl w:val="nil"/>
                  </w:tcBorders>
                  <w:noWrap w:val="0"/>
                  <w:vAlign w:val="center"/>
                </w:tcPr>
                <w:p w14:paraId="0B6645CB">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p>
              </w:tc>
              <w:tc>
                <w:tcPr>
                  <w:tcW w:w="3628" w:type="dxa"/>
                  <w:tcBorders>
                    <w:tl2br w:val="nil"/>
                    <w:tr2bl w:val="nil"/>
                  </w:tcBorders>
                  <w:noWrap w:val="0"/>
                  <w:vAlign w:val="center"/>
                </w:tcPr>
                <w:p w14:paraId="36A112CD">
                  <w:pPr>
                    <w:autoSpaceDE w:val="0"/>
                    <w:autoSpaceDN w:val="0"/>
                    <w:spacing w:line="240" w:lineRule="auto"/>
                    <w:jc w:val="left"/>
                    <w:rPr>
                      <w:rFonts w:hint="default" w:ascii="Times New Roman" w:hAnsi="Times New Roman" w:eastAsia="宋体" w:cs="Times New Roman"/>
                      <w:b/>
                      <w:bCs/>
                      <w:color w:val="auto"/>
                      <w:kern w:val="2"/>
                      <w:sz w:val="21"/>
                      <w:szCs w:val="21"/>
                      <w:highlight w:val="none"/>
                      <w:u w:val="none"/>
                      <w:lang w:val="en-US" w:eastAsia="zh-CN" w:bidi="ar-SA"/>
                    </w:rPr>
                  </w:pPr>
                  <w:r>
                    <w:rPr>
                      <w:rFonts w:hint="default" w:ascii="Times New Roman" w:hAnsi="Times New Roman" w:eastAsia="宋体" w:cs="Times New Roman"/>
                      <w:b/>
                      <w:bCs/>
                      <w:color w:val="auto"/>
                      <w:kern w:val="2"/>
                      <w:sz w:val="21"/>
                      <w:szCs w:val="21"/>
                      <w:highlight w:val="none"/>
                      <w:u w:val="none"/>
                      <w:lang w:val="en-US" w:eastAsia="zh-CN" w:bidi="ar-SA"/>
                    </w:rPr>
                    <w:t>实施工业废水循环利用工程。</w:t>
                  </w:r>
                  <w:r>
                    <w:rPr>
                      <w:rFonts w:hint="default" w:ascii="Times New Roman" w:hAnsi="Times New Roman" w:eastAsia="宋体" w:cs="Times New Roman"/>
                      <w:b w:val="0"/>
                      <w:bCs w:val="0"/>
                      <w:color w:val="auto"/>
                      <w:kern w:val="2"/>
                      <w:sz w:val="21"/>
                      <w:szCs w:val="21"/>
                      <w:highlight w:val="none"/>
                      <w:u w:val="none"/>
                      <w:lang w:val="en-US" w:eastAsia="zh-CN" w:bidi="ar-SA"/>
                    </w:rPr>
                    <w:t>推进企业、工业园区根据内部废水水质特点，围绕过程循环和回用，实施废水循环利用技术改造，完善废水循环利用装备和设施，促进企业间串联用水、分质用水、一水多用和梯级利用，提升企业水重复利用率。新建企业和园区要在规划布局时，统筹供排水、水处理及循环利用设施建设，推动企业间的用水系统集成优化。积极推动企业废水再生利用水质监测评价和用水管理，鼓励地方和重点用水企业搭建工业废水循环利用智慧管理平台。</w:t>
                  </w:r>
                </w:p>
              </w:tc>
              <w:tc>
                <w:tcPr>
                  <w:tcW w:w="1738" w:type="dxa"/>
                  <w:tcBorders>
                    <w:tl2br w:val="nil"/>
                    <w:tr2bl w:val="nil"/>
                  </w:tcBorders>
                  <w:noWrap w:val="0"/>
                  <w:vAlign w:val="center"/>
                </w:tcPr>
                <w:p w14:paraId="6FBE4938">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cs="Times New Roman"/>
                      <w:b w:val="0"/>
                      <w:bCs w:val="0"/>
                      <w:color w:val="auto"/>
                      <w:kern w:val="2"/>
                      <w:sz w:val="21"/>
                      <w:szCs w:val="21"/>
                      <w:highlight w:val="none"/>
                      <w:u w:val="none"/>
                      <w:lang w:val="en-US" w:eastAsia="zh-CN" w:bidi="ar-SA"/>
                    </w:rPr>
                    <w:t>根据本项目生产废水水质特点，厂区内设计</w:t>
                  </w:r>
                  <w:r>
                    <w:rPr>
                      <w:rFonts w:hint="default" w:ascii="Times New Roman" w:hAnsi="Times New Roman" w:eastAsia="宋体" w:cs="Times New Roman"/>
                      <w:b w:val="0"/>
                      <w:bCs w:val="0"/>
                      <w:color w:val="auto"/>
                      <w:kern w:val="2"/>
                      <w:sz w:val="21"/>
                      <w:szCs w:val="21"/>
                      <w:highlight w:val="none"/>
                      <w:u w:val="none"/>
                      <w:lang w:val="en-US" w:eastAsia="zh-CN" w:bidi="ar-SA"/>
                    </w:rPr>
                    <w:t>废水循环利用装备和设施，实现一水多用和梯级利用。</w:t>
                  </w:r>
                </w:p>
              </w:tc>
              <w:tc>
                <w:tcPr>
                  <w:tcW w:w="850" w:type="dxa"/>
                  <w:tcBorders>
                    <w:tl2br w:val="nil"/>
                    <w:tr2bl w:val="nil"/>
                  </w:tcBorders>
                  <w:noWrap w:val="0"/>
                  <w:vAlign w:val="center"/>
                </w:tcPr>
                <w:p w14:paraId="1349FBB8">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符合</w:t>
                  </w:r>
                </w:p>
              </w:tc>
            </w:tr>
            <w:tr w14:paraId="2FC83B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484" w:hRule="atLeast"/>
                <w:jc w:val="center"/>
              </w:trPr>
              <w:tc>
                <w:tcPr>
                  <w:tcW w:w="1141" w:type="dxa"/>
                  <w:vMerge w:val="continue"/>
                  <w:tcBorders>
                    <w:tl2br w:val="nil"/>
                    <w:tr2bl w:val="nil"/>
                  </w:tcBorders>
                  <w:noWrap w:val="0"/>
                  <w:vAlign w:val="center"/>
                </w:tcPr>
                <w:p w14:paraId="268B4E2E">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p>
              </w:tc>
              <w:tc>
                <w:tcPr>
                  <w:tcW w:w="3628" w:type="dxa"/>
                  <w:tcBorders>
                    <w:tl2br w:val="nil"/>
                    <w:tr2bl w:val="nil"/>
                  </w:tcBorders>
                  <w:noWrap w:val="0"/>
                  <w:vAlign w:val="center"/>
                </w:tcPr>
                <w:p w14:paraId="3EB1E13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bCs/>
                      <w:color w:val="auto"/>
                      <w:kern w:val="2"/>
                      <w:sz w:val="21"/>
                      <w:szCs w:val="21"/>
                      <w:highlight w:val="none"/>
                      <w:u w:val="none"/>
                      <w:lang w:val="en-US" w:eastAsia="zh-CN" w:bidi="ar-SA"/>
                    </w:rPr>
                    <w:t>推动企业绿色转型发展。</w:t>
                  </w:r>
                  <w:r>
                    <w:rPr>
                      <w:rFonts w:hint="default" w:ascii="Times New Roman" w:hAnsi="Times New Roman" w:eastAsia="宋体" w:cs="Times New Roman"/>
                      <w:b w:val="0"/>
                      <w:bCs w:val="0"/>
                      <w:color w:val="auto"/>
                      <w:kern w:val="2"/>
                      <w:sz w:val="21"/>
                      <w:szCs w:val="21"/>
                      <w:highlight w:val="none"/>
                      <w:u w:val="none"/>
                      <w:lang w:val="en-US" w:eastAsia="zh-CN" w:bidi="ar-SA"/>
                    </w:rPr>
                    <w:t>严格落实环境准入，落实“三线一单”生态环境分区管控体系，构建以“三线一单”为空间管控基础、环境影响评价为环境准入把关、排污许可为企业运行守法依据的生态环境管理框架。在造纸、焦化、氮肥、农副食品加工、皮革、印染、有色、原料药制造、电镀等重点水污染排放行业，深入推进清洁生产审核，推动清洁生产改造，减少单位产品耗水量和单位产品排污量，促进企业废水厂内回用。</w:t>
                  </w:r>
                </w:p>
              </w:tc>
              <w:tc>
                <w:tcPr>
                  <w:tcW w:w="1738" w:type="dxa"/>
                  <w:tcBorders>
                    <w:tl2br w:val="nil"/>
                    <w:tr2bl w:val="nil"/>
                  </w:tcBorders>
                  <w:noWrap w:val="0"/>
                  <w:vAlign w:val="center"/>
                </w:tcPr>
                <w:p w14:paraId="77C3E86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color w:val="auto"/>
                      <w:kern w:val="2"/>
                      <w:sz w:val="21"/>
                      <w:szCs w:val="21"/>
                      <w:highlight w:val="none"/>
                      <w:u w:val="none"/>
                      <w:lang w:val="en-US" w:eastAsia="zh-CN" w:bidi="ar-SA"/>
                    </w:rPr>
                    <w:t>本项目符合“三线一单”的整体要求，</w:t>
                  </w:r>
                  <w:r>
                    <w:rPr>
                      <w:rFonts w:hint="default" w:ascii="Times New Roman" w:hAnsi="Times New Roman" w:cs="Times New Roman"/>
                      <w:b w:val="0"/>
                      <w:bCs w:val="0"/>
                      <w:color w:val="auto"/>
                      <w:kern w:val="2"/>
                      <w:sz w:val="21"/>
                      <w:szCs w:val="21"/>
                      <w:highlight w:val="none"/>
                      <w:u w:val="none"/>
                      <w:lang w:val="en-US" w:eastAsia="zh-CN" w:bidi="ar-SA"/>
                    </w:rPr>
                    <w:t>本</w:t>
                  </w:r>
                  <w:r>
                    <w:rPr>
                      <w:rFonts w:hint="default" w:ascii="Times New Roman" w:hAnsi="Times New Roman" w:eastAsia="宋体" w:cs="Times New Roman"/>
                      <w:b w:val="0"/>
                      <w:bCs w:val="0"/>
                      <w:color w:val="auto"/>
                      <w:kern w:val="2"/>
                      <w:sz w:val="21"/>
                      <w:szCs w:val="21"/>
                      <w:highlight w:val="none"/>
                      <w:u w:val="none"/>
                      <w:lang w:val="en-US" w:eastAsia="zh-CN" w:bidi="ar-SA"/>
                    </w:rPr>
                    <w:t>项目</w:t>
                  </w:r>
                  <w:r>
                    <w:rPr>
                      <w:rFonts w:hint="default" w:ascii="Times New Roman" w:hAnsi="Times New Roman" w:cs="Times New Roman"/>
                      <w:b w:val="0"/>
                      <w:bCs w:val="0"/>
                      <w:color w:val="auto"/>
                      <w:kern w:val="2"/>
                      <w:sz w:val="21"/>
                      <w:szCs w:val="21"/>
                      <w:highlight w:val="none"/>
                      <w:u w:val="none"/>
                      <w:lang w:val="en-US" w:eastAsia="zh-CN" w:bidi="ar-SA"/>
                    </w:rPr>
                    <w:t>不</w:t>
                  </w:r>
                  <w:r>
                    <w:rPr>
                      <w:rFonts w:hint="default" w:ascii="Times New Roman" w:hAnsi="Times New Roman" w:eastAsia="宋体" w:cs="Times New Roman"/>
                      <w:b w:val="0"/>
                      <w:bCs w:val="0"/>
                      <w:color w:val="auto"/>
                      <w:kern w:val="2"/>
                      <w:sz w:val="21"/>
                      <w:szCs w:val="21"/>
                      <w:highlight w:val="none"/>
                      <w:u w:val="none"/>
                      <w:lang w:val="en-US" w:eastAsia="zh-CN" w:bidi="ar-SA"/>
                    </w:rPr>
                    <w:t>属于</w:t>
                  </w:r>
                  <w:r>
                    <w:rPr>
                      <w:rFonts w:hint="default" w:ascii="Times New Roman" w:hAnsi="Times New Roman" w:cs="Times New Roman"/>
                      <w:b w:val="0"/>
                      <w:bCs w:val="0"/>
                      <w:color w:val="auto"/>
                      <w:kern w:val="2"/>
                      <w:sz w:val="21"/>
                      <w:szCs w:val="21"/>
                      <w:highlight w:val="none"/>
                      <w:u w:val="none"/>
                      <w:lang w:val="en-US" w:eastAsia="zh-CN" w:bidi="ar-SA"/>
                    </w:rPr>
                    <w:t>重点水污染企业，</w:t>
                  </w:r>
                  <w:r>
                    <w:rPr>
                      <w:rFonts w:hint="default" w:ascii="Times New Roman" w:hAnsi="Times New Roman" w:eastAsia="宋体" w:cs="Times New Roman"/>
                      <w:b w:val="0"/>
                      <w:bCs w:val="0"/>
                      <w:color w:val="auto"/>
                      <w:kern w:val="2"/>
                      <w:sz w:val="21"/>
                      <w:szCs w:val="21"/>
                      <w:highlight w:val="none"/>
                      <w:u w:val="none"/>
                      <w:lang w:val="en-US" w:eastAsia="zh-CN" w:bidi="ar-SA"/>
                    </w:rPr>
                    <w:t>积极推动清洁生产改造，加强生产原料利用率，降低生产过程中能源的用量。</w:t>
                  </w:r>
                </w:p>
              </w:tc>
              <w:tc>
                <w:tcPr>
                  <w:tcW w:w="850" w:type="dxa"/>
                  <w:tcBorders>
                    <w:tl2br w:val="nil"/>
                    <w:tr2bl w:val="nil"/>
                  </w:tcBorders>
                  <w:noWrap w:val="0"/>
                  <w:vAlign w:val="center"/>
                </w:tcPr>
                <w:p w14:paraId="4B6B986B">
                  <w:pPr>
                    <w:autoSpaceDE w:val="0"/>
                    <w:autoSpaceDN w:val="0"/>
                    <w:spacing w:line="240" w:lineRule="auto"/>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 w:val="0"/>
                      <w:bCs w:val="0"/>
                      <w:color w:val="auto"/>
                      <w:kern w:val="2"/>
                      <w:sz w:val="21"/>
                      <w:szCs w:val="21"/>
                      <w:highlight w:val="none"/>
                      <w:u w:val="none"/>
                      <w:lang w:val="en-US" w:eastAsia="zh-CN" w:bidi="ar-SA"/>
                    </w:rPr>
                    <w:t>符合</w:t>
                  </w:r>
                </w:p>
              </w:tc>
            </w:tr>
          </w:tbl>
          <w:p w14:paraId="72C28BD3">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由以上分析可知，本项目建设符合《平顶山市202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年碧水保卫战实施方案的通知》（平环委办[202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]1</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号）中相关要求</w:t>
            </w:r>
            <w:r>
              <w:rPr>
                <w:rFonts w:hint="default" w:ascii="Times New Roman" w:hAnsi="Times New Roman" w:eastAsia="宋体" w:cs="Times New Roman"/>
                <w:color w:val="auto"/>
                <w:sz w:val="24"/>
                <w:szCs w:val="24"/>
                <w:highlight w:val="none"/>
              </w:rPr>
              <w:t>。</w:t>
            </w:r>
          </w:p>
          <w:p w14:paraId="1CE15E6E">
            <w:pPr>
              <w:keepNext w:val="0"/>
              <w:keepLines w:val="0"/>
              <w:pageBreakBefore w:val="0"/>
              <w:widowControl w:val="0"/>
              <w:kinsoku/>
              <w:wordWrap/>
              <w:overflowPunct/>
              <w:topLinePunct w:val="0"/>
              <w:autoSpaceDE w:val="0"/>
              <w:autoSpaceDN w:val="0"/>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val="0"/>
                <w:color w:val="auto"/>
                <w:kern w:val="28"/>
                <w:sz w:val="24"/>
                <w:szCs w:val="40"/>
                <w:highlight w:val="none"/>
                <w:u w:val="none"/>
                <w:lang w:val="en-US" w:eastAsia="zh-CN" w:bidi="ar-SA"/>
              </w:rPr>
              <w:t>1</w:t>
            </w:r>
            <w:r>
              <w:rPr>
                <w:rFonts w:hint="eastAsia" w:eastAsia="宋体" w:cs="Times New Roman"/>
                <w:b/>
                <w:bCs w:val="0"/>
                <w:color w:val="auto"/>
                <w:kern w:val="28"/>
                <w:sz w:val="24"/>
                <w:szCs w:val="40"/>
                <w:highlight w:val="none"/>
                <w:u w:val="none"/>
                <w:lang w:val="en-US" w:eastAsia="zh-CN" w:bidi="ar-SA"/>
              </w:rPr>
              <w:t>1</w:t>
            </w:r>
            <w:r>
              <w:rPr>
                <w:rFonts w:hint="default" w:ascii="Times New Roman" w:hAnsi="Times New Roman" w:eastAsia="宋体" w:cs="Times New Roman"/>
                <w:b/>
                <w:bCs w:val="0"/>
                <w:color w:val="auto"/>
                <w:kern w:val="28"/>
                <w:sz w:val="24"/>
                <w:szCs w:val="40"/>
                <w:highlight w:val="none"/>
                <w:u w:val="none"/>
                <w:lang w:val="en-US" w:eastAsia="zh-CN" w:bidi="ar-SA"/>
              </w:rPr>
              <w:t>、</w:t>
            </w:r>
            <w:r>
              <w:rPr>
                <w:rFonts w:hint="default" w:ascii="Times New Roman" w:hAnsi="Times New Roman" w:eastAsia="宋体" w:cs="Times New Roman"/>
                <w:b/>
                <w:bCs w:val="0"/>
                <w:color w:val="auto"/>
                <w:kern w:val="28"/>
                <w:sz w:val="24"/>
                <w:szCs w:val="40"/>
                <w:highlight w:val="none"/>
                <w:lang w:val="en-US" w:eastAsia="zh-CN" w:bidi="ar-SA"/>
              </w:rPr>
              <w:t>项目与《</w:t>
            </w:r>
            <w:r>
              <w:rPr>
                <w:rFonts w:hint="default" w:ascii="Times New Roman" w:hAnsi="Times New Roman" w:eastAsia="宋体" w:cs="Times New Roman"/>
                <w:b/>
                <w:bCs/>
                <w:color w:val="auto"/>
                <w:kern w:val="2"/>
                <w:sz w:val="24"/>
                <w:szCs w:val="24"/>
                <w:highlight w:val="none"/>
                <w:lang w:val="en-US" w:eastAsia="zh-CN" w:bidi="ar-SA"/>
              </w:rPr>
              <w:t>平顶山市202</w:t>
            </w:r>
            <w:r>
              <w:rPr>
                <w:rFonts w:hint="eastAsia"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年净土保卫战实施方案的通知</w:t>
            </w:r>
            <w:r>
              <w:rPr>
                <w:rFonts w:hint="default" w:ascii="Times New Roman" w:hAnsi="Times New Roman" w:eastAsia="宋体" w:cs="Times New Roman"/>
                <w:b/>
                <w:bCs/>
                <w:color w:val="auto"/>
                <w:kern w:val="28"/>
                <w:sz w:val="24"/>
                <w:szCs w:val="40"/>
                <w:highlight w:val="none"/>
                <w:lang w:val="en-US" w:eastAsia="zh-CN" w:bidi="ar-SA"/>
              </w:rPr>
              <w:t>》</w:t>
            </w:r>
            <w:r>
              <w:rPr>
                <w:rFonts w:hint="default" w:ascii="Times New Roman" w:hAnsi="Times New Roman" w:eastAsia="宋体" w:cs="Times New Roman"/>
                <w:b/>
                <w:bCs w:val="0"/>
                <w:color w:val="auto"/>
                <w:kern w:val="28"/>
                <w:sz w:val="24"/>
                <w:szCs w:val="40"/>
                <w:highlight w:val="none"/>
                <w:lang w:val="en-US" w:eastAsia="zh-CN" w:bidi="ar-SA"/>
              </w:rPr>
              <w:t>相符性分析</w:t>
            </w:r>
          </w:p>
          <w:p w14:paraId="2E2A60EE">
            <w:pPr>
              <w:widowControl/>
              <w:spacing w:line="520" w:lineRule="exact"/>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rPr>
              <w:t>本项目建设内容与《</w:t>
            </w:r>
            <w:r>
              <w:rPr>
                <w:rFonts w:hint="default" w:ascii="Times New Roman" w:hAnsi="Times New Roman" w:eastAsia="宋体" w:cs="Times New Roman"/>
                <w:color w:val="auto"/>
                <w:kern w:val="2"/>
                <w:sz w:val="24"/>
                <w:szCs w:val="24"/>
                <w:highlight w:val="none"/>
                <w:lang w:val="en-US" w:eastAsia="zh-CN" w:bidi="ar-SA"/>
              </w:rPr>
              <w:t>平顶山市202</w:t>
            </w:r>
            <w:r>
              <w:rPr>
                <w:rFonts w:hint="eastAsia"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年净土保卫战实施方案的通知</w:t>
            </w:r>
            <w:r>
              <w:rPr>
                <w:rFonts w:hint="default" w:ascii="Times New Roman" w:hAnsi="Times New Roman" w:eastAsia="宋体" w:cs="Times New Roman"/>
                <w:color w:val="auto"/>
                <w:kern w:val="0"/>
                <w:sz w:val="24"/>
                <w:szCs w:val="24"/>
                <w:highlight w:val="none"/>
                <w:lang w:val="en-US" w:eastAsia="zh-CN"/>
              </w:rPr>
              <w:t>》（平环委办〔202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〕1</w:t>
            </w:r>
            <w:r>
              <w:rPr>
                <w:rFonts w:hint="eastAsia"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lang w:val="en-US" w:eastAsia="zh-CN"/>
              </w:rPr>
              <w:t>号）中相关内容的相符性分析详见下表。</w:t>
            </w:r>
          </w:p>
          <w:p w14:paraId="6692AC26">
            <w:pPr>
              <w:keepNext w:val="0"/>
              <w:keepLines w:val="0"/>
              <w:pageBreakBefore w:val="0"/>
              <w:widowControl w:val="0"/>
              <w:kinsoku/>
              <w:wordWrap/>
              <w:overflowPunct/>
              <w:topLinePunct w:val="0"/>
              <w:autoSpaceDE w:val="0"/>
              <w:autoSpaceDN w:val="0"/>
              <w:bidi w:val="0"/>
              <w:adjustRightInd w:val="0"/>
              <w:snapToGrid w:val="0"/>
              <w:spacing w:line="440" w:lineRule="exact"/>
              <w:jc w:val="center"/>
              <w:textAlignment w:val="auto"/>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eastAsia="黑体" w:cs="Times New Roman"/>
                <w:b w:val="0"/>
                <w:bCs w:val="0"/>
                <w:color w:val="auto"/>
                <w:kern w:val="0"/>
                <w:sz w:val="24"/>
                <w:highlight w:val="none"/>
                <w:lang w:val="en-US" w:eastAsia="zh-CN"/>
              </w:rPr>
              <w:t xml:space="preserve">表1-5  </w:t>
            </w:r>
            <w:r>
              <w:rPr>
                <w:rFonts w:hint="default" w:ascii="Times New Roman" w:hAnsi="Times New Roman" w:eastAsia="黑体" w:cs="Times New Roman"/>
                <w:b w:val="0"/>
                <w:bCs w:val="0"/>
                <w:color w:val="auto"/>
                <w:sz w:val="24"/>
                <w:szCs w:val="24"/>
                <w:highlight w:val="none"/>
                <w:u w:val="none"/>
                <w:lang w:val="en-US" w:eastAsia="zh-CN"/>
              </w:rPr>
              <w:t>本项目建设内容与</w:t>
            </w:r>
            <w:r>
              <w:rPr>
                <w:rFonts w:hint="default" w:ascii="Times New Roman" w:hAnsi="Times New Roman" w:eastAsia="黑体" w:cs="Times New Roman"/>
                <w:color w:val="auto"/>
                <w:kern w:val="0"/>
                <w:sz w:val="24"/>
                <w:szCs w:val="24"/>
                <w:highlight w:val="none"/>
                <w:lang w:val="en-US" w:eastAsia="zh-CN"/>
              </w:rPr>
              <w:t>平环委办〔2024〕1</w:t>
            </w:r>
            <w:r>
              <w:rPr>
                <w:rFonts w:hint="eastAsia" w:eastAsia="黑体" w:cs="Times New Roman"/>
                <w:color w:val="auto"/>
                <w:kern w:val="0"/>
                <w:sz w:val="24"/>
                <w:szCs w:val="24"/>
                <w:highlight w:val="none"/>
                <w:lang w:val="en-US" w:eastAsia="zh-CN"/>
              </w:rPr>
              <w:t>5</w:t>
            </w:r>
            <w:r>
              <w:rPr>
                <w:rFonts w:hint="default" w:ascii="Times New Roman" w:hAnsi="Times New Roman" w:eastAsia="黑体" w:cs="Times New Roman"/>
                <w:color w:val="auto"/>
                <w:kern w:val="0"/>
                <w:sz w:val="24"/>
                <w:szCs w:val="24"/>
                <w:highlight w:val="none"/>
                <w:lang w:val="en-US" w:eastAsia="zh-CN"/>
              </w:rPr>
              <w:t>号</w:t>
            </w:r>
            <w:r>
              <w:rPr>
                <w:rFonts w:hint="default" w:ascii="Times New Roman" w:hAnsi="Times New Roman" w:eastAsia="黑体" w:cs="Times New Roman"/>
                <w:b w:val="0"/>
                <w:bCs w:val="0"/>
                <w:color w:val="auto"/>
                <w:sz w:val="24"/>
                <w:szCs w:val="24"/>
                <w:highlight w:val="none"/>
                <w:u w:val="none"/>
                <w:lang w:val="en-US" w:eastAsia="zh-CN"/>
              </w:rPr>
              <w:t>文件符合性分析一览表</w:t>
            </w:r>
          </w:p>
          <w:tbl>
            <w:tblPr>
              <w:tblStyle w:val="24"/>
              <w:tblW w:w="7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1"/>
              <w:gridCol w:w="3386"/>
              <w:gridCol w:w="2497"/>
              <w:gridCol w:w="874"/>
            </w:tblGrid>
            <w:tr w14:paraId="15296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641" w:type="dxa"/>
                  <w:tcBorders>
                    <w:tl2br w:val="nil"/>
                    <w:tr2bl w:val="nil"/>
                  </w:tcBorders>
                  <w:noWrap w:val="0"/>
                  <w:vAlign w:val="center"/>
                </w:tcPr>
                <w:p w14:paraId="5FEFA97D">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
                      <w:bCs/>
                      <w:color w:val="auto"/>
                      <w:sz w:val="21"/>
                      <w:szCs w:val="21"/>
                      <w:highlight w:val="none"/>
                      <w:u w:val="none"/>
                      <w:lang w:eastAsia="zh-CN"/>
                    </w:rPr>
                    <w:t>文件</w:t>
                  </w:r>
                </w:p>
              </w:tc>
              <w:tc>
                <w:tcPr>
                  <w:tcW w:w="3386" w:type="dxa"/>
                  <w:tcBorders>
                    <w:tl2br w:val="nil"/>
                    <w:tr2bl w:val="nil"/>
                  </w:tcBorders>
                  <w:noWrap w:val="0"/>
                  <w:vAlign w:val="center"/>
                </w:tcPr>
                <w:p w14:paraId="33C2FCEC">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
                      <w:bCs/>
                      <w:color w:val="auto"/>
                      <w:sz w:val="21"/>
                      <w:szCs w:val="21"/>
                      <w:highlight w:val="none"/>
                      <w:u w:val="none"/>
                    </w:rPr>
                    <w:t>主要内容</w:t>
                  </w:r>
                </w:p>
              </w:tc>
              <w:tc>
                <w:tcPr>
                  <w:tcW w:w="2497" w:type="dxa"/>
                  <w:tcBorders>
                    <w:tl2br w:val="nil"/>
                    <w:tr2bl w:val="nil"/>
                  </w:tcBorders>
                  <w:noWrap w:val="0"/>
                  <w:vAlign w:val="center"/>
                </w:tcPr>
                <w:p w14:paraId="00D98F5A">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bCs w:val="0"/>
                      <w:color w:val="auto"/>
                      <w:kern w:val="28"/>
                      <w:sz w:val="21"/>
                      <w:szCs w:val="21"/>
                      <w:highlight w:val="none"/>
                      <w:lang w:eastAsia="zh-CN"/>
                    </w:rPr>
                    <w:t>本项目情况</w:t>
                  </w:r>
                </w:p>
              </w:tc>
              <w:tc>
                <w:tcPr>
                  <w:tcW w:w="874" w:type="dxa"/>
                  <w:tcBorders>
                    <w:tl2br w:val="nil"/>
                    <w:tr2bl w:val="nil"/>
                  </w:tcBorders>
                  <w:noWrap w:val="0"/>
                  <w:vAlign w:val="center"/>
                </w:tcPr>
                <w:p w14:paraId="79B1C93D">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bCs w:val="0"/>
                      <w:color w:val="auto"/>
                      <w:kern w:val="28"/>
                      <w:sz w:val="21"/>
                      <w:szCs w:val="21"/>
                      <w:highlight w:val="none"/>
                    </w:rPr>
                    <w:t>相符性</w:t>
                  </w:r>
                </w:p>
              </w:tc>
            </w:tr>
            <w:tr w14:paraId="5D7A8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641" w:type="dxa"/>
                  <w:vMerge w:val="restart"/>
                  <w:tcBorders>
                    <w:tl2br w:val="nil"/>
                    <w:tr2bl w:val="nil"/>
                  </w:tcBorders>
                  <w:noWrap w:val="0"/>
                  <w:vAlign w:val="center"/>
                </w:tcPr>
                <w:p w14:paraId="47BC14B1">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lang w:val="en-US" w:eastAsia="zh-CN"/>
                    </w:rPr>
                    <w:t>平顶山市202</w:t>
                  </w:r>
                  <w:r>
                    <w:rPr>
                      <w:rFonts w:hint="eastAsia" w:cs="Times New Roman"/>
                      <w:bCs/>
                      <w:color w:val="auto"/>
                      <w:kern w:val="28"/>
                      <w:sz w:val="21"/>
                      <w:szCs w:val="21"/>
                      <w:highlight w:val="none"/>
                      <w:lang w:val="en-US" w:eastAsia="zh-CN"/>
                    </w:rPr>
                    <w:t>4</w:t>
                  </w:r>
                  <w:r>
                    <w:rPr>
                      <w:rFonts w:hint="default" w:ascii="Times New Roman" w:hAnsi="Times New Roman" w:eastAsia="宋体" w:cs="Times New Roman"/>
                      <w:bCs/>
                      <w:color w:val="auto"/>
                      <w:kern w:val="28"/>
                      <w:sz w:val="21"/>
                      <w:szCs w:val="21"/>
                      <w:highlight w:val="none"/>
                      <w:lang w:val="en-US" w:eastAsia="zh-CN"/>
                    </w:rPr>
                    <w:t>年净土保卫战实施方案</w:t>
                  </w:r>
                </w:p>
              </w:tc>
              <w:tc>
                <w:tcPr>
                  <w:tcW w:w="3386" w:type="dxa"/>
                  <w:tcBorders>
                    <w:tl2br w:val="nil"/>
                    <w:tr2bl w:val="nil"/>
                  </w:tcBorders>
                  <w:noWrap w:val="0"/>
                  <w:vAlign w:val="center"/>
                </w:tcPr>
                <w:p w14:paraId="062F5A49">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深化危险废物规范化评估，开展专项整治行动。优化危险废物规范化评估方式方法，推动危险废物管理向深度、广度拓展，认真组织开展危险废物规范化评估工作。严格落实生态环境部《危险废物自行利用处置专项整治行动方案》要求，开展专项排查整治，建立危险废物自行利用处置专项整治单位清单，排查整治危险废物自行利用处置环境风险，指导督促相关单位及时整治。</w:t>
                  </w:r>
                </w:p>
              </w:tc>
              <w:tc>
                <w:tcPr>
                  <w:tcW w:w="2497" w:type="dxa"/>
                  <w:tcBorders>
                    <w:tl2br w:val="nil"/>
                    <w:tr2bl w:val="nil"/>
                  </w:tcBorders>
                  <w:noWrap w:val="0"/>
                  <w:vAlign w:val="center"/>
                </w:tcPr>
                <w:p w14:paraId="55DA338A">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本项目营运期产生的</w:t>
                  </w:r>
                  <w:r>
                    <w:rPr>
                      <w:rFonts w:hint="eastAsia" w:cs="Times New Roman"/>
                      <w:b w:val="0"/>
                      <w:bCs/>
                      <w:color w:val="auto"/>
                      <w:sz w:val="21"/>
                      <w:szCs w:val="21"/>
                      <w:highlight w:val="none"/>
                      <w:u w:val="none"/>
                      <w:lang w:val="en-US" w:eastAsia="zh-CN"/>
                    </w:rPr>
                    <w:t>一般</w:t>
                  </w:r>
                  <w:r>
                    <w:rPr>
                      <w:rFonts w:hint="default" w:ascii="Times New Roman" w:hAnsi="Times New Roman" w:eastAsia="宋体" w:cs="Times New Roman"/>
                      <w:b w:val="0"/>
                      <w:bCs/>
                      <w:color w:val="auto"/>
                      <w:sz w:val="21"/>
                      <w:szCs w:val="21"/>
                      <w:highlight w:val="none"/>
                      <w:u w:val="none"/>
                      <w:lang w:val="en-US" w:eastAsia="zh-CN"/>
                    </w:rPr>
                    <w:t>固体废物主要为除尘器收集</w:t>
                  </w:r>
                  <w:r>
                    <w:rPr>
                      <w:rFonts w:hint="eastAsia" w:cs="Times New Roman"/>
                      <w:b w:val="0"/>
                      <w:bCs/>
                      <w:color w:val="auto"/>
                      <w:sz w:val="21"/>
                      <w:szCs w:val="21"/>
                      <w:highlight w:val="none"/>
                      <w:u w:val="none"/>
                      <w:lang w:val="en-US" w:eastAsia="zh-CN"/>
                    </w:rPr>
                    <w:t>颗粒物</w:t>
                  </w:r>
                  <w:r>
                    <w:rPr>
                      <w:rFonts w:hint="default" w:ascii="Times New Roman" w:hAnsi="Times New Roman" w:eastAsia="宋体" w:cs="Times New Roman"/>
                      <w:b w:val="0"/>
                      <w:bCs/>
                      <w:color w:val="auto"/>
                      <w:sz w:val="21"/>
                      <w:szCs w:val="21"/>
                      <w:highlight w:val="none"/>
                      <w:u w:val="none"/>
                      <w:lang w:val="en-US" w:eastAsia="zh-CN"/>
                    </w:rPr>
                    <w:t>、</w:t>
                  </w:r>
                  <w:r>
                    <w:rPr>
                      <w:rFonts w:hint="eastAsia" w:cs="Times New Roman"/>
                      <w:b w:val="0"/>
                      <w:bCs/>
                      <w:color w:val="auto"/>
                      <w:sz w:val="21"/>
                      <w:szCs w:val="21"/>
                      <w:highlight w:val="none"/>
                      <w:u w:val="none"/>
                      <w:lang w:val="en-US" w:eastAsia="zh-CN"/>
                    </w:rPr>
                    <w:t>底泥泥饼</w:t>
                  </w:r>
                  <w:r>
                    <w:rPr>
                      <w:rFonts w:hint="default" w:ascii="Times New Roman" w:hAnsi="Times New Roman" w:cs="Times New Roman"/>
                      <w:b w:val="0"/>
                      <w:bCs/>
                      <w:color w:val="auto"/>
                      <w:sz w:val="21"/>
                      <w:szCs w:val="21"/>
                      <w:highlight w:val="none"/>
                      <w:u w:val="none"/>
                      <w:lang w:val="en-US" w:eastAsia="zh-CN"/>
                    </w:rPr>
                    <w:t>等等</w:t>
                  </w:r>
                  <w:r>
                    <w:rPr>
                      <w:rFonts w:hint="default" w:ascii="Times New Roman" w:hAnsi="Times New Roman" w:eastAsia="宋体" w:cs="Times New Roman"/>
                      <w:b w:val="0"/>
                      <w:bCs/>
                      <w:color w:val="auto"/>
                      <w:sz w:val="21"/>
                      <w:szCs w:val="21"/>
                      <w:highlight w:val="none"/>
                      <w:u w:val="none"/>
                      <w:lang w:val="en-US" w:eastAsia="zh-CN"/>
                    </w:rPr>
                    <w:t>，经收集后</w:t>
                  </w:r>
                  <w:r>
                    <w:rPr>
                      <w:rFonts w:hint="eastAsia" w:cs="Times New Roman"/>
                      <w:b w:val="0"/>
                      <w:bCs/>
                      <w:color w:val="auto"/>
                      <w:sz w:val="21"/>
                      <w:szCs w:val="21"/>
                      <w:highlight w:val="none"/>
                      <w:u w:val="none"/>
                      <w:lang w:val="en-US" w:eastAsia="zh-CN"/>
                    </w:rPr>
                    <w:t>除尘器收集到颗粒物进行回用，底泥泥饼用于回填土地，</w:t>
                  </w:r>
                  <w:r>
                    <w:rPr>
                      <w:rFonts w:hint="default" w:ascii="Times New Roman" w:hAnsi="Times New Roman" w:eastAsia="宋体" w:cs="Times New Roman"/>
                      <w:b w:val="0"/>
                      <w:bCs/>
                      <w:color w:val="auto"/>
                      <w:sz w:val="21"/>
                      <w:szCs w:val="21"/>
                      <w:highlight w:val="none"/>
                      <w:u w:val="none"/>
                      <w:lang w:val="en-US" w:eastAsia="zh-CN"/>
                    </w:rPr>
                    <w:t>日常营运期加强固废的规范管理</w:t>
                  </w:r>
                  <w:r>
                    <w:rPr>
                      <w:rFonts w:hint="eastAsia" w:cs="Times New Roman"/>
                      <w:b w:val="0"/>
                      <w:bCs/>
                      <w:color w:val="auto"/>
                      <w:sz w:val="21"/>
                      <w:szCs w:val="21"/>
                      <w:highlight w:val="none"/>
                      <w:u w:val="none"/>
                      <w:lang w:val="en-US" w:eastAsia="zh-CN"/>
                    </w:rPr>
                    <w:t>，</w:t>
                  </w:r>
                  <w:r>
                    <w:rPr>
                      <w:rFonts w:hint="default" w:ascii="Times New Roman" w:hAnsi="Times New Roman" w:eastAsia="宋体" w:cs="Times New Roman"/>
                      <w:bCs/>
                      <w:color w:val="auto"/>
                      <w:kern w:val="28"/>
                      <w:sz w:val="21"/>
                      <w:szCs w:val="21"/>
                      <w:highlight w:val="none"/>
                      <w:u w:val="none"/>
                      <w:vertAlign w:val="baseline"/>
                      <w:lang w:eastAsia="zh-CN"/>
                    </w:rPr>
                    <w:t>推进固废监管信息化建设</w:t>
                  </w:r>
                  <w:r>
                    <w:rPr>
                      <w:rFonts w:hint="eastAsia" w:cs="Times New Roman"/>
                      <w:bCs/>
                      <w:color w:val="auto"/>
                      <w:kern w:val="28"/>
                      <w:sz w:val="21"/>
                      <w:szCs w:val="21"/>
                      <w:highlight w:val="none"/>
                      <w:u w:val="none"/>
                      <w:vertAlign w:val="baseline"/>
                      <w:lang w:eastAsia="zh-CN"/>
                    </w:rPr>
                    <w:t>，</w:t>
                  </w:r>
                  <w:r>
                    <w:rPr>
                      <w:rFonts w:hint="eastAsia" w:cs="Times New Roman"/>
                      <w:bCs/>
                      <w:color w:val="auto"/>
                      <w:kern w:val="28"/>
                      <w:sz w:val="21"/>
                      <w:szCs w:val="21"/>
                      <w:highlight w:val="none"/>
                      <w:u w:val="none"/>
                      <w:vertAlign w:val="baseline"/>
                      <w:lang w:val="en-US" w:eastAsia="zh-CN"/>
                    </w:rPr>
                    <w:t>深化危险废物规范评估。</w:t>
                  </w:r>
                </w:p>
              </w:tc>
              <w:tc>
                <w:tcPr>
                  <w:tcW w:w="874" w:type="dxa"/>
                  <w:tcBorders>
                    <w:tl2br w:val="nil"/>
                    <w:tr2bl w:val="nil"/>
                  </w:tcBorders>
                  <w:noWrap w:val="0"/>
                  <w:vAlign w:val="center"/>
                </w:tcPr>
                <w:p w14:paraId="24E1738B">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eastAsia="zh-CN"/>
                    </w:rPr>
                  </w:pPr>
                  <w:r>
                    <w:rPr>
                      <w:rFonts w:hint="default" w:ascii="Times New Roman" w:hAnsi="Times New Roman" w:eastAsia="宋体" w:cs="Times New Roman"/>
                      <w:b w:val="0"/>
                      <w:bCs/>
                      <w:color w:val="auto"/>
                      <w:kern w:val="28"/>
                      <w:sz w:val="21"/>
                      <w:szCs w:val="21"/>
                      <w:highlight w:val="none"/>
                      <w:lang w:val="en-US" w:eastAsia="zh-CN"/>
                    </w:rPr>
                    <w:t>符合</w:t>
                  </w:r>
                </w:p>
              </w:tc>
            </w:tr>
            <w:tr w14:paraId="03ECE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7" w:hRule="atLeast"/>
                <w:jc w:val="center"/>
              </w:trPr>
              <w:tc>
                <w:tcPr>
                  <w:tcW w:w="641" w:type="dxa"/>
                  <w:vMerge w:val="continue"/>
                  <w:tcBorders>
                    <w:tl2br w:val="nil"/>
                    <w:tr2bl w:val="nil"/>
                  </w:tcBorders>
                  <w:noWrap w:val="0"/>
                  <w:vAlign w:val="center"/>
                </w:tcPr>
                <w:p w14:paraId="1A98C5BE">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lang w:val="en-US" w:eastAsia="zh-CN"/>
                    </w:rPr>
                  </w:pPr>
                </w:p>
              </w:tc>
              <w:tc>
                <w:tcPr>
                  <w:tcW w:w="3386" w:type="dxa"/>
                  <w:tcBorders>
                    <w:tl2br w:val="nil"/>
                    <w:tr2bl w:val="nil"/>
                  </w:tcBorders>
                  <w:noWrap w:val="0"/>
                  <w:vAlign w:val="center"/>
                </w:tcPr>
                <w:p w14:paraId="76A9BE8E">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加强新污染物治理。扎实开展化学物质环境信息统计调查。持续推动新污染物治理力度，严格落实重点管控新污染物禁止、限制、限排等环境风险管控措施。督促指导企业落实新化学物质环境风险防控主体责任。</w:t>
                  </w:r>
                </w:p>
              </w:tc>
              <w:tc>
                <w:tcPr>
                  <w:tcW w:w="2497" w:type="dxa"/>
                  <w:tcBorders>
                    <w:tl2br w:val="nil"/>
                    <w:tr2bl w:val="nil"/>
                  </w:tcBorders>
                  <w:noWrap w:val="0"/>
                  <w:vAlign w:val="center"/>
                </w:tcPr>
                <w:p w14:paraId="0D56D2A5">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本项目</w:t>
                  </w:r>
                  <w:r>
                    <w:rPr>
                      <w:rFonts w:hint="default" w:ascii="Times New Roman" w:hAnsi="Times New Roman" w:cs="Times New Roman"/>
                      <w:b w:val="0"/>
                      <w:bCs/>
                      <w:color w:val="auto"/>
                      <w:sz w:val="21"/>
                      <w:szCs w:val="21"/>
                      <w:highlight w:val="none"/>
                      <w:u w:val="none"/>
                      <w:lang w:val="en-US" w:eastAsia="zh-CN"/>
                    </w:rPr>
                    <w:t>运营期内产生的废气通过</w:t>
                  </w:r>
                  <w:r>
                    <w:rPr>
                      <w:rFonts w:hint="default" w:ascii="Times New Roman" w:hAnsi="Times New Roman" w:eastAsia="宋体" w:cs="Times New Roman"/>
                      <w:b w:val="0"/>
                      <w:bCs/>
                      <w:color w:val="auto"/>
                      <w:sz w:val="21"/>
                      <w:szCs w:val="21"/>
                      <w:highlight w:val="none"/>
                      <w:u w:val="none"/>
                      <w:lang w:val="en-US" w:eastAsia="zh-CN"/>
                    </w:rPr>
                    <w:t>除尘器进行处理；</w:t>
                  </w:r>
                  <w:r>
                    <w:rPr>
                      <w:rFonts w:hint="eastAsia" w:cs="Times New Roman"/>
                      <w:b w:val="0"/>
                      <w:bCs/>
                      <w:color w:val="auto"/>
                      <w:sz w:val="21"/>
                      <w:szCs w:val="21"/>
                      <w:highlight w:val="none"/>
                      <w:u w:val="none"/>
                      <w:lang w:val="en-US" w:eastAsia="zh-CN"/>
                    </w:rPr>
                    <w:t>生产废水</w:t>
                  </w:r>
                  <w:r>
                    <w:rPr>
                      <w:rFonts w:hint="default" w:ascii="Times New Roman" w:hAnsi="Times New Roman" w:eastAsia="宋体" w:cs="Times New Roman"/>
                      <w:b w:val="0"/>
                      <w:bCs/>
                      <w:color w:val="auto"/>
                      <w:sz w:val="21"/>
                      <w:szCs w:val="21"/>
                      <w:highlight w:val="none"/>
                      <w:u w:val="none"/>
                      <w:lang w:val="en-US" w:eastAsia="zh-CN"/>
                    </w:rPr>
                    <w:t>经</w:t>
                  </w:r>
                  <w:r>
                    <w:rPr>
                      <w:rFonts w:hint="eastAsia" w:cs="Times New Roman"/>
                      <w:b w:val="0"/>
                      <w:bCs/>
                      <w:color w:val="auto"/>
                      <w:sz w:val="21"/>
                      <w:szCs w:val="21"/>
                      <w:highlight w:val="none"/>
                      <w:u w:val="none"/>
                      <w:lang w:val="en-US" w:eastAsia="zh-CN"/>
                    </w:rPr>
                    <w:t>浓缩后</w:t>
                  </w:r>
                  <w:r>
                    <w:rPr>
                      <w:rFonts w:hint="default" w:ascii="Times New Roman" w:hAnsi="Times New Roman" w:eastAsia="宋体" w:cs="Times New Roman"/>
                      <w:b w:val="0"/>
                      <w:bCs/>
                      <w:color w:val="auto"/>
                      <w:sz w:val="21"/>
                      <w:szCs w:val="21"/>
                      <w:highlight w:val="none"/>
                      <w:u w:val="none"/>
                      <w:lang w:val="en-US" w:eastAsia="zh-CN"/>
                    </w:rPr>
                    <w:t>，回用于生产；车辆冲洗废水经沉淀池沉淀后，循环使用，不外排；经过采取污染防治措施后，本项目</w:t>
                  </w:r>
                  <w:r>
                    <w:rPr>
                      <w:rFonts w:hint="default" w:ascii="Times New Roman" w:hAnsi="Times New Roman" w:cs="Times New Roman"/>
                      <w:b w:val="0"/>
                      <w:bCs/>
                      <w:color w:val="auto"/>
                      <w:sz w:val="21"/>
                      <w:szCs w:val="21"/>
                      <w:highlight w:val="none"/>
                      <w:u w:val="none"/>
                      <w:lang w:val="en-US" w:eastAsia="zh-CN"/>
                    </w:rPr>
                    <w:t>生产时</w:t>
                  </w:r>
                  <w:r>
                    <w:rPr>
                      <w:rFonts w:hint="default" w:ascii="Times New Roman" w:hAnsi="Times New Roman" w:eastAsia="宋体" w:cs="Times New Roman"/>
                      <w:b w:val="0"/>
                      <w:bCs/>
                      <w:color w:val="auto"/>
                      <w:sz w:val="21"/>
                      <w:szCs w:val="21"/>
                      <w:highlight w:val="none"/>
                      <w:u w:val="none"/>
                      <w:lang w:val="en-US" w:eastAsia="zh-CN"/>
                    </w:rPr>
                    <w:t>对周围环境影响较小。</w:t>
                  </w:r>
                </w:p>
              </w:tc>
              <w:tc>
                <w:tcPr>
                  <w:tcW w:w="874" w:type="dxa"/>
                  <w:tcBorders>
                    <w:tl2br w:val="nil"/>
                    <w:tr2bl w:val="nil"/>
                  </w:tcBorders>
                  <w:noWrap w:val="0"/>
                  <w:vAlign w:val="center"/>
                </w:tcPr>
                <w:p w14:paraId="424A5B00">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kern w:val="28"/>
                      <w:sz w:val="21"/>
                      <w:szCs w:val="21"/>
                      <w:highlight w:val="none"/>
                      <w:lang w:val="en-US" w:eastAsia="zh-CN"/>
                    </w:rPr>
                  </w:pPr>
                  <w:r>
                    <w:rPr>
                      <w:rFonts w:hint="default" w:ascii="Times New Roman" w:hAnsi="Times New Roman" w:eastAsia="宋体" w:cs="Times New Roman"/>
                      <w:b w:val="0"/>
                      <w:bCs/>
                      <w:color w:val="auto"/>
                      <w:kern w:val="28"/>
                      <w:sz w:val="21"/>
                      <w:szCs w:val="21"/>
                      <w:highlight w:val="none"/>
                      <w:lang w:val="en-US" w:eastAsia="zh-CN"/>
                    </w:rPr>
                    <w:t>符合</w:t>
                  </w:r>
                </w:p>
              </w:tc>
            </w:tr>
          </w:tbl>
          <w:p w14:paraId="4DF9AD1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rPr>
              <w:t>由以上分析可知，本项目建设符合《平顶山市202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年净土保卫战实施方案的通知》（平环委办〔202</w:t>
            </w:r>
            <w:r>
              <w:rPr>
                <w:rFonts w:hint="eastAsia"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〕1</w:t>
            </w:r>
            <w:r>
              <w:rPr>
                <w:rFonts w:hint="eastAsia"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lang w:val="en-US" w:eastAsia="zh-CN"/>
              </w:rPr>
              <w:t>号）中相关要求</w:t>
            </w:r>
            <w:r>
              <w:rPr>
                <w:rFonts w:hint="default" w:ascii="Times New Roman" w:hAnsi="Times New Roman" w:eastAsia="宋体" w:cs="Times New Roman"/>
                <w:color w:val="auto"/>
                <w:sz w:val="24"/>
                <w:szCs w:val="24"/>
                <w:highlight w:val="none"/>
              </w:rPr>
              <w:t>。</w:t>
            </w:r>
          </w:p>
          <w:p w14:paraId="38AF4CA4">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left"/>
              <w:textAlignment w:val="auto"/>
              <w:rPr>
                <w:rFonts w:hint="default" w:ascii="Times New Roman" w:hAnsi="Times New Roman" w:cs="Times New Roman" w:eastAsiaTheme="minorEastAsia"/>
                <w:b/>
                <w:bCs w:val="0"/>
                <w:kern w:val="28"/>
                <w:sz w:val="24"/>
                <w:szCs w:val="24"/>
                <w:highlight w:val="none"/>
                <w:lang w:val="en-US" w:eastAsia="zh-CN" w:bidi="ar-SA"/>
              </w:rPr>
            </w:pPr>
            <w:r>
              <w:rPr>
                <w:rFonts w:hint="default" w:ascii="Times New Roman" w:hAnsi="Times New Roman" w:cs="Times New Roman" w:eastAsiaTheme="minorEastAsia"/>
                <w:b/>
                <w:bCs/>
                <w:color w:val="000000"/>
                <w:kern w:val="0"/>
                <w:sz w:val="24"/>
                <w:szCs w:val="24"/>
                <w:highlight w:val="none"/>
                <w:lang w:val="en-US" w:eastAsia="zh-CN" w:bidi="ar"/>
              </w:rPr>
              <w:t>1</w:t>
            </w:r>
            <w:r>
              <w:rPr>
                <w:rFonts w:hint="eastAsia" w:cs="Times New Roman" w:eastAsiaTheme="minorEastAsia"/>
                <w:b/>
                <w:bCs/>
                <w:color w:val="000000"/>
                <w:kern w:val="0"/>
                <w:sz w:val="24"/>
                <w:szCs w:val="24"/>
                <w:highlight w:val="none"/>
                <w:lang w:val="en-US" w:eastAsia="zh-CN" w:bidi="ar"/>
              </w:rPr>
              <w:t>2</w:t>
            </w:r>
            <w:r>
              <w:rPr>
                <w:rFonts w:hint="default" w:ascii="Times New Roman" w:hAnsi="Times New Roman" w:cs="Times New Roman" w:eastAsiaTheme="minorEastAsia"/>
                <w:b/>
                <w:bCs/>
                <w:color w:val="000000"/>
                <w:kern w:val="0"/>
                <w:sz w:val="24"/>
                <w:szCs w:val="24"/>
                <w:highlight w:val="none"/>
                <w:lang w:val="en-US" w:eastAsia="zh-CN" w:bidi="ar"/>
              </w:rPr>
              <w:t>、</w:t>
            </w:r>
            <w:r>
              <w:rPr>
                <w:rFonts w:hint="default" w:ascii="Times New Roman" w:hAnsi="Times New Roman" w:cs="Times New Roman" w:eastAsiaTheme="minorEastAsia"/>
                <w:b/>
                <w:bCs w:val="0"/>
                <w:kern w:val="28"/>
                <w:sz w:val="24"/>
                <w:szCs w:val="24"/>
                <w:highlight w:val="none"/>
                <w:lang w:val="en-US" w:eastAsia="zh-CN" w:bidi="ar-SA"/>
              </w:rPr>
              <w:t>与《河南省重污染天气</w:t>
            </w:r>
            <w:r>
              <w:rPr>
                <w:rFonts w:hint="eastAsia" w:cs="Times New Roman" w:eastAsiaTheme="minorEastAsia"/>
                <w:b/>
                <w:bCs w:val="0"/>
                <w:kern w:val="28"/>
                <w:sz w:val="24"/>
                <w:szCs w:val="24"/>
                <w:highlight w:val="none"/>
                <w:lang w:val="en-US" w:eastAsia="zh-CN" w:bidi="ar-SA"/>
              </w:rPr>
              <w:t>重点</w:t>
            </w:r>
            <w:r>
              <w:rPr>
                <w:rFonts w:hint="default" w:ascii="Times New Roman" w:hAnsi="Times New Roman" w:cs="Times New Roman" w:eastAsiaTheme="minorEastAsia"/>
                <w:b/>
                <w:bCs w:val="0"/>
                <w:kern w:val="28"/>
                <w:sz w:val="24"/>
                <w:szCs w:val="24"/>
                <w:highlight w:val="none"/>
                <w:lang w:val="en-US" w:eastAsia="zh-CN" w:bidi="ar-SA"/>
              </w:rPr>
              <w:t>行业应急减排措施制定技术指南（2024年修订版）》相符性分析</w:t>
            </w:r>
          </w:p>
          <w:p w14:paraId="53663928">
            <w:pPr>
              <w:pStyle w:val="10"/>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eastAsia="宋体"/>
                <w:sz w:val="24"/>
                <w:szCs w:val="24"/>
                <w:lang w:val="en-US" w:eastAsia="zh-CN"/>
              </w:rPr>
            </w:pPr>
            <w:r>
              <w:rPr>
                <w:rFonts w:hint="default"/>
                <w:sz w:val="24"/>
                <w:szCs w:val="24"/>
                <w:lang w:val="en-US" w:eastAsia="zh-CN"/>
              </w:rPr>
              <w:t>《河南省重污染天气</w:t>
            </w:r>
            <w:r>
              <w:rPr>
                <w:rFonts w:hint="eastAsia"/>
                <w:sz w:val="24"/>
                <w:szCs w:val="24"/>
                <w:lang w:val="en-US" w:eastAsia="zh-CN"/>
              </w:rPr>
              <w:t>重点</w:t>
            </w:r>
            <w:r>
              <w:rPr>
                <w:rFonts w:hint="default"/>
                <w:sz w:val="24"/>
                <w:szCs w:val="24"/>
                <w:lang w:val="en-US" w:eastAsia="zh-CN"/>
              </w:rPr>
              <w:t>行业应急减排措施制定技术指南（2024年修订版）》</w:t>
            </w:r>
            <w:r>
              <w:rPr>
                <w:rFonts w:hint="eastAsia"/>
                <w:sz w:val="24"/>
                <w:szCs w:val="24"/>
                <w:lang w:val="en-US" w:eastAsia="zh-CN"/>
              </w:rPr>
              <w:t>中“矿石（煤炭）采选与加工”行业</w:t>
            </w:r>
            <w:r>
              <w:rPr>
                <w:rFonts w:hint="default" w:ascii="Times New Roman" w:hAnsi="Times New Roman" w:eastAsia="宋体" w:cs="Times New Roman"/>
                <w:b w:val="0"/>
                <w:bCs w:val="0"/>
                <w:color w:val="auto"/>
                <w:sz w:val="24"/>
                <w:szCs w:val="24"/>
                <w:highlight w:val="none"/>
                <w:u w:val="none"/>
                <w:lang w:val="en-US" w:eastAsia="zh-CN"/>
              </w:rPr>
              <w:t>适用范围</w:t>
            </w:r>
            <w:r>
              <w:rPr>
                <w:rFonts w:hint="eastAsia" w:ascii="Times New Roman" w:hAnsi="Times New Roman" w:eastAsia="宋体" w:cs="Times New Roman"/>
                <w:b w:val="0"/>
                <w:bCs w:val="0"/>
                <w:color w:val="auto"/>
                <w:sz w:val="24"/>
                <w:szCs w:val="24"/>
                <w:highlight w:val="none"/>
                <w:u w:val="none"/>
                <w:lang w:val="en-US" w:eastAsia="zh-CN"/>
              </w:rPr>
              <w:t>：</w:t>
            </w:r>
            <w:r>
              <w:rPr>
                <w:rFonts w:hint="default" w:ascii="Times New Roman" w:hAnsi="Times New Roman" w:eastAsia="宋体" w:cs="Times New Roman"/>
                <w:b w:val="0"/>
                <w:bCs w:val="0"/>
                <w:color w:val="auto"/>
                <w:sz w:val="24"/>
                <w:szCs w:val="24"/>
                <w:highlight w:val="none"/>
                <w:u w:val="none"/>
                <w:lang w:val="en-US" w:eastAsia="zh-CN"/>
              </w:rPr>
              <w:t>适用于全省符合产业政策要求的《国民经济行业分类》（GB/T4754-2017）中B06煤炭开采和洗选业、B08黑色金属矿采选业、B09有色金属矿采选业、B10非金属矿采选业、C3032建筑用石加工企业以及</w:t>
            </w:r>
            <w:r>
              <w:rPr>
                <w:rFonts w:hint="default" w:ascii="Times New Roman" w:hAnsi="Times New Roman" w:eastAsia="宋体" w:cs="Times New Roman"/>
                <w:b w:val="0"/>
                <w:bCs w:val="0"/>
                <w:color w:val="auto"/>
                <w:sz w:val="24"/>
                <w:szCs w:val="24"/>
                <w:highlight w:val="none"/>
                <w:u w:val="single"/>
                <w:lang w:val="en-US" w:eastAsia="zh-CN"/>
              </w:rPr>
              <w:t>以矿石、废料、建筑垃圾等为原料生产石子、石材、砂子的企业</w:t>
            </w:r>
            <w:r>
              <w:rPr>
                <w:rFonts w:hint="default" w:ascii="Times New Roman" w:hAnsi="Times New Roman" w:eastAsia="宋体" w:cs="Times New Roman"/>
                <w:b w:val="0"/>
                <w:bCs w:val="0"/>
                <w:color w:val="auto"/>
                <w:sz w:val="24"/>
                <w:szCs w:val="24"/>
                <w:highlight w:val="none"/>
                <w:u w:val="none"/>
                <w:lang w:val="en-US" w:eastAsia="zh-CN"/>
              </w:rPr>
              <w:t>；井下开采作业部分不纳入绩效分级管控。其中，不含石制工艺品等产品生产中的粘结工序。煤矸石洗选企业参照煤炭洗选按照本行业进行绩效分级。</w:t>
            </w:r>
            <w:r>
              <w:rPr>
                <w:rFonts w:hint="eastAsia"/>
                <w:sz w:val="24"/>
                <w:szCs w:val="24"/>
                <w:lang w:val="en-US" w:eastAsia="zh-CN"/>
              </w:rPr>
              <w:t>本项目为砂石生产企业，应执行</w:t>
            </w:r>
            <w:r>
              <w:rPr>
                <w:rFonts w:hint="default"/>
                <w:sz w:val="24"/>
                <w:szCs w:val="24"/>
                <w:lang w:val="en-US" w:eastAsia="zh-CN"/>
              </w:rPr>
              <w:t>《河南省重污染天气</w:t>
            </w:r>
            <w:r>
              <w:rPr>
                <w:rFonts w:hint="eastAsia"/>
                <w:sz w:val="24"/>
                <w:szCs w:val="24"/>
                <w:lang w:val="en-US" w:eastAsia="zh-CN"/>
              </w:rPr>
              <w:t>重点</w:t>
            </w:r>
            <w:r>
              <w:rPr>
                <w:rFonts w:hint="default"/>
                <w:sz w:val="24"/>
                <w:szCs w:val="24"/>
                <w:lang w:val="en-US" w:eastAsia="zh-CN"/>
              </w:rPr>
              <w:t>行业应急减排措施制定技术指南（2024年修订版）》</w:t>
            </w:r>
            <w:r>
              <w:rPr>
                <w:rFonts w:hint="eastAsia"/>
                <w:sz w:val="24"/>
                <w:szCs w:val="24"/>
                <w:lang w:val="en-US" w:eastAsia="zh-CN"/>
              </w:rPr>
              <w:t>中矿石（煤炭）采选与加工企业绩效分级指标要求。</w:t>
            </w:r>
          </w:p>
          <w:p w14:paraId="359AC8C7">
            <w:pPr>
              <w:pStyle w:val="7"/>
              <w:keepNext w:val="0"/>
              <w:keepLines w:val="0"/>
              <w:pageBreakBefore w:val="0"/>
              <w:widowControl w:val="0"/>
              <w:numPr>
                <w:ilvl w:val="0"/>
                <w:numId w:val="0"/>
              </w:numPr>
              <w:kinsoku/>
              <w:wordWrap w:val="0"/>
              <w:overflowPunct/>
              <w:topLinePunct w:val="0"/>
              <w:autoSpaceDE/>
              <w:autoSpaceDN/>
              <w:bidi w:val="0"/>
              <w:adjustRightInd/>
              <w:snapToGrid/>
              <w:spacing w:line="240" w:lineRule="auto"/>
              <w:jc w:val="left"/>
              <w:textAlignment w:val="auto"/>
              <w:rPr>
                <w:rFonts w:hint="default" w:ascii="Times New Roman" w:hAnsi="Times New Roman" w:eastAsia="黑体" w:cs="Times New Roman"/>
                <w:b w:val="0"/>
                <w:bCs w:val="0"/>
                <w:color w:val="auto"/>
                <w:sz w:val="24"/>
                <w:szCs w:val="24"/>
                <w:highlight w:val="none"/>
                <w:u w:val="none"/>
                <w:lang w:val="en-US" w:eastAsia="zh-CN"/>
              </w:rPr>
            </w:pPr>
            <w:r>
              <w:rPr>
                <w:rFonts w:hint="default" w:ascii="Times New Roman" w:hAnsi="Times New Roman" w:eastAsia="黑体" w:cs="Times New Roman"/>
                <w:b w:val="0"/>
                <w:bCs w:val="0"/>
                <w:color w:val="auto"/>
                <w:sz w:val="24"/>
                <w:szCs w:val="24"/>
                <w:highlight w:val="none"/>
                <w:u w:val="none"/>
                <w:lang w:val="en-US" w:eastAsia="zh-CN"/>
              </w:rPr>
              <w:t>表1-</w:t>
            </w:r>
            <w:r>
              <w:rPr>
                <w:rFonts w:hint="eastAsia" w:eastAsia="黑体" w:cs="Times New Roman"/>
                <w:b w:val="0"/>
                <w:bCs w:val="0"/>
                <w:color w:val="auto"/>
                <w:sz w:val="24"/>
                <w:szCs w:val="24"/>
                <w:highlight w:val="none"/>
                <w:u w:val="none"/>
                <w:lang w:val="en-US" w:eastAsia="zh-CN"/>
              </w:rPr>
              <w:t>6</w:t>
            </w:r>
            <w:r>
              <w:rPr>
                <w:rFonts w:hint="default" w:ascii="Times New Roman" w:hAnsi="Times New Roman" w:eastAsia="黑体" w:cs="Times New Roman"/>
                <w:b w:val="0"/>
                <w:bCs w:val="0"/>
                <w:color w:val="auto"/>
                <w:sz w:val="24"/>
                <w:szCs w:val="24"/>
                <w:highlight w:val="none"/>
                <w:u w:val="none"/>
                <w:lang w:val="en-US" w:eastAsia="zh-CN"/>
              </w:rPr>
              <w:t>项目与《河南省重污染天气</w:t>
            </w:r>
            <w:r>
              <w:rPr>
                <w:rFonts w:hint="eastAsia" w:eastAsia="黑体" w:cs="Times New Roman"/>
                <w:b w:val="0"/>
                <w:bCs w:val="0"/>
                <w:color w:val="auto"/>
                <w:sz w:val="24"/>
                <w:szCs w:val="24"/>
                <w:highlight w:val="none"/>
                <w:u w:val="none"/>
                <w:lang w:val="en-US" w:eastAsia="zh-CN"/>
              </w:rPr>
              <w:t>重点</w:t>
            </w:r>
            <w:r>
              <w:rPr>
                <w:rFonts w:hint="default" w:ascii="Times New Roman" w:hAnsi="Times New Roman" w:eastAsia="黑体" w:cs="Times New Roman"/>
                <w:b w:val="0"/>
                <w:bCs w:val="0"/>
                <w:color w:val="auto"/>
                <w:sz w:val="24"/>
                <w:szCs w:val="24"/>
                <w:highlight w:val="none"/>
                <w:u w:val="none"/>
                <w:lang w:val="en-US" w:eastAsia="zh-CN"/>
              </w:rPr>
              <w:t xml:space="preserve">行业应急减排措施制定技术指南 </w:t>
            </w:r>
          </w:p>
          <w:p w14:paraId="4CC663D0">
            <w:pPr>
              <w:pStyle w:val="7"/>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val="0"/>
                <w:color w:val="auto"/>
                <w:sz w:val="24"/>
                <w:szCs w:val="24"/>
                <w:highlight w:val="none"/>
                <w:u w:val="none"/>
                <w:lang w:val="en-US" w:eastAsia="zh-CN"/>
              </w:rPr>
            </w:pPr>
            <w:r>
              <w:rPr>
                <w:rFonts w:hint="default" w:ascii="Times New Roman" w:hAnsi="Times New Roman" w:eastAsia="黑体" w:cs="Times New Roman"/>
                <w:b w:val="0"/>
                <w:bCs w:val="0"/>
                <w:color w:val="auto"/>
                <w:sz w:val="24"/>
                <w:szCs w:val="24"/>
                <w:highlight w:val="none"/>
                <w:u w:val="none"/>
                <w:lang w:val="en-US" w:eastAsia="zh-CN"/>
              </w:rPr>
              <w:t>（202</w:t>
            </w:r>
            <w:r>
              <w:rPr>
                <w:rFonts w:hint="eastAsia" w:eastAsia="黑体" w:cs="Times New Roman"/>
                <w:b w:val="0"/>
                <w:bCs w:val="0"/>
                <w:color w:val="auto"/>
                <w:sz w:val="24"/>
                <w:szCs w:val="24"/>
                <w:highlight w:val="none"/>
                <w:u w:val="none"/>
                <w:lang w:val="en-US" w:eastAsia="zh-CN"/>
              </w:rPr>
              <w:t>4</w:t>
            </w:r>
            <w:r>
              <w:rPr>
                <w:rFonts w:hint="default" w:ascii="Times New Roman" w:hAnsi="Times New Roman" w:eastAsia="黑体" w:cs="Times New Roman"/>
                <w:b w:val="0"/>
                <w:bCs w:val="0"/>
                <w:color w:val="auto"/>
                <w:sz w:val="24"/>
                <w:szCs w:val="24"/>
                <w:highlight w:val="none"/>
                <w:u w:val="none"/>
                <w:lang w:val="en-US" w:eastAsia="zh-CN"/>
              </w:rPr>
              <w:t>年修订版）》相符性分析一览表</w:t>
            </w:r>
          </w:p>
          <w:tbl>
            <w:tblPr>
              <w:tblStyle w:val="24"/>
              <w:tblW w:w="74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625"/>
              <w:gridCol w:w="3144"/>
              <w:gridCol w:w="2214"/>
              <w:gridCol w:w="870"/>
            </w:tblGrid>
            <w:tr w14:paraId="55645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249" w:type="dxa"/>
                  <w:gridSpan w:val="2"/>
                  <w:noWrap w:val="0"/>
                  <w:vAlign w:val="center"/>
                </w:tcPr>
                <w:p w14:paraId="75B725B2">
                  <w:pPr>
                    <w:pStyle w:val="51"/>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eastAsia" w:cs="Times New Roman"/>
                      <w:b/>
                      <w:bCs/>
                      <w:lang w:val="en-US" w:eastAsia="zh-CN"/>
                    </w:rPr>
                    <w:t>差异化</w:t>
                  </w:r>
                </w:p>
                <w:p w14:paraId="00142676">
                  <w:pPr>
                    <w:pStyle w:val="51"/>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指标</w:t>
                  </w:r>
                </w:p>
              </w:tc>
              <w:tc>
                <w:tcPr>
                  <w:tcW w:w="3144" w:type="dxa"/>
                  <w:noWrap w:val="0"/>
                  <w:vAlign w:val="center"/>
                </w:tcPr>
                <w:p w14:paraId="35F60D4E">
                  <w:pPr>
                    <w:pStyle w:val="51"/>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eastAsia" w:cs="Times New Roman"/>
                      <w:b/>
                      <w:bCs/>
                      <w:lang w:val="en-US" w:eastAsia="zh-CN"/>
                    </w:rPr>
                    <w:t>A级企业</w:t>
                  </w:r>
                </w:p>
              </w:tc>
              <w:tc>
                <w:tcPr>
                  <w:tcW w:w="2214" w:type="dxa"/>
                  <w:noWrap w:val="0"/>
                  <w:vAlign w:val="center"/>
                </w:tcPr>
                <w:p w14:paraId="69B00E7B">
                  <w:pPr>
                    <w:pStyle w:val="51"/>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企业对标情况</w:t>
                  </w:r>
                </w:p>
              </w:tc>
              <w:tc>
                <w:tcPr>
                  <w:tcW w:w="870" w:type="dxa"/>
                  <w:noWrap w:val="0"/>
                  <w:vAlign w:val="center"/>
                </w:tcPr>
                <w:p w14:paraId="3197B64F">
                  <w:pPr>
                    <w:pStyle w:val="51"/>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符合性</w:t>
                  </w:r>
                </w:p>
                <w:p w14:paraId="463FE4D2">
                  <w:pPr>
                    <w:pStyle w:val="51"/>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分析</w:t>
                  </w:r>
                </w:p>
              </w:tc>
            </w:tr>
            <w:tr w14:paraId="5989A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249" w:type="dxa"/>
                  <w:gridSpan w:val="2"/>
                  <w:noWrap w:val="0"/>
                  <w:vAlign w:val="center"/>
                </w:tcPr>
                <w:p w14:paraId="65749D84">
                  <w:pPr>
                    <w:pStyle w:val="51"/>
                    <w:keepNext w:val="0"/>
                    <w:keepLines w:val="0"/>
                    <w:suppressLineNumbers w:val="0"/>
                    <w:bidi w:val="0"/>
                    <w:spacing w:before="0" w:beforeAutospacing="0" w:after="0" w:afterAutospacing="0"/>
                    <w:ind w:left="0" w:right="0"/>
                    <w:jc w:val="center"/>
                    <w:rPr>
                      <w:rFonts w:hint="default" w:cs="Times New Roman"/>
                      <w:b w:val="0"/>
                      <w:bCs w:val="0"/>
                      <w:highlight w:val="none"/>
                      <w:lang w:val="en-US" w:eastAsia="zh-CN"/>
                    </w:rPr>
                  </w:pPr>
                  <w:r>
                    <w:rPr>
                      <w:rFonts w:hint="eastAsia" w:cs="Times New Roman"/>
                      <w:b w:val="0"/>
                      <w:bCs w:val="0"/>
                      <w:highlight w:val="none"/>
                      <w:lang w:val="en-US" w:eastAsia="zh-CN"/>
                    </w:rPr>
                    <w:t>能源类型</w:t>
                  </w:r>
                </w:p>
              </w:tc>
              <w:tc>
                <w:tcPr>
                  <w:tcW w:w="3144" w:type="dxa"/>
                  <w:noWrap w:val="0"/>
                  <w:vAlign w:val="center"/>
                </w:tcPr>
                <w:p w14:paraId="32B5841B">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eastAsia" w:cs="Times New Roman"/>
                      <w:b w:val="0"/>
                      <w:bCs w:val="0"/>
                      <w:highlight w:val="none"/>
                      <w:lang w:val="en-US" w:eastAsia="zh-CN"/>
                    </w:rPr>
                    <w:t>锅炉采用电、天然气、煤层气等能源</w:t>
                  </w:r>
                </w:p>
              </w:tc>
              <w:tc>
                <w:tcPr>
                  <w:tcW w:w="2214" w:type="dxa"/>
                  <w:noWrap w:val="0"/>
                  <w:vAlign w:val="center"/>
                </w:tcPr>
                <w:p w14:paraId="6649A677">
                  <w:pPr>
                    <w:pStyle w:val="51"/>
                    <w:keepNext w:val="0"/>
                    <w:keepLines w:val="0"/>
                    <w:suppressLineNumbers w:val="0"/>
                    <w:bidi w:val="0"/>
                    <w:spacing w:before="0" w:beforeAutospacing="0" w:after="0" w:afterAutospacing="0"/>
                    <w:ind w:left="0" w:right="0"/>
                    <w:jc w:val="left"/>
                    <w:rPr>
                      <w:rFonts w:hint="default" w:cs="Times New Roman"/>
                      <w:b w:val="0"/>
                      <w:bCs w:val="0"/>
                      <w:lang w:val="en-US" w:eastAsia="zh-CN"/>
                    </w:rPr>
                  </w:pPr>
                  <w:r>
                    <w:rPr>
                      <w:rFonts w:hint="eastAsia" w:cs="Times New Roman"/>
                      <w:b w:val="0"/>
                      <w:bCs w:val="0"/>
                      <w:lang w:val="en-US" w:eastAsia="zh-CN"/>
                    </w:rPr>
                    <w:t>项目不使用锅炉，生产能源为电力。</w:t>
                  </w:r>
                </w:p>
              </w:tc>
              <w:tc>
                <w:tcPr>
                  <w:tcW w:w="870" w:type="dxa"/>
                  <w:noWrap w:val="0"/>
                  <w:vAlign w:val="center"/>
                </w:tcPr>
                <w:p w14:paraId="448DFDF8">
                  <w:pPr>
                    <w:pStyle w:val="51"/>
                    <w:keepNext w:val="0"/>
                    <w:keepLines w:val="0"/>
                    <w:suppressLineNumbers w:val="0"/>
                    <w:bidi w:val="0"/>
                    <w:spacing w:before="0" w:beforeAutospacing="0" w:after="0" w:afterAutospacing="0"/>
                    <w:ind w:left="0" w:right="0"/>
                    <w:jc w:val="center"/>
                    <w:rPr>
                      <w:rFonts w:hint="default" w:cs="Times New Roman"/>
                      <w:b w:val="0"/>
                      <w:bCs w:val="0"/>
                      <w:lang w:val="en-US" w:eastAsia="zh-CN"/>
                    </w:rPr>
                  </w:pPr>
                  <w:r>
                    <w:rPr>
                      <w:rFonts w:hint="eastAsia" w:cs="Times New Roman"/>
                      <w:b w:val="0"/>
                      <w:bCs w:val="0"/>
                      <w:lang w:val="en-US" w:eastAsia="zh-CN"/>
                    </w:rPr>
                    <w:t>符合</w:t>
                  </w:r>
                </w:p>
              </w:tc>
            </w:tr>
            <w:tr w14:paraId="7B921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249" w:type="dxa"/>
                  <w:gridSpan w:val="2"/>
                  <w:noWrap w:val="0"/>
                  <w:vAlign w:val="center"/>
                </w:tcPr>
                <w:p w14:paraId="7A7C00A6">
                  <w:pPr>
                    <w:pStyle w:val="51"/>
                    <w:keepNext w:val="0"/>
                    <w:keepLines w:val="0"/>
                    <w:suppressLineNumbers w:val="0"/>
                    <w:bidi w:val="0"/>
                    <w:spacing w:before="0" w:beforeAutospacing="0" w:after="0" w:afterAutospacing="0"/>
                    <w:ind w:left="0" w:right="0"/>
                    <w:jc w:val="center"/>
                    <w:rPr>
                      <w:rFonts w:hint="eastAsia" w:cs="Times New Roman"/>
                      <w:b w:val="0"/>
                      <w:bCs w:val="0"/>
                      <w:highlight w:val="none"/>
                      <w:lang w:val="en-US" w:eastAsia="zh-CN"/>
                    </w:rPr>
                  </w:pPr>
                  <w:r>
                    <w:rPr>
                      <w:rFonts w:hint="eastAsia" w:cs="Times New Roman"/>
                      <w:b w:val="0"/>
                      <w:bCs w:val="0"/>
                      <w:highlight w:val="none"/>
                      <w:lang w:val="en-US" w:eastAsia="zh-CN"/>
                    </w:rPr>
                    <w:t>污染治理技术</w:t>
                  </w:r>
                </w:p>
              </w:tc>
              <w:tc>
                <w:tcPr>
                  <w:tcW w:w="3144" w:type="dxa"/>
                  <w:noWrap w:val="0"/>
                  <w:vAlign w:val="center"/>
                </w:tcPr>
                <w:p w14:paraId="4699EEC4">
                  <w:pPr>
                    <w:pStyle w:val="51"/>
                    <w:keepNext w:val="0"/>
                    <w:keepLines w:val="0"/>
                    <w:suppressLineNumbers w:val="0"/>
                    <w:bidi w:val="0"/>
                    <w:spacing w:before="0" w:beforeAutospacing="0" w:after="0" w:afterAutospacing="0"/>
                    <w:ind w:left="0" w:right="0"/>
                    <w:jc w:val="left"/>
                    <w:rPr>
                      <w:rFonts w:hint="eastAsia" w:cs="Times New Roman"/>
                      <w:b w:val="0"/>
                      <w:bCs w:val="0"/>
                      <w:highlight w:val="none"/>
                      <w:lang w:val="en-US" w:eastAsia="zh-CN"/>
                    </w:rPr>
                  </w:pPr>
                  <w:r>
                    <w:rPr>
                      <w:rFonts w:hint="eastAsia" w:cs="Times New Roman"/>
                      <w:b w:val="0"/>
                      <w:bCs w:val="0"/>
                      <w:highlight w:val="none"/>
                      <w:lang w:val="en-US" w:eastAsia="zh-CN"/>
                    </w:rPr>
                    <w:t>1.除尘采用覆膜滤袋、滤筒等除尘技术（设计除尘效率不低于99.9%）；</w:t>
                  </w:r>
                </w:p>
                <w:p w14:paraId="4D85BA60">
                  <w:pPr>
                    <w:pStyle w:val="51"/>
                    <w:keepNext w:val="0"/>
                    <w:keepLines w:val="0"/>
                    <w:suppressLineNumbers w:val="0"/>
                    <w:bidi w:val="0"/>
                    <w:spacing w:before="0" w:beforeAutospacing="0" w:after="0" w:afterAutospacing="0"/>
                    <w:ind w:left="0" w:right="0"/>
                    <w:jc w:val="both"/>
                    <w:rPr>
                      <w:rFonts w:hint="eastAsia" w:cs="Times New Roman"/>
                      <w:b w:val="0"/>
                      <w:bCs w:val="0"/>
                      <w:highlight w:val="none"/>
                      <w:lang w:val="en-US" w:eastAsia="zh-CN"/>
                    </w:rPr>
                  </w:pPr>
                  <w:r>
                    <w:rPr>
                      <w:rFonts w:hint="eastAsia" w:cs="Times New Roman"/>
                      <w:b w:val="0"/>
                      <w:bCs w:val="0"/>
                      <w:highlight w:val="none"/>
                      <w:lang w:val="en-US" w:eastAsia="zh-CN"/>
                    </w:rPr>
                    <w:t>2.NOx治理采用低氮燃烧、烟气循环、SNCR/SCR等适宜技术。使用氨法脱硝的企业，氨的装卸、储存、输送、制备等过程全程密闭，并采取氨气泄漏检测和收集措施；采用尿素作为还原剂的配备有尿素加热水解制氨系统。</w:t>
                  </w:r>
                </w:p>
              </w:tc>
              <w:tc>
                <w:tcPr>
                  <w:tcW w:w="2214" w:type="dxa"/>
                  <w:noWrap w:val="0"/>
                  <w:vAlign w:val="center"/>
                </w:tcPr>
                <w:p w14:paraId="3538C38E">
                  <w:pPr>
                    <w:pStyle w:val="51"/>
                    <w:keepNext w:val="0"/>
                    <w:keepLines w:val="0"/>
                    <w:suppressLineNumbers w:val="0"/>
                    <w:bidi w:val="0"/>
                    <w:spacing w:before="0" w:beforeAutospacing="0" w:after="0" w:afterAutospacing="0"/>
                    <w:ind w:left="0" w:right="0"/>
                    <w:jc w:val="left"/>
                    <w:rPr>
                      <w:rFonts w:hint="eastAsia" w:cs="Times New Roman"/>
                      <w:b w:val="0"/>
                      <w:bCs w:val="0"/>
                      <w:lang w:val="en-US" w:eastAsia="zh-CN"/>
                    </w:rPr>
                  </w:pPr>
                  <w:r>
                    <w:rPr>
                      <w:rFonts w:hint="eastAsia" w:cs="Times New Roman"/>
                      <w:b w:val="0"/>
                      <w:bCs w:val="0"/>
                      <w:lang w:val="en-US" w:eastAsia="zh-CN"/>
                    </w:rPr>
                    <w:t>1.项目废气只有颗粒物，砂石生产工序采用覆膜滤袋式除尘器，除尘效率为99.9%。</w:t>
                  </w:r>
                </w:p>
                <w:p w14:paraId="33A44E5B">
                  <w:pPr>
                    <w:pStyle w:val="51"/>
                    <w:keepNext w:val="0"/>
                    <w:keepLines w:val="0"/>
                    <w:suppressLineNumbers w:val="0"/>
                    <w:bidi w:val="0"/>
                    <w:spacing w:before="0" w:beforeAutospacing="0" w:after="0" w:afterAutospacing="0"/>
                    <w:ind w:left="0" w:right="0"/>
                    <w:jc w:val="left"/>
                    <w:rPr>
                      <w:rFonts w:hint="default" w:cs="Times New Roman"/>
                      <w:b w:val="0"/>
                      <w:bCs w:val="0"/>
                      <w:lang w:val="en-US" w:eastAsia="zh-CN"/>
                    </w:rPr>
                  </w:pPr>
                  <w:r>
                    <w:rPr>
                      <w:rFonts w:hint="eastAsia" w:cs="Times New Roman"/>
                      <w:b w:val="0"/>
                      <w:bCs w:val="0"/>
                      <w:lang w:val="en-US" w:eastAsia="zh-CN"/>
                    </w:rPr>
                    <w:t>2.本项目不涉及NOx治理。</w:t>
                  </w:r>
                </w:p>
              </w:tc>
              <w:tc>
                <w:tcPr>
                  <w:tcW w:w="870" w:type="dxa"/>
                  <w:noWrap w:val="0"/>
                  <w:vAlign w:val="center"/>
                </w:tcPr>
                <w:p w14:paraId="6C684105">
                  <w:pPr>
                    <w:pStyle w:val="51"/>
                    <w:keepNext w:val="0"/>
                    <w:keepLines w:val="0"/>
                    <w:suppressLineNumbers w:val="0"/>
                    <w:bidi w:val="0"/>
                    <w:spacing w:before="0" w:beforeAutospacing="0" w:after="0" w:afterAutospacing="0"/>
                    <w:ind w:left="0" w:right="0"/>
                    <w:jc w:val="center"/>
                    <w:rPr>
                      <w:rFonts w:hint="default" w:cs="Times New Roman"/>
                      <w:b w:val="0"/>
                      <w:bCs w:val="0"/>
                      <w:lang w:val="en-US" w:eastAsia="zh-CN"/>
                    </w:rPr>
                  </w:pPr>
                  <w:r>
                    <w:rPr>
                      <w:rFonts w:hint="eastAsia" w:cs="Times New Roman"/>
                      <w:b w:val="0"/>
                      <w:bCs w:val="0"/>
                      <w:lang w:val="en-US" w:eastAsia="zh-CN"/>
                    </w:rPr>
                    <w:t>符合</w:t>
                  </w:r>
                </w:p>
              </w:tc>
            </w:tr>
            <w:tr w14:paraId="72597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249" w:type="dxa"/>
                  <w:gridSpan w:val="2"/>
                  <w:noWrap w:val="0"/>
                  <w:vAlign w:val="center"/>
                </w:tcPr>
                <w:p w14:paraId="7AC202B9">
                  <w:pPr>
                    <w:pStyle w:val="51"/>
                    <w:keepNext w:val="0"/>
                    <w:keepLines w:val="0"/>
                    <w:suppressLineNumbers w:val="0"/>
                    <w:bidi w:val="0"/>
                    <w:spacing w:before="0" w:beforeAutospacing="0" w:after="0" w:afterAutospacing="0"/>
                    <w:ind w:left="0" w:right="0"/>
                    <w:jc w:val="center"/>
                    <w:rPr>
                      <w:rFonts w:hint="eastAsia" w:cs="Times New Roman"/>
                      <w:b w:val="0"/>
                      <w:bCs w:val="0"/>
                      <w:highlight w:val="none"/>
                      <w:lang w:val="en-US" w:eastAsia="zh-CN"/>
                    </w:rPr>
                  </w:pPr>
                  <w:r>
                    <w:rPr>
                      <w:rFonts w:hint="eastAsia" w:cs="Times New Roman"/>
                      <w:b w:val="0"/>
                      <w:bCs w:val="0"/>
                      <w:highlight w:val="none"/>
                      <w:lang w:val="en-US" w:eastAsia="zh-CN"/>
                    </w:rPr>
                    <w:t>无组织管控</w:t>
                  </w:r>
                </w:p>
              </w:tc>
              <w:tc>
                <w:tcPr>
                  <w:tcW w:w="3144" w:type="dxa"/>
                  <w:noWrap w:val="0"/>
                  <w:vAlign w:val="center"/>
                </w:tcPr>
                <w:p w14:paraId="0C734C1A">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1.露天采矿采取自上而下水平分层开采，采取深孔微差、低尘爆破、机械采装，铲装作业同时喷水雾，并及时洒水抑尘；</w:t>
                  </w:r>
                </w:p>
                <w:p w14:paraId="3ACBA82D">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2.矿石（原煤）装卸、破碎、筛分等产尘工序应在封闭厂房内作业，产尘点采取二次封闭或设置集尘罩负压收集后采用袋式除尘处理；石材加工企业切割、打磨、雕刻、抛光等产尘工序，应采用湿法作业，分类设置作业区域，作业区内建有规范的围堰、排水渠，将作业废水导排至封闭集水池进行有效收集、沉淀、澄清后回用；采用干法作业的，切割、打磨、雕刻、抛光等作业过程保持封闭，并配备粉尘收集高效处理装置；生产车间无可见粉尘外逸；</w:t>
                  </w:r>
                </w:p>
                <w:p w14:paraId="151F6B37">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3.粉状物料全部采取储罐、筒仓或覆膜吨包袋等密闭储存；粒状、块状物料全部封闭或密闭储</w:t>
                  </w:r>
                </w:p>
                <w:p w14:paraId="3C165B18">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存，封闭料场内装固定喷干雾装置，料场货物进出大门为硬质材料门或自动感应门，在确保安全的情况下，所有门窗保持常闭状态；</w:t>
                  </w:r>
                </w:p>
                <w:p w14:paraId="20C96C6D">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4.各工序粉状、粒状等易产尘物料厂内转移、输送过程应采用气力输送、封闭斗提、封闭皮带等；无法封闭的产尘点（物料转载、下料口等）应采取集气除尘措施；产品装车道全封闭；</w:t>
                  </w:r>
                </w:p>
                <w:p w14:paraId="6556890F">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5.除尘器设卸灰锁风装置，除尘灰密闭输送返回生产工序；无法实现返回的，设置密闭灰仓，除尘灰应通过气力输送、罐车、吨包袋等方式卸灰，不得直接卸落到地面造成二次扬尘污染；</w:t>
                  </w:r>
                </w:p>
                <w:p w14:paraId="17FBF394">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6.矿石、废石及尾矿运输道路路面与堆棚、堆场地面等应硬化，并采取定期清扫、洒水等抑尘措施；厂区内道路、堆场等路面应硬化，保持清洁，路面无明显可见积尘；</w:t>
                  </w:r>
                </w:p>
                <w:p w14:paraId="21B98C20">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7.</w:t>
                  </w:r>
                  <w:r>
                    <w:rPr>
                      <w:rFonts w:hint="eastAsia" w:ascii="Times New Roman" w:hAnsi="Times New Roman" w:cs="Times New Roman"/>
                      <w:b w:val="0"/>
                      <w:bCs w:val="0"/>
                      <w:highlight w:val="none"/>
                      <w:lang w:val="en-US" w:eastAsia="zh-CN"/>
                    </w:rPr>
                    <w:t>大宗</w:t>
                  </w:r>
                  <w:r>
                    <w:rPr>
                      <w:rFonts w:hint="default" w:ascii="Times New Roman" w:hAnsi="Times New Roman" w:cs="Times New Roman"/>
                      <w:b w:val="0"/>
                      <w:bCs w:val="0"/>
                      <w:highlight w:val="none"/>
                      <w:lang w:val="en-US" w:eastAsia="zh-CN"/>
                    </w:rPr>
                    <w:t>原料或成品的进、出口处，配备车轮车身高压清洗装置，洗车平台四周应设置洗车废水收集处理设施。</w:t>
                  </w:r>
                </w:p>
              </w:tc>
              <w:tc>
                <w:tcPr>
                  <w:tcW w:w="2214" w:type="dxa"/>
                  <w:noWrap w:val="0"/>
                  <w:vAlign w:val="center"/>
                </w:tcPr>
                <w:p w14:paraId="21EDE192">
                  <w:pPr>
                    <w:pStyle w:val="51"/>
                    <w:keepNext w:val="0"/>
                    <w:keepLines w:val="0"/>
                    <w:suppressLineNumbers w:val="0"/>
                    <w:bidi w:val="0"/>
                    <w:spacing w:before="0" w:beforeAutospacing="0" w:after="0" w:afterAutospacing="0"/>
                    <w:ind w:left="0" w:right="0"/>
                    <w:jc w:val="left"/>
                    <w:rPr>
                      <w:rFonts w:hint="eastAsia" w:cs="Times New Roman"/>
                      <w:lang w:val="en-US" w:eastAsia="zh-CN"/>
                    </w:rPr>
                  </w:pPr>
                  <w:r>
                    <w:rPr>
                      <w:rFonts w:hint="eastAsia" w:cs="Times New Roman"/>
                      <w:lang w:val="en-US" w:eastAsia="zh-CN"/>
                    </w:rPr>
                    <w:t>1.本项目为砂石加工，不涉及矿山开采。</w:t>
                  </w:r>
                </w:p>
                <w:p w14:paraId="1CE0FECB">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lang w:val="en-US" w:eastAsia="zh-CN"/>
                    </w:rPr>
                  </w:pPr>
                  <w:r>
                    <w:rPr>
                      <w:rFonts w:hint="eastAsia" w:cs="Times New Roman"/>
                      <w:lang w:val="en-US" w:eastAsia="zh-CN"/>
                    </w:rPr>
                    <w:t>2.本项目物料在给料、颚破时在封闭厂房作业，</w:t>
                  </w:r>
                  <w:r>
                    <w:rPr>
                      <w:rFonts w:hint="default" w:ascii="Times New Roman" w:hAnsi="Times New Roman" w:cs="Times New Roman"/>
                      <w:b w:val="0"/>
                      <w:bCs w:val="0"/>
                      <w:lang w:val="en-US" w:eastAsia="zh-CN"/>
                    </w:rPr>
                    <w:t>产尘点设置集尘罩负压收集后采用袋式除尘处理</w:t>
                  </w:r>
                  <w:r>
                    <w:rPr>
                      <w:rFonts w:hint="eastAsia" w:cs="Times New Roman"/>
                      <w:b w:val="0"/>
                      <w:bCs w:val="0"/>
                      <w:lang w:val="en-US" w:eastAsia="zh-CN"/>
                    </w:rPr>
                    <w:t>，筛分工序为湿法作业，生产废水</w:t>
                  </w:r>
                  <w:r>
                    <w:rPr>
                      <w:rFonts w:hint="default" w:ascii="Times New Roman" w:hAnsi="Times New Roman" w:cs="Times New Roman"/>
                      <w:b w:val="0"/>
                      <w:bCs w:val="0"/>
                      <w:lang w:val="en-US" w:eastAsia="zh-CN"/>
                    </w:rPr>
                    <w:t>有规范的排水渠，将</w:t>
                  </w:r>
                  <w:r>
                    <w:rPr>
                      <w:rFonts w:hint="eastAsia" w:cs="Times New Roman"/>
                      <w:b w:val="0"/>
                      <w:bCs w:val="0"/>
                      <w:lang w:val="en-US" w:eastAsia="zh-CN"/>
                    </w:rPr>
                    <w:t>生产</w:t>
                  </w:r>
                  <w:r>
                    <w:rPr>
                      <w:rFonts w:hint="default" w:ascii="Times New Roman" w:hAnsi="Times New Roman" w:cs="Times New Roman"/>
                      <w:b w:val="0"/>
                      <w:bCs w:val="0"/>
                      <w:lang w:val="en-US" w:eastAsia="zh-CN"/>
                    </w:rPr>
                    <w:t>废水导排至封闭</w:t>
                  </w:r>
                  <w:r>
                    <w:rPr>
                      <w:rFonts w:hint="eastAsia" w:cs="Times New Roman"/>
                      <w:b w:val="0"/>
                      <w:bCs w:val="0"/>
                      <w:lang w:val="en-US" w:eastAsia="zh-CN"/>
                    </w:rPr>
                    <w:t>污</w:t>
                  </w:r>
                  <w:r>
                    <w:rPr>
                      <w:rFonts w:hint="default" w:ascii="Times New Roman" w:hAnsi="Times New Roman" w:cs="Times New Roman"/>
                      <w:b w:val="0"/>
                      <w:bCs w:val="0"/>
                      <w:lang w:val="en-US" w:eastAsia="zh-CN"/>
                    </w:rPr>
                    <w:t>水池</w:t>
                  </w:r>
                  <w:r>
                    <w:rPr>
                      <w:rFonts w:hint="eastAsia" w:cs="Times New Roman"/>
                      <w:b w:val="0"/>
                      <w:bCs w:val="0"/>
                      <w:lang w:val="en-US" w:eastAsia="zh-CN"/>
                    </w:rPr>
                    <w:t>后</w:t>
                  </w:r>
                  <w:r>
                    <w:rPr>
                      <w:rFonts w:hint="default" w:ascii="Times New Roman" w:hAnsi="Times New Roman" w:cs="Times New Roman"/>
                      <w:b w:val="0"/>
                      <w:bCs w:val="0"/>
                      <w:lang w:val="en-US" w:eastAsia="zh-CN"/>
                    </w:rPr>
                    <w:t>进行有效收集、沉淀、澄清后回用</w:t>
                  </w:r>
                  <w:r>
                    <w:rPr>
                      <w:rFonts w:hint="eastAsia" w:cs="Times New Roman"/>
                      <w:b w:val="0"/>
                      <w:bCs w:val="0"/>
                      <w:lang w:val="en-US" w:eastAsia="zh-CN"/>
                    </w:rPr>
                    <w:t>，</w:t>
                  </w:r>
                  <w:r>
                    <w:rPr>
                      <w:rFonts w:hint="eastAsia" w:cs="Times New Roman"/>
                      <w:lang w:val="en-US" w:eastAsia="zh-CN"/>
                    </w:rPr>
                    <w:t>原材料装卸</w:t>
                  </w:r>
                  <w:r>
                    <w:rPr>
                      <w:rFonts w:hint="default" w:ascii="Times New Roman" w:hAnsi="Times New Roman" w:cs="Times New Roman"/>
                      <w:lang w:val="en-US" w:eastAsia="zh-CN"/>
                    </w:rPr>
                    <w:t>在原料</w:t>
                  </w:r>
                  <w:r>
                    <w:rPr>
                      <w:rFonts w:hint="eastAsia" w:cs="Times New Roman"/>
                      <w:lang w:val="en-US" w:eastAsia="zh-CN"/>
                    </w:rPr>
                    <w:t>存放区</w:t>
                  </w:r>
                  <w:r>
                    <w:rPr>
                      <w:rFonts w:hint="default" w:ascii="Times New Roman" w:hAnsi="Times New Roman" w:cs="Times New Roman"/>
                      <w:lang w:val="en-US" w:eastAsia="zh-CN"/>
                    </w:rPr>
                    <w:t>内</w:t>
                  </w:r>
                  <w:r>
                    <w:rPr>
                      <w:rFonts w:hint="eastAsia" w:cs="Times New Roman"/>
                      <w:lang w:val="en-US" w:eastAsia="zh-CN"/>
                    </w:rPr>
                    <w:t>在厂房顶部安装喷雾降尘装置</w:t>
                  </w:r>
                  <w:r>
                    <w:rPr>
                      <w:rFonts w:hint="default" w:ascii="Times New Roman" w:hAnsi="Times New Roman" w:cs="Times New Roman"/>
                      <w:lang w:val="en-US" w:eastAsia="zh-CN"/>
                    </w:rPr>
                    <w:t>，</w:t>
                  </w:r>
                  <w:r>
                    <w:rPr>
                      <w:rFonts w:hint="eastAsia" w:cs="Times New Roman"/>
                      <w:lang w:val="en-US" w:eastAsia="zh-CN"/>
                    </w:rPr>
                    <w:t>原材料</w:t>
                  </w:r>
                  <w:r>
                    <w:rPr>
                      <w:rFonts w:hint="default" w:ascii="Times New Roman" w:hAnsi="Times New Roman" w:cs="Times New Roman"/>
                      <w:lang w:val="en-US" w:eastAsia="zh-CN"/>
                    </w:rPr>
                    <w:t>基本不发生粉尘外逸</w:t>
                  </w:r>
                  <w:r>
                    <w:rPr>
                      <w:rFonts w:hint="eastAsia" w:cs="Times New Roman"/>
                      <w:lang w:val="en-US" w:eastAsia="zh-CN"/>
                    </w:rPr>
                    <w:t>。</w:t>
                  </w:r>
                </w:p>
                <w:p w14:paraId="6FD7EE30">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lang w:val="en-US" w:eastAsia="zh-CN"/>
                    </w:rPr>
                  </w:pPr>
                  <w:r>
                    <w:rPr>
                      <w:rFonts w:hint="eastAsia" w:cs="Times New Roman"/>
                      <w:lang w:val="en-US" w:eastAsia="zh-CN"/>
                    </w:rPr>
                    <w:t>3</w:t>
                  </w:r>
                  <w:r>
                    <w:rPr>
                      <w:rFonts w:hint="eastAsia" w:ascii="Times New Roman" w:hAnsi="Times New Roman" w:cs="Times New Roman"/>
                      <w:lang w:val="en-US" w:eastAsia="zh-CN"/>
                    </w:rPr>
                    <w:t>.</w:t>
                  </w:r>
                  <w:r>
                    <w:rPr>
                      <w:rFonts w:hint="eastAsia" w:cs="Times New Roman"/>
                      <w:lang w:val="en-US" w:eastAsia="zh-CN"/>
                    </w:rPr>
                    <w:t>项目</w:t>
                  </w:r>
                  <w:r>
                    <w:rPr>
                      <w:rFonts w:hint="default" w:ascii="Times New Roman" w:hAnsi="Times New Roman" w:cs="Times New Roman"/>
                      <w:b w:val="0"/>
                      <w:bCs w:val="0"/>
                      <w:lang w:val="en-US" w:eastAsia="zh-CN"/>
                    </w:rPr>
                    <w:t>粒状、块状物料</w:t>
                  </w:r>
                  <w:r>
                    <w:rPr>
                      <w:rFonts w:hint="default" w:ascii="Times New Roman" w:hAnsi="Times New Roman" w:cs="Times New Roman"/>
                      <w:lang w:val="en-US" w:eastAsia="zh-CN"/>
                    </w:rPr>
                    <w:t>在厂房原料区码放整齐存放</w:t>
                  </w:r>
                  <w:r>
                    <w:rPr>
                      <w:rFonts w:hint="eastAsia" w:ascii="Times New Roman" w:hAnsi="Times New Roman" w:cs="Times New Roman"/>
                      <w:lang w:val="en-US" w:eastAsia="zh-CN"/>
                    </w:rPr>
                    <w:t>，不露天储存，</w:t>
                  </w:r>
                  <w:r>
                    <w:rPr>
                      <w:rFonts w:hint="default" w:ascii="Times New Roman" w:hAnsi="Times New Roman" w:cs="Times New Roman"/>
                      <w:lang w:val="en-US" w:eastAsia="zh-CN"/>
                    </w:rPr>
                    <w:t>原辅料在仓库内密闭储存</w:t>
                  </w:r>
                  <w:r>
                    <w:rPr>
                      <w:rFonts w:hint="eastAsia" w:ascii="Times New Roman" w:hAnsi="Times New Roman" w:cs="Times New Roman"/>
                      <w:lang w:val="en-US" w:eastAsia="zh-CN"/>
                    </w:rPr>
                    <w:t>，厂区内路面硬化，料场顶棚和四周围墙完整</w:t>
                  </w:r>
                  <w:r>
                    <w:rPr>
                      <w:rFonts w:hint="eastAsia" w:cs="Times New Roman"/>
                      <w:lang w:val="en-US" w:eastAsia="zh-CN"/>
                    </w:rPr>
                    <w:t>，厂房上方</w:t>
                  </w:r>
                  <w:r>
                    <w:rPr>
                      <w:rFonts w:hint="default" w:ascii="Times New Roman" w:hAnsi="Times New Roman" w:cs="Times New Roman"/>
                      <w:b w:val="0"/>
                      <w:bCs w:val="0"/>
                      <w:lang w:val="en-US" w:eastAsia="zh-CN"/>
                    </w:rPr>
                    <w:t>装固定喷雾装置，料场货物进出大门为硬质材料门，在确保安全的情况下，所有门窗保持常闭状态</w:t>
                  </w:r>
                  <w:r>
                    <w:rPr>
                      <w:rFonts w:hint="eastAsia" w:ascii="Times New Roman" w:hAnsi="Times New Roman" w:cs="Times New Roman"/>
                      <w:lang w:val="en-US" w:eastAsia="zh-CN"/>
                    </w:rPr>
                    <w:t>。</w:t>
                  </w:r>
                </w:p>
                <w:p w14:paraId="232ABDB1">
                  <w:pPr>
                    <w:pStyle w:val="51"/>
                    <w:keepNext w:val="0"/>
                    <w:keepLines w:val="0"/>
                    <w:numPr>
                      <w:ilvl w:val="0"/>
                      <w:numId w:val="0"/>
                    </w:numPr>
                    <w:suppressLineNumbers w:val="0"/>
                    <w:bidi w:val="0"/>
                    <w:spacing w:before="0" w:beforeAutospacing="0" w:after="0" w:afterAutospacing="0"/>
                    <w:ind w:left="0" w:right="0"/>
                    <w:jc w:val="left"/>
                    <w:rPr>
                      <w:rFonts w:hint="default" w:ascii="Times New Roman" w:hAnsi="Times New Roman" w:cs="Times New Roman"/>
                      <w:lang w:val="en-US" w:eastAsia="zh-CN"/>
                    </w:rPr>
                  </w:pPr>
                  <w:r>
                    <w:rPr>
                      <w:rFonts w:hint="eastAsia" w:cs="Times New Roman"/>
                      <w:lang w:val="en-US" w:eastAsia="zh-CN"/>
                    </w:rPr>
                    <w:t>4.</w:t>
                  </w:r>
                  <w:r>
                    <w:rPr>
                      <w:rFonts w:hint="default" w:ascii="Times New Roman" w:hAnsi="Times New Roman" w:cs="Times New Roman"/>
                      <w:b w:val="0"/>
                      <w:bCs w:val="0"/>
                      <w:lang w:val="en-US" w:eastAsia="zh-CN"/>
                    </w:rPr>
                    <w:t>各工序粒状易产尘物料厂内转移、输送过程采用封闭皮带；无法封闭的产尘点（物料转载、下料口等）采取集气除尘措施</w:t>
                  </w:r>
                  <w:r>
                    <w:rPr>
                      <w:rFonts w:hint="eastAsia" w:cs="Times New Roman"/>
                      <w:b w:val="0"/>
                      <w:bCs w:val="0"/>
                      <w:lang w:val="en-US" w:eastAsia="zh-CN"/>
                    </w:rPr>
                    <w:t>处理，</w:t>
                  </w:r>
                  <w:r>
                    <w:rPr>
                      <w:rFonts w:hint="default" w:ascii="Times New Roman" w:hAnsi="Times New Roman" w:cs="Times New Roman"/>
                      <w:b w:val="0"/>
                      <w:bCs w:val="0"/>
                      <w:lang w:val="en-US" w:eastAsia="zh-CN"/>
                    </w:rPr>
                    <w:t>产品装车道全封闭</w:t>
                  </w:r>
                  <w:r>
                    <w:rPr>
                      <w:rFonts w:hint="eastAsia" w:cs="Times New Roman"/>
                      <w:b w:val="0"/>
                      <w:bCs w:val="0"/>
                      <w:lang w:val="en-US" w:eastAsia="zh-CN"/>
                    </w:rPr>
                    <w:t>。</w:t>
                  </w:r>
                </w:p>
                <w:p w14:paraId="5FFE007D">
                  <w:pPr>
                    <w:pStyle w:val="51"/>
                    <w:keepNext w:val="0"/>
                    <w:keepLines w:val="0"/>
                    <w:numPr>
                      <w:ilvl w:val="0"/>
                      <w:numId w:val="0"/>
                    </w:numPr>
                    <w:suppressLineNumbers w:val="0"/>
                    <w:bidi w:val="0"/>
                    <w:spacing w:before="0" w:beforeAutospacing="0" w:after="0" w:afterAutospacing="0"/>
                    <w:ind w:left="0" w:right="0"/>
                    <w:jc w:val="left"/>
                    <w:rPr>
                      <w:rFonts w:hint="eastAsia" w:cs="Times New Roman"/>
                      <w:b w:val="0"/>
                      <w:bCs w:val="0"/>
                      <w:lang w:val="en-US" w:eastAsia="zh-CN"/>
                    </w:rPr>
                  </w:pPr>
                  <w:r>
                    <w:rPr>
                      <w:rFonts w:hint="eastAsia" w:cs="Times New Roman"/>
                      <w:lang w:val="en-US" w:eastAsia="zh-CN"/>
                    </w:rPr>
                    <w:t>5.</w:t>
                  </w:r>
                  <w:r>
                    <w:rPr>
                      <w:rFonts w:hint="default" w:ascii="Times New Roman" w:hAnsi="Times New Roman" w:cs="Times New Roman"/>
                      <w:b w:val="0"/>
                      <w:bCs w:val="0"/>
                      <w:lang w:val="en-US" w:eastAsia="zh-CN"/>
                    </w:rPr>
                    <w:t>除尘器设卸灰锁风装置，除尘灰设置密闭灰仓，除尘灰应通过吨包袋方式卸灰，不得直接卸落到地面造成二次扬尘污染</w:t>
                  </w:r>
                  <w:r>
                    <w:rPr>
                      <w:rFonts w:hint="eastAsia" w:cs="Times New Roman"/>
                      <w:b w:val="0"/>
                      <w:bCs w:val="0"/>
                      <w:lang w:val="en-US" w:eastAsia="zh-CN"/>
                    </w:rPr>
                    <w:t>。</w:t>
                  </w:r>
                </w:p>
                <w:p w14:paraId="7ED4DD58">
                  <w:pPr>
                    <w:pStyle w:val="51"/>
                    <w:keepNext w:val="0"/>
                    <w:keepLines w:val="0"/>
                    <w:numPr>
                      <w:ilvl w:val="0"/>
                      <w:numId w:val="0"/>
                    </w:numPr>
                    <w:suppressLineNumbers w:val="0"/>
                    <w:bidi w:val="0"/>
                    <w:spacing w:before="0" w:beforeAutospacing="0" w:after="0" w:afterAutospacing="0"/>
                    <w:ind w:left="0" w:right="0"/>
                    <w:jc w:val="left"/>
                    <w:rPr>
                      <w:rFonts w:hint="eastAsia" w:cs="Times New Roman"/>
                      <w:b w:val="0"/>
                      <w:bCs w:val="0"/>
                      <w:lang w:val="en-US" w:eastAsia="zh-CN"/>
                    </w:rPr>
                  </w:pPr>
                  <w:r>
                    <w:rPr>
                      <w:rFonts w:hint="eastAsia" w:cs="Times New Roman"/>
                      <w:b w:val="0"/>
                      <w:bCs w:val="0"/>
                      <w:lang w:val="en-US" w:eastAsia="zh-CN"/>
                    </w:rPr>
                    <w:t>6.厂区</w:t>
                  </w:r>
                  <w:r>
                    <w:rPr>
                      <w:rFonts w:hint="default" w:ascii="Times New Roman" w:hAnsi="Times New Roman" w:cs="Times New Roman"/>
                      <w:b w:val="0"/>
                      <w:bCs w:val="0"/>
                      <w:lang w:val="en-US" w:eastAsia="zh-CN"/>
                    </w:rPr>
                    <w:t>运输道路路面与堆棚地面等应硬化，并采取定期清扫、洒水等抑尘措施；厂区内道路、</w:t>
                  </w:r>
                  <w:r>
                    <w:rPr>
                      <w:rFonts w:hint="eastAsia" w:cs="Times New Roman"/>
                      <w:b w:val="0"/>
                      <w:bCs w:val="0"/>
                      <w:lang w:val="en-US" w:eastAsia="zh-CN"/>
                    </w:rPr>
                    <w:t>堆棚</w:t>
                  </w:r>
                  <w:r>
                    <w:rPr>
                      <w:rFonts w:hint="default" w:ascii="Times New Roman" w:hAnsi="Times New Roman" w:cs="Times New Roman"/>
                      <w:b w:val="0"/>
                      <w:bCs w:val="0"/>
                      <w:lang w:val="en-US" w:eastAsia="zh-CN"/>
                    </w:rPr>
                    <w:t>等路面应硬化，保持清洁，路面无明显可见积尘</w:t>
                  </w:r>
                  <w:r>
                    <w:rPr>
                      <w:rFonts w:hint="eastAsia" w:cs="Times New Roman"/>
                      <w:b w:val="0"/>
                      <w:bCs w:val="0"/>
                      <w:lang w:val="en-US" w:eastAsia="zh-CN"/>
                    </w:rPr>
                    <w:t>。</w:t>
                  </w:r>
                </w:p>
                <w:p w14:paraId="36357A27">
                  <w:pPr>
                    <w:pStyle w:val="51"/>
                    <w:keepNext w:val="0"/>
                    <w:keepLines w:val="0"/>
                    <w:numPr>
                      <w:ilvl w:val="0"/>
                      <w:numId w:val="0"/>
                    </w:numPr>
                    <w:suppressLineNumbers w:val="0"/>
                    <w:bidi w:val="0"/>
                    <w:spacing w:before="0" w:beforeAutospacing="0" w:after="0" w:afterAutospacing="0"/>
                    <w:ind w:left="0" w:right="0"/>
                    <w:jc w:val="left"/>
                    <w:rPr>
                      <w:rFonts w:hint="eastAsia" w:ascii="Times New Roman" w:hAnsi="Times New Roman" w:cs="Times New Roman"/>
                      <w:lang w:val="en-US" w:eastAsia="zh-CN"/>
                    </w:rPr>
                  </w:pPr>
                  <w:r>
                    <w:rPr>
                      <w:rFonts w:hint="eastAsia" w:cs="Times New Roman"/>
                      <w:b w:val="0"/>
                      <w:bCs w:val="0"/>
                      <w:lang w:val="en-US" w:eastAsia="zh-CN"/>
                    </w:rPr>
                    <w:t>7.</w:t>
                  </w:r>
                  <w:r>
                    <w:rPr>
                      <w:rFonts w:hint="default" w:ascii="Times New Roman" w:hAnsi="Times New Roman" w:cs="Times New Roman"/>
                      <w:b w:val="0"/>
                      <w:bCs w:val="0"/>
                      <w:lang w:val="en-US" w:eastAsia="zh-CN"/>
                    </w:rPr>
                    <w:t>原料</w:t>
                  </w:r>
                  <w:r>
                    <w:rPr>
                      <w:rFonts w:hint="eastAsia" w:cs="Times New Roman"/>
                      <w:b w:val="0"/>
                      <w:bCs w:val="0"/>
                      <w:lang w:val="en-US" w:eastAsia="zh-CN"/>
                    </w:rPr>
                    <w:t>和</w:t>
                  </w:r>
                  <w:r>
                    <w:rPr>
                      <w:rFonts w:hint="default" w:ascii="Times New Roman" w:hAnsi="Times New Roman" w:cs="Times New Roman"/>
                      <w:b w:val="0"/>
                      <w:bCs w:val="0"/>
                      <w:lang w:val="en-US" w:eastAsia="zh-CN"/>
                    </w:rPr>
                    <w:t>成品的进出口处，配备</w:t>
                  </w:r>
                  <w:r>
                    <w:rPr>
                      <w:rFonts w:hint="eastAsia" w:cs="Times New Roman"/>
                      <w:b w:val="0"/>
                      <w:bCs w:val="0"/>
                      <w:lang w:val="en-US" w:eastAsia="zh-CN"/>
                    </w:rPr>
                    <w:t>车辆冲洗装置，</w:t>
                  </w:r>
                  <w:r>
                    <w:rPr>
                      <w:rFonts w:hint="default" w:ascii="Times New Roman" w:hAnsi="Times New Roman" w:cs="Times New Roman"/>
                      <w:b w:val="0"/>
                      <w:bCs w:val="0"/>
                      <w:lang w:val="en-US" w:eastAsia="zh-CN"/>
                    </w:rPr>
                    <w:t>洗车平台四周设置洗车废水收集</w:t>
                  </w:r>
                  <w:r>
                    <w:rPr>
                      <w:rFonts w:hint="eastAsia" w:cs="Times New Roman"/>
                      <w:b w:val="0"/>
                      <w:bCs w:val="0"/>
                      <w:lang w:val="en-US" w:eastAsia="zh-CN"/>
                    </w:rPr>
                    <w:t>池</w:t>
                  </w:r>
                  <w:r>
                    <w:rPr>
                      <w:rFonts w:hint="default" w:ascii="Times New Roman" w:hAnsi="Times New Roman" w:cs="Times New Roman"/>
                      <w:b w:val="0"/>
                      <w:bCs w:val="0"/>
                      <w:lang w:val="en-US" w:eastAsia="zh-CN"/>
                    </w:rPr>
                    <w:t>设施。</w:t>
                  </w:r>
                </w:p>
              </w:tc>
              <w:tc>
                <w:tcPr>
                  <w:tcW w:w="870" w:type="dxa"/>
                  <w:noWrap w:val="0"/>
                  <w:vAlign w:val="center"/>
                </w:tcPr>
                <w:p w14:paraId="717A0030">
                  <w:pPr>
                    <w:pStyle w:val="51"/>
                    <w:keepNext w:val="0"/>
                    <w:keepLines w:val="0"/>
                    <w:suppressLineNumbers w:val="0"/>
                    <w:bidi w:val="0"/>
                    <w:spacing w:before="0" w:beforeAutospacing="0" w:after="0" w:afterAutospacing="0"/>
                    <w:ind w:left="0" w:right="0"/>
                    <w:jc w:val="center"/>
                    <w:rPr>
                      <w:rFonts w:hint="default" w:cs="Times New Roman"/>
                      <w:b w:val="0"/>
                      <w:bCs w:val="0"/>
                      <w:lang w:val="en-US" w:eastAsia="zh-CN"/>
                    </w:rPr>
                  </w:pPr>
                  <w:r>
                    <w:rPr>
                      <w:rFonts w:hint="eastAsia" w:cs="Times New Roman"/>
                      <w:b w:val="0"/>
                      <w:bCs w:val="0"/>
                      <w:lang w:val="en-US" w:eastAsia="zh-CN"/>
                    </w:rPr>
                    <w:t>符合</w:t>
                  </w:r>
                </w:p>
              </w:tc>
            </w:tr>
            <w:tr w14:paraId="6A708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249" w:type="dxa"/>
                  <w:gridSpan w:val="2"/>
                  <w:noWrap w:val="0"/>
                  <w:vAlign w:val="center"/>
                </w:tcPr>
                <w:p w14:paraId="6968CCB6">
                  <w:pPr>
                    <w:pStyle w:val="51"/>
                    <w:keepNext w:val="0"/>
                    <w:keepLines w:val="0"/>
                    <w:suppressLineNumbers w:val="0"/>
                    <w:bidi w:val="0"/>
                    <w:spacing w:before="0" w:beforeAutospacing="0" w:after="0" w:afterAutospacing="0"/>
                    <w:ind w:left="0" w:right="0"/>
                    <w:jc w:val="center"/>
                    <w:rPr>
                      <w:rFonts w:hint="eastAsia" w:cs="Times New Roman"/>
                      <w:b w:val="0"/>
                      <w:bCs w:val="0"/>
                      <w:highlight w:val="none"/>
                      <w:lang w:val="en-US" w:eastAsia="zh-CN"/>
                    </w:rPr>
                  </w:pPr>
                  <w:r>
                    <w:rPr>
                      <w:rFonts w:hint="eastAsia" w:cs="Times New Roman"/>
                      <w:b w:val="0"/>
                      <w:bCs w:val="0"/>
                      <w:highlight w:val="none"/>
                      <w:lang w:val="en-US" w:eastAsia="zh-CN"/>
                    </w:rPr>
                    <w:t>排放限值</w:t>
                  </w:r>
                </w:p>
              </w:tc>
              <w:tc>
                <w:tcPr>
                  <w:tcW w:w="3144" w:type="dxa"/>
                  <w:noWrap w:val="0"/>
                  <w:vAlign w:val="center"/>
                </w:tcPr>
                <w:p w14:paraId="543C7C7D">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1.PM排放浓度不超过10mg/m</w:t>
                  </w:r>
                  <w:r>
                    <w:rPr>
                      <w:rFonts w:hint="default" w:ascii="Times New Roman" w:hAnsi="Times New Roman" w:cs="Times New Roman"/>
                      <w:b w:val="0"/>
                      <w:bCs w:val="0"/>
                      <w:highlight w:val="none"/>
                      <w:vertAlign w:val="superscript"/>
                      <w:lang w:val="en-US" w:eastAsia="zh-CN"/>
                    </w:rPr>
                    <w:t>3</w:t>
                  </w:r>
                  <w:r>
                    <w:rPr>
                      <w:rFonts w:hint="default" w:ascii="Times New Roman" w:hAnsi="Times New Roman" w:cs="Times New Roman"/>
                      <w:b w:val="0"/>
                      <w:bCs w:val="0"/>
                      <w:highlight w:val="none"/>
                      <w:lang w:val="en-US" w:eastAsia="zh-CN"/>
                    </w:rPr>
                    <w:t>。</w:t>
                  </w:r>
                </w:p>
                <w:p w14:paraId="75C6E3C4">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2.燃气锅炉排放限值：</w:t>
                  </w:r>
                </w:p>
                <w:p w14:paraId="63F1C4E0">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（1）PM、SO2、NOx排放浓度分别不高于：5、10、50/30</w:t>
                  </w:r>
                  <w:r>
                    <w:rPr>
                      <w:rFonts w:hint="default" w:ascii="Times New Roman" w:hAnsi="Times New Roman" w:cs="Times New Roman"/>
                      <w:b w:val="0"/>
                      <w:bCs w:val="0"/>
                      <w:highlight w:val="none"/>
                      <w:vertAlign w:val="superscript"/>
                      <w:lang w:val="en-US" w:eastAsia="zh-CN"/>
                    </w:rPr>
                    <w:t>【1】</w:t>
                  </w:r>
                  <w:r>
                    <w:rPr>
                      <w:rFonts w:hint="default" w:ascii="Times New Roman" w:hAnsi="Times New Roman" w:cs="Times New Roman"/>
                      <w:b w:val="0"/>
                      <w:bCs w:val="0"/>
                      <w:highlight w:val="none"/>
                      <w:lang w:val="en-US" w:eastAsia="zh-CN"/>
                    </w:rPr>
                    <w:t>mg/m</w:t>
                  </w:r>
                  <w:r>
                    <w:rPr>
                      <w:rFonts w:hint="default" w:ascii="Times New Roman" w:hAnsi="Times New Roman" w:cs="Times New Roman"/>
                      <w:b w:val="0"/>
                      <w:bCs w:val="0"/>
                      <w:highlight w:val="none"/>
                      <w:vertAlign w:val="superscript"/>
                      <w:lang w:val="en-US" w:eastAsia="zh-CN"/>
                    </w:rPr>
                    <w:t>3</w:t>
                  </w:r>
                  <w:r>
                    <w:rPr>
                      <w:rFonts w:hint="default" w:ascii="Times New Roman" w:hAnsi="Times New Roman" w:cs="Times New Roman"/>
                      <w:b w:val="0"/>
                      <w:bCs w:val="0"/>
                      <w:highlight w:val="none"/>
                      <w:lang w:val="en-US" w:eastAsia="zh-CN"/>
                    </w:rPr>
                    <w:t>（基准氧含量：燃气3.5%）；</w:t>
                  </w:r>
                </w:p>
                <w:p w14:paraId="4447FC22">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（2）氨逃逸排放浓度不高于8mg/m</w:t>
                  </w:r>
                  <w:r>
                    <w:rPr>
                      <w:rFonts w:hint="default" w:ascii="Times New Roman" w:hAnsi="Times New Roman" w:cs="Times New Roman"/>
                      <w:b w:val="0"/>
                      <w:bCs w:val="0"/>
                      <w:highlight w:val="none"/>
                      <w:vertAlign w:val="superscript"/>
                      <w:lang w:val="en-US" w:eastAsia="zh-CN"/>
                    </w:rPr>
                    <w:t>3</w:t>
                  </w:r>
                  <w:r>
                    <w:rPr>
                      <w:rFonts w:hint="default" w:ascii="Times New Roman" w:hAnsi="Times New Roman" w:cs="Times New Roman"/>
                      <w:b w:val="0"/>
                      <w:bCs w:val="0"/>
                      <w:highlight w:val="none"/>
                      <w:lang w:val="en-US" w:eastAsia="zh-CN"/>
                    </w:rPr>
                    <w:t>（使用氨水、尿素作还原剂）。</w:t>
                  </w:r>
                </w:p>
              </w:tc>
              <w:tc>
                <w:tcPr>
                  <w:tcW w:w="2214" w:type="dxa"/>
                  <w:noWrap w:val="0"/>
                  <w:vAlign w:val="center"/>
                </w:tcPr>
                <w:p w14:paraId="505D5CD2">
                  <w:pPr>
                    <w:pStyle w:val="51"/>
                    <w:keepNext w:val="0"/>
                    <w:keepLines w:val="0"/>
                    <w:suppressLineNumbers w:val="0"/>
                    <w:bidi w:val="0"/>
                    <w:spacing w:before="0" w:beforeAutospacing="0" w:after="0" w:afterAutospacing="0"/>
                    <w:ind w:left="0" w:right="0"/>
                    <w:jc w:val="center"/>
                    <w:rPr>
                      <w:rFonts w:hint="eastAsia" w:cs="Times New Roman"/>
                      <w:lang w:val="en-US" w:eastAsia="zh-CN"/>
                    </w:rPr>
                  </w:pPr>
                  <w:r>
                    <w:rPr>
                      <w:rFonts w:hint="eastAsia" w:cs="Times New Roman"/>
                      <w:lang w:val="en-US" w:eastAsia="zh-CN"/>
                    </w:rPr>
                    <w:t>1.</w:t>
                  </w:r>
                  <w:r>
                    <w:rPr>
                      <w:rFonts w:hint="default" w:ascii="Times New Roman" w:hAnsi="Times New Roman" w:cs="Times New Roman"/>
                      <w:lang w:val="en-US" w:eastAsia="zh-CN"/>
                    </w:rPr>
                    <w:t>本项目拟执行PM：10mg/m³限值要求</w:t>
                  </w:r>
                  <w:r>
                    <w:rPr>
                      <w:rFonts w:hint="eastAsia" w:cs="Times New Roman"/>
                      <w:lang w:val="en-US" w:eastAsia="zh-CN"/>
                    </w:rPr>
                    <w:t>。</w:t>
                  </w:r>
                </w:p>
                <w:p w14:paraId="7ADC2215">
                  <w:pPr>
                    <w:pStyle w:val="51"/>
                    <w:keepNext w:val="0"/>
                    <w:keepLines w:val="0"/>
                    <w:suppressLineNumbers w:val="0"/>
                    <w:bidi w:val="0"/>
                    <w:spacing w:before="0" w:beforeAutospacing="0" w:after="0" w:afterAutospacing="0"/>
                    <w:ind w:left="0" w:right="0"/>
                    <w:jc w:val="center"/>
                    <w:rPr>
                      <w:rFonts w:hint="default" w:cs="Times New Roman"/>
                      <w:b w:val="0"/>
                      <w:bCs w:val="0"/>
                      <w:lang w:val="en-US" w:eastAsia="zh-CN"/>
                    </w:rPr>
                  </w:pPr>
                  <w:r>
                    <w:rPr>
                      <w:rFonts w:hint="eastAsia" w:cs="Times New Roman"/>
                      <w:lang w:val="en-US" w:eastAsia="zh-CN"/>
                    </w:rPr>
                    <w:t>2.本项目不涉及锅炉。</w:t>
                  </w:r>
                </w:p>
              </w:tc>
              <w:tc>
                <w:tcPr>
                  <w:tcW w:w="870" w:type="dxa"/>
                  <w:noWrap w:val="0"/>
                  <w:vAlign w:val="center"/>
                </w:tcPr>
                <w:p w14:paraId="28942967">
                  <w:pPr>
                    <w:pStyle w:val="51"/>
                    <w:keepNext w:val="0"/>
                    <w:keepLines w:val="0"/>
                    <w:suppressLineNumbers w:val="0"/>
                    <w:bidi w:val="0"/>
                    <w:spacing w:before="0" w:beforeAutospacing="0" w:after="0" w:afterAutospacing="0"/>
                    <w:ind w:left="0" w:right="0"/>
                    <w:jc w:val="center"/>
                    <w:rPr>
                      <w:rFonts w:hint="default" w:cs="Times New Roman"/>
                      <w:b w:val="0"/>
                      <w:bCs w:val="0"/>
                      <w:lang w:val="en-US" w:eastAsia="zh-CN"/>
                    </w:rPr>
                  </w:pPr>
                  <w:r>
                    <w:rPr>
                      <w:rFonts w:hint="eastAsia" w:cs="Times New Roman"/>
                      <w:b w:val="0"/>
                      <w:bCs w:val="0"/>
                      <w:lang w:val="en-US" w:eastAsia="zh-CN"/>
                    </w:rPr>
                    <w:t>符合</w:t>
                  </w:r>
                </w:p>
              </w:tc>
            </w:tr>
            <w:tr w14:paraId="79276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249" w:type="dxa"/>
                  <w:gridSpan w:val="2"/>
                  <w:noWrap w:val="0"/>
                  <w:vAlign w:val="center"/>
                </w:tcPr>
                <w:p w14:paraId="5644168E">
                  <w:pPr>
                    <w:pStyle w:val="51"/>
                    <w:keepNext w:val="0"/>
                    <w:keepLines w:val="0"/>
                    <w:suppressLineNumbers w:val="0"/>
                    <w:bidi w:val="0"/>
                    <w:spacing w:before="0" w:beforeAutospacing="0" w:after="0" w:afterAutospacing="0"/>
                    <w:ind w:left="0" w:right="0"/>
                    <w:jc w:val="center"/>
                    <w:rPr>
                      <w:rFonts w:hint="eastAsia" w:cs="Times New Roman"/>
                      <w:b w:val="0"/>
                      <w:bCs w:val="0"/>
                      <w:highlight w:val="none"/>
                      <w:lang w:val="en-US" w:eastAsia="zh-CN"/>
                    </w:rPr>
                  </w:pPr>
                  <w:r>
                    <w:rPr>
                      <w:rFonts w:hint="eastAsia" w:cs="Times New Roman"/>
                      <w:b w:val="0"/>
                      <w:bCs w:val="0"/>
                      <w:highlight w:val="none"/>
                      <w:lang w:val="en-US" w:eastAsia="zh-CN"/>
                    </w:rPr>
                    <w:t>监测监控水平</w:t>
                  </w:r>
                </w:p>
              </w:tc>
              <w:tc>
                <w:tcPr>
                  <w:tcW w:w="3144" w:type="dxa"/>
                  <w:noWrap w:val="0"/>
                  <w:vAlign w:val="center"/>
                </w:tcPr>
                <w:p w14:paraId="014E39DE">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1.有组织排放口按排污许可、环境影响评价或环境现状评估等相关要求安装烟气排放自动监控设施（CEMS），并按要求与省厅联网；CEMS数据至少保存最近12个月的1分钟均值、36个月的1小时均值及60个月的日均值和月均值。（投产或安装时间不满一年以上的企业，以现有数据为准）；</w:t>
                  </w:r>
                </w:p>
                <w:p w14:paraId="4363B98A">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2.按生态环境部门要求规范设置废气排放口标志牌、二维码标识和采样平台、采样孔；各废气排放口按照排污许可要求开展自行监测；</w:t>
                  </w:r>
                </w:p>
                <w:p w14:paraId="6DE200D6">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3.厂区运输道路、堆场、堆棚、破碎、筛分、石材干法加工区、物料装卸等产尘点周边安装高清视频监控，视频监控数据保存6个月以上。</w:t>
                  </w:r>
                </w:p>
              </w:tc>
              <w:tc>
                <w:tcPr>
                  <w:tcW w:w="2214" w:type="dxa"/>
                  <w:noWrap w:val="0"/>
                  <w:vAlign w:val="center"/>
                </w:tcPr>
                <w:p w14:paraId="34CC0CF7">
                  <w:pPr>
                    <w:pStyle w:val="51"/>
                    <w:keepNext w:val="0"/>
                    <w:keepLines w:val="0"/>
                    <w:suppressLineNumbers w:val="0"/>
                    <w:bidi w:val="0"/>
                    <w:spacing w:before="0" w:beforeAutospacing="0" w:after="0" w:afterAutospacing="0"/>
                    <w:ind w:left="0" w:right="0"/>
                    <w:jc w:val="left"/>
                    <w:rPr>
                      <w:rFonts w:hint="eastAsia" w:cs="Times New Roman"/>
                      <w:b w:val="0"/>
                      <w:bCs w:val="0"/>
                      <w:lang w:val="en-US" w:eastAsia="zh-CN"/>
                    </w:rPr>
                  </w:pPr>
                  <w:r>
                    <w:rPr>
                      <w:rFonts w:hint="eastAsia" w:cs="Times New Roman"/>
                      <w:b w:val="0"/>
                      <w:bCs w:val="0"/>
                      <w:lang w:val="en-US" w:eastAsia="zh-CN"/>
                    </w:rPr>
                    <w:t>1.</w:t>
                  </w:r>
                  <w:r>
                    <w:rPr>
                      <w:rFonts w:hint="default" w:ascii="Times New Roman" w:hAnsi="Times New Roman" w:cs="Times New Roman"/>
                      <w:b w:val="0"/>
                      <w:bCs w:val="0"/>
                      <w:lang w:val="en-US" w:eastAsia="zh-CN"/>
                    </w:rPr>
                    <w:t>有组织排放口按排污许可、环境影响评价等相关要求安装烟气排放自动监控设施（CEMS），并按要求与省厅联网；CEMS数据至少保存最近12个月的1分钟均值、36个月的1小时均值及60个月的日均值和月均值。（投产或安装时间不满一年以上的企业，以现有数据为准）</w:t>
                  </w:r>
                  <w:r>
                    <w:rPr>
                      <w:rFonts w:hint="eastAsia" w:cs="Times New Roman"/>
                      <w:b w:val="0"/>
                      <w:bCs w:val="0"/>
                      <w:lang w:val="en-US" w:eastAsia="zh-CN"/>
                    </w:rPr>
                    <w:t>。</w:t>
                  </w:r>
                </w:p>
                <w:p w14:paraId="755C5E15">
                  <w:pPr>
                    <w:pStyle w:val="51"/>
                    <w:keepNext w:val="0"/>
                    <w:keepLines w:val="0"/>
                    <w:suppressLineNumbers w:val="0"/>
                    <w:bidi w:val="0"/>
                    <w:spacing w:before="0" w:beforeAutospacing="0" w:after="0" w:afterAutospacing="0"/>
                    <w:ind w:left="0" w:right="0"/>
                    <w:jc w:val="left"/>
                    <w:rPr>
                      <w:rFonts w:hint="eastAsia" w:cs="Times New Roman"/>
                      <w:b w:val="0"/>
                      <w:bCs w:val="0"/>
                      <w:lang w:val="en-US" w:eastAsia="zh-CN"/>
                    </w:rPr>
                  </w:pPr>
                  <w:r>
                    <w:rPr>
                      <w:rFonts w:hint="eastAsia" w:cs="Times New Roman"/>
                      <w:b w:val="0"/>
                      <w:bCs w:val="0"/>
                      <w:lang w:val="en-US" w:eastAsia="zh-CN"/>
                    </w:rPr>
                    <w:t>2.</w:t>
                  </w:r>
                  <w:r>
                    <w:rPr>
                      <w:rFonts w:hint="default" w:ascii="Times New Roman" w:hAnsi="Times New Roman" w:cs="Times New Roman"/>
                      <w:b w:val="0"/>
                      <w:bCs w:val="0"/>
                      <w:lang w:val="en-US" w:eastAsia="zh-CN"/>
                    </w:rPr>
                    <w:t>按生态环境部门要求规范设置废气排放口标志牌、二维码标识和采样平台、采样孔；各废气排放口按照排污许可要求开展自行监测</w:t>
                  </w:r>
                  <w:r>
                    <w:rPr>
                      <w:rFonts w:hint="eastAsia" w:cs="Times New Roman"/>
                      <w:b w:val="0"/>
                      <w:bCs w:val="0"/>
                      <w:lang w:val="en-US" w:eastAsia="zh-CN"/>
                    </w:rPr>
                    <w:t>。</w:t>
                  </w:r>
                </w:p>
                <w:p w14:paraId="078652E2">
                  <w:pPr>
                    <w:pStyle w:val="51"/>
                    <w:keepNext w:val="0"/>
                    <w:keepLines w:val="0"/>
                    <w:suppressLineNumbers w:val="0"/>
                    <w:bidi w:val="0"/>
                    <w:spacing w:before="0" w:beforeAutospacing="0" w:after="0" w:afterAutospacing="0"/>
                    <w:ind w:left="0" w:right="0"/>
                    <w:jc w:val="left"/>
                    <w:rPr>
                      <w:rFonts w:hint="default" w:cs="Times New Roman"/>
                      <w:b w:val="0"/>
                      <w:bCs w:val="0"/>
                      <w:lang w:val="en-US" w:eastAsia="zh-CN"/>
                    </w:rPr>
                  </w:pPr>
                  <w:r>
                    <w:rPr>
                      <w:rFonts w:hint="eastAsia" w:cs="Times New Roman"/>
                      <w:b w:val="0"/>
                      <w:bCs w:val="0"/>
                      <w:lang w:val="en-US" w:eastAsia="zh-CN"/>
                    </w:rPr>
                    <w:t>3.</w:t>
                  </w:r>
                  <w:r>
                    <w:rPr>
                      <w:rFonts w:hint="default" w:ascii="Times New Roman" w:hAnsi="Times New Roman" w:cs="Times New Roman"/>
                      <w:b w:val="0"/>
                      <w:bCs w:val="0"/>
                      <w:lang w:val="en-US" w:eastAsia="zh-CN"/>
                    </w:rPr>
                    <w:t>厂区运输道路、堆棚、破碎、筛分、物料装卸等产尘点周边安装高清视频监控，视频监控数据保存6个月以上。</w:t>
                  </w:r>
                </w:p>
              </w:tc>
              <w:tc>
                <w:tcPr>
                  <w:tcW w:w="870" w:type="dxa"/>
                  <w:noWrap w:val="0"/>
                  <w:vAlign w:val="center"/>
                </w:tcPr>
                <w:p w14:paraId="73C5828A">
                  <w:pPr>
                    <w:pStyle w:val="51"/>
                    <w:keepNext w:val="0"/>
                    <w:keepLines w:val="0"/>
                    <w:suppressLineNumbers w:val="0"/>
                    <w:bidi w:val="0"/>
                    <w:spacing w:before="0" w:beforeAutospacing="0" w:after="0" w:afterAutospacing="0"/>
                    <w:ind w:left="0" w:right="0"/>
                    <w:jc w:val="center"/>
                    <w:rPr>
                      <w:rFonts w:hint="default" w:cs="Times New Roman"/>
                      <w:b w:val="0"/>
                      <w:bCs w:val="0"/>
                      <w:lang w:val="en-US" w:eastAsia="zh-CN"/>
                    </w:rPr>
                  </w:pPr>
                  <w:r>
                    <w:rPr>
                      <w:rFonts w:hint="eastAsia" w:cs="Times New Roman"/>
                      <w:b w:val="0"/>
                      <w:bCs w:val="0"/>
                      <w:lang w:val="en-US" w:eastAsia="zh-CN"/>
                    </w:rPr>
                    <w:t>符合</w:t>
                  </w:r>
                </w:p>
              </w:tc>
            </w:tr>
            <w:tr w14:paraId="5A351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9" w:hRule="atLeast"/>
              </w:trPr>
              <w:tc>
                <w:tcPr>
                  <w:tcW w:w="624" w:type="dxa"/>
                  <w:vMerge w:val="restart"/>
                  <w:noWrap w:val="0"/>
                  <w:vAlign w:val="center"/>
                </w:tcPr>
                <w:p w14:paraId="5131982C">
                  <w:pPr>
                    <w:pStyle w:val="51"/>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环境管理水平</w:t>
                  </w:r>
                </w:p>
              </w:tc>
              <w:tc>
                <w:tcPr>
                  <w:tcW w:w="625" w:type="dxa"/>
                  <w:noWrap w:val="0"/>
                  <w:vAlign w:val="center"/>
                </w:tcPr>
                <w:p w14:paraId="58CD921B">
                  <w:pPr>
                    <w:pStyle w:val="51"/>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环保档案</w:t>
                  </w:r>
                </w:p>
              </w:tc>
              <w:tc>
                <w:tcPr>
                  <w:tcW w:w="3144" w:type="dxa"/>
                  <w:noWrap w:val="0"/>
                  <w:vAlign w:val="center"/>
                </w:tcPr>
                <w:p w14:paraId="315E8FF2">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1.环评批复文件和竣工环保验收文件或环境现状评估备案证明；</w:t>
                  </w:r>
                </w:p>
                <w:p w14:paraId="395AA9DC">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2.国家版排污许可证；</w:t>
                  </w:r>
                </w:p>
                <w:p w14:paraId="70373315">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3.环境管理制度（有组织、无组织排放长效管理机制，主要包括日常操作规程、岗位责任制度、污染物排放公示制度和定期巡查维护制度等）；</w:t>
                  </w:r>
                </w:p>
                <w:p w14:paraId="68E89B34">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4.废气污染治理设施稳定运行管理规程；</w:t>
                  </w:r>
                </w:p>
                <w:p w14:paraId="14F7EA00">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5.一年内废气监测报告（符合排污许可证监测项目及频次要求）。</w:t>
                  </w:r>
                </w:p>
              </w:tc>
              <w:tc>
                <w:tcPr>
                  <w:tcW w:w="2214" w:type="dxa"/>
                  <w:noWrap w:val="0"/>
                  <w:vAlign w:val="center"/>
                </w:tcPr>
                <w:p w14:paraId="6F493B08">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highlight w:val="none"/>
                      <w:lang w:val="en-US" w:eastAsia="zh-CN"/>
                    </w:rPr>
                  </w:pPr>
                  <w:r>
                    <w:rPr>
                      <w:rFonts w:hint="default" w:ascii="Times New Roman" w:hAnsi="Times New Roman" w:cs="Times New Roman"/>
                      <w:lang w:val="en-US" w:eastAsia="zh-CN"/>
                    </w:rPr>
                    <w:t>本项目处于环评阶段，待建成投产后，拟按要求保证环保档案资料齐全①环评批复文件和竣工验收文件；②国家版排污许可证，并按要求开展自行监测和信息披露，有规范的排气筒监测平台和排污口标识；</w:t>
                  </w:r>
                  <w:r>
                    <w:rPr>
                      <w:rFonts w:hint="eastAsia" w:cs="Times New Roman"/>
                      <w:lang w:val="en-US" w:eastAsia="zh-CN"/>
                    </w:rPr>
                    <w:t>③环境管理制度制定</w:t>
                  </w:r>
                  <w:r>
                    <w:rPr>
                      <w:rFonts w:hint="default" w:ascii="Times New Roman" w:hAnsi="Times New Roman" w:cs="Times New Roman"/>
                      <w:lang w:val="en-US" w:eastAsia="zh-CN"/>
                    </w:rPr>
                    <w:t>；</w:t>
                  </w:r>
                  <w:r>
                    <w:rPr>
                      <w:rFonts w:hint="eastAsia" w:cs="Times New Roman"/>
                      <w:lang w:val="en-US" w:eastAsia="zh-CN"/>
                    </w:rPr>
                    <w:t>④</w:t>
                  </w:r>
                  <w:r>
                    <w:rPr>
                      <w:rFonts w:hint="default" w:ascii="Times New Roman" w:hAnsi="Times New Roman" w:cs="Times New Roman"/>
                      <w:lang w:val="en-US" w:eastAsia="zh-CN"/>
                    </w:rPr>
                    <w:t>废气治理设施运行管理规程；</w:t>
                  </w:r>
                  <w:r>
                    <w:rPr>
                      <w:rFonts w:hint="eastAsia" w:cs="Times New Roman"/>
                      <w:lang w:val="en-US" w:eastAsia="zh-CN"/>
                    </w:rPr>
                    <w:t>⑤</w:t>
                  </w:r>
                  <w:r>
                    <w:rPr>
                      <w:rFonts w:hint="default" w:ascii="Times New Roman" w:hAnsi="Times New Roman" w:cs="Times New Roman"/>
                      <w:lang w:val="en-US" w:eastAsia="zh-CN"/>
                    </w:rPr>
                    <w:t>一年内废气监测报告</w:t>
                  </w:r>
                  <w:r>
                    <w:rPr>
                      <w:rFonts w:hint="eastAsia" w:cs="Times New Roman"/>
                      <w:lang w:val="en-US" w:eastAsia="zh-CN"/>
                    </w:rPr>
                    <w:t>。</w:t>
                  </w:r>
                </w:p>
              </w:tc>
              <w:tc>
                <w:tcPr>
                  <w:tcW w:w="870" w:type="dxa"/>
                  <w:noWrap w:val="0"/>
                  <w:vAlign w:val="center"/>
                </w:tcPr>
                <w:p w14:paraId="07E8D38E">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72738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5" w:hRule="atLeast"/>
              </w:trPr>
              <w:tc>
                <w:tcPr>
                  <w:tcW w:w="624" w:type="dxa"/>
                  <w:vMerge w:val="continue"/>
                  <w:noWrap w:val="0"/>
                  <w:vAlign w:val="center"/>
                </w:tcPr>
                <w:p w14:paraId="443A2C09">
                  <w:pPr>
                    <w:pStyle w:val="51"/>
                    <w:keepNext w:val="0"/>
                    <w:keepLines w:val="0"/>
                    <w:suppressLineNumbers w:val="0"/>
                    <w:bidi w:val="0"/>
                    <w:spacing w:before="0" w:beforeAutospacing="0" w:after="0" w:afterAutospacing="0"/>
                    <w:ind w:left="0" w:right="0"/>
                    <w:jc w:val="center"/>
                    <w:rPr>
                      <w:rFonts w:hint="eastAsia" w:cs="Times New Roman"/>
                      <w:highlight w:val="none"/>
                      <w:lang w:val="en-US" w:eastAsia="zh-CN"/>
                    </w:rPr>
                  </w:pPr>
                </w:p>
              </w:tc>
              <w:tc>
                <w:tcPr>
                  <w:tcW w:w="625" w:type="dxa"/>
                  <w:noWrap w:val="0"/>
                  <w:vAlign w:val="center"/>
                </w:tcPr>
                <w:p w14:paraId="3A9FF3FF">
                  <w:pPr>
                    <w:pStyle w:val="51"/>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台账记录</w:t>
                  </w:r>
                </w:p>
              </w:tc>
              <w:tc>
                <w:tcPr>
                  <w:tcW w:w="3144" w:type="dxa"/>
                  <w:noWrap w:val="0"/>
                  <w:vAlign w:val="center"/>
                </w:tcPr>
                <w:p w14:paraId="36778FC4">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1.生产设施运行管理信息（生产时间、运行负荷、产品产量等）；</w:t>
                  </w:r>
                </w:p>
                <w:p w14:paraId="7B8A62B0">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2.废气污染治理设施运行、维护、管理信息（包括但不限于废气收集系统和污染治理设施的运行时间、废气处理量、维护记录、操作参数、设计规格、运行要求等）；</w:t>
                  </w:r>
                </w:p>
                <w:p w14:paraId="1DCF3933">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3.监测记录信息（主要污染排放口废气排放记录等）；</w:t>
                  </w:r>
                </w:p>
                <w:p w14:paraId="641BD524">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4.主要原辅材料消耗记录；</w:t>
                  </w:r>
                </w:p>
                <w:p w14:paraId="472D5216">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5.燃料消耗记录；</w:t>
                  </w:r>
                </w:p>
                <w:p w14:paraId="6FD008A2">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6.固废、危废暂存、处理记录；</w:t>
                  </w:r>
                </w:p>
                <w:p w14:paraId="1090AB15">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7.运输车辆、厂内车辆、非道路移动机械电子台账（进出场时间、车辆或非道路移动机械信息、运送货物名称及运量等）。</w:t>
                  </w:r>
                </w:p>
              </w:tc>
              <w:tc>
                <w:tcPr>
                  <w:tcW w:w="2214" w:type="dxa"/>
                  <w:noWrap w:val="0"/>
                  <w:vAlign w:val="center"/>
                </w:tcPr>
                <w:p w14:paraId="7F11187D">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lang w:val="en-US" w:eastAsia="zh-CN"/>
                    </w:rPr>
                  </w:pPr>
                  <w:r>
                    <w:rPr>
                      <w:rFonts w:hint="eastAsia" w:cs="Times New Roman"/>
                      <w:lang w:val="en-US" w:eastAsia="zh-CN"/>
                    </w:rPr>
                    <w:t>1.企业后续生产详细记录</w:t>
                  </w:r>
                  <w:r>
                    <w:rPr>
                      <w:rFonts w:hint="default" w:ascii="Times New Roman" w:hAnsi="Times New Roman" w:cs="Times New Roman"/>
                      <w:lang w:val="en-US" w:eastAsia="zh-CN"/>
                    </w:rPr>
                    <w:t>生产设施运行管理信息（生产时间、运行负荷、产品产量等）；</w:t>
                  </w:r>
                  <w:r>
                    <w:rPr>
                      <w:rFonts w:hint="eastAsia" w:ascii="Times New Roman" w:hAnsi="Times New Roman" w:cs="Times New Roman"/>
                      <w:lang w:val="en-US" w:eastAsia="zh-CN"/>
                    </w:rPr>
                    <w:t>2.</w:t>
                  </w:r>
                  <w:r>
                    <w:rPr>
                      <w:rFonts w:hint="default" w:ascii="Times New Roman" w:hAnsi="Times New Roman" w:cs="Times New Roman"/>
                      <w:lang w:val="en-US" w:eastAsia="zh-CN"/>
                    </w:rPr>
                    <w:t>废气污染治理设施运行管理信息（除尘</w:t>
                  </w:r>
                  <w:r>
                    <w:rPr>
                      <w:rFonts w:hint="eastAsia" w:cs="Times New Roman"/>
                      <w:lang w:val="en-US" w:eastAsia="zh-CN"/>
                    </w:rPr>
                    <w:t>滤袋</w:t>
                  </w:r>
                  <w:r>
                    <w:rPr>
                      <w:rFonts w:hint="default" w:ascii="Times New Roman" w:hAnsi="Times New Roman" w:cs="Times New Roman"/>
                      <w:lang w:val="en-US" w:eastAsia="zh-CN"/>
                    </w:rPr>
                    <w:t>更换量和时间）；</w:t>
                  </w:r>
                </w:p>
                <w:p w14:paraId="73D356C8">
                  <w:pPr>
                    <w:pStyle w:val="51"/>
                    <w:keepNext w:val="0"/>
                    <w:keepLines w:val="0"/>
                    <w:suppressLineNumbers w:val="0"/>
                    <w:bidi w:val="0"/>
                    <w:spacing w:before="0" w:beforeAutospacing="0" w:after="0" w:afterAutospacing="0"/>
                    <w:ind w:left="0" w:right="0"/>
                    <w:jc w:val="left"/>
                    <w:rPr>
                      <w:rFonts w:hint="eastAsia" w:cs="Times New Roman"/>
                      <w:highlight w:val="none"/>
                      <w:lang w:val="en-US" w:eastAsia="zh-CN"/>
                    </w:rPr>
                  </w:pPr>
                  <w:r>
                    <w:rPr>
                      <w:rFonts w:hint="eastAsia" w:ascii="Times New Roman" w:hAnsi="Times New Roman" w:cs="Times New Roman"/>
                      <w:lang w:val="en-US" w:eastAsia="zh-CN"/>
                    </w:rPr>
                    <w:t>3.</w:t>
                  </w:r>
                  <w:r>
                    <w:rPr>
                      <w:rFonts w:hint="default" w:ascii="Times New Roman" w:hAnsi="Times New Roman" w:cs="Times New Roman"/>
                      <w:lang w:val="en-US" w:eastAsia="zh-CN"/>
                    </w:rPr>
                    <w:t>监测记录信息（主要污染排放口废气排放记录（手工监测）等）；</w:t>
                  </w:r>
                  <w:r>
                    <w:rPr>
                      <w:rFonts w:hint="eastAsia" w:ascii="Times New Roman" w:hAnsi="Times New Roman" w:cs="Times New Roman"/>
                      <w:lang w:val="en-US" w:eastAsia="zh-CN"/>
                    </w:rPr>
                    <w:t>4.</w:t>
                  </w:r>
                  <w:r>
                    <w:rPr>
                      <w:rFonts w:hint="default" w:ascii="Times New Roman" w:hAnsi="Times New Roman" w:cs="Times New Roman"/>
                      <w:highlight w:val="none"/>
                      <w:lang w:val="en-US" w:eastAsia="zh-CN"/>
                    </w:rPr>
                    <w:t>主要原辅材料、电消耗记录</w:t>
                  </w:r>
                  <w:r>
                    <w:rPr>
                      <w:rFonts w:hint="eastAsia" w:cs="Times New Roman"/>
                      <w:highlight w:val="none"/>
                      <w:lang w:val="en-US" w:eastAsia="zh-CN"/>
                    </w:rPr>
                    <w:t>；</w:t>
                  </w:r>
                </w:p>
                <w:p w14:paraId="2D5691E7">
                  <w:pPr>
                    <w:pStyle w:val="51"/>
                    <w:keepNext w:val="0"/>
                    <w:keepLines w:val="0"/>
                    <w:suppressLineNumbers w:val="0"/>
                    <w:bidi w:val="0"/>
                    <w:spacing w:before="0" w:beforeAutospacing="0" w:after="0" w:afterAutospacing="0"/>
                    <w:ind w:left="0" w:right="0"/>
                    <w:jc w:val="left"/>
                    <w:rPr>
                      <w:rFonts w:hint="eastAsia" w:cs="Times New Roman"/>
                      <w:highlight w:val="none"/>
                      <w:lang w:val="en-US" w:eastAsia="zh-CN"/>
                    </w:rPr>
                  </w:pPr>
                  <w:r>
                    <w:rPr>
                      <w:rFonts w:hint="eastAsia" w:cs="Times New Roman"/>
                      <w:highlight w:val="none"/>
                      <w:lang w:val="en-US" w:eastAsia="zh-CN"/>
                    </w:rPr>
                    <w:t>5.项目产生</w:t>
                  </w:r>
                  <w:r>
                    <w:rPr>
                      <w:rFonts w:hint="default" w:ascii="Times New Roman" w:hAnsi="Times New Roman" w:cs="Times New Roman"/>
                      <w:highlight w:val="none"/>
                      <w:lang w:val="en-US" w:eastAsia="zh-CN"/>
                    </w:rPr>
                    <w:t>固废、危废暂存、处理记录</w:t>
                  </w:r>
                  <w:r>
                    <w:rPr>
                      <w:rFonts w:hint="eastAsia" w:cs="Times New Roman"/>
                      <w:highlight w:val="none"/>
                      <w:lang w:val="en-US" w:eastAsia="zh-CN"/>
                    </w:rPr>
                    <w:t>；</w:t>
                  </w:r>
                </w:p>
                <w:p w14:paraId="39A975CB">
                  <w:pPr>
                    <w:pStyle w:val="51"/>
                    <w:keepNext w:val="0"/>
                    <w:keepLines w:val="0"/>
                    <w:suppressLineNumbers w:val="0"/>
                    <w:bidi w:val="0"/>
                    <w:spacing w:before="0" w:beforeAutospacing="0" w:after="0" w:afterAutospacing="0"/>
                    <w:ind w:left="0" w:right="0"/>
                    <w:jc w:val="left"/>
                    <w:rPr>
                      <w:rFonts w:hint="default" w:ascii="Times New Roman" w:hAnsi="Times New Roman" w:cs="Times New Roman"/>
                      <w:highlight w:val="none"/>
                      <w:lang w:val="en-US" w:eastAsia="zh-CN"/>
                    </w:rPr>
                  </w:pPr>
                  <w:r>
                    <w:rPr>
                      <w:rFonts w:hint="eastAsia" w:cs="Times New Roman"/>
                      <w:highlight w:val="none"/>
                      <w:lang w:val="en-US" w:eastAsia="zh-CN"/>
                    </w:rPr>
                    <w:t>6.本项目</w:t>
                  </w:r>
                  <w:r>
                    <w:rPr>
                      <w:rFonts w:hint="default" w:ascii="Times New Roman" w:hAnsi="Times New Roman" w:cs="Times New Roman"/>
                      <w:highlight w:val="none"/>
                      <w:lang w:val="en-US" w:eastAsia="zh-CN"/>
                    </w:rPr>
                    <w:t>运输车辆、厂内车辆、非道路移动机械电子台账（进出场时间、车辆或非道路移动机械信息、运送货物名称及运量。</w:t>
                  </w:r>
                </w:p>
              </w:tc>
              <w:tc>
                <w:tcPr>
                  <w:tcW w:w="870" w:type="dxa"/>
                  <w:noWrap w:val="0"/>
                  <w:vAlign w:val="center"/>
                </w:tcPr>
                <w:p w14:paraId="58CD3B1B">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0EBDA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624" w:type="dxa"/>
                  <w:vMerge w:val="continue"/>
                  <w:noWrap w:val="0"/>
                  <w:vAlign w:val="center"/>
                </w:tcPr>
                <w:p w14:paraId="5A9F92A0">
                  <w:pPr>
                    <w:pStyle w:val="51"/>
                    <w:keepNext w:val="0"/>
                    <w:keepLines w:val="0"/>
                    <w:suppressLineNumbers w:val="0"/>
                    <w:bidi w:val="0"/>
                    <w:spacing w:before="0" w:beforeAutospacing="0" w:after="0" w:afterAutospacing="0"/>
                    <w:ind w:left="0" w:right="0"/>
                    <w:jc w:val="center"/>
                    <w:rPr>
                      <w:rFonts w:hint="eastAsia" w:cs="Times New Roman"/>
                      <w:highlight w:val="none"/>
                      <w:lang w:val="en-US" w:eastAsia="zh-CN"/>
                    </w:rPr>
                  </w:pPr>
                </w:p>
              </w:tc>
              <w:tc>
                <w:tcPr>
                  <w:tcW w:w="625" w:type="dxa"/>
                  <w:noWrap w:val="0"/>
                  <w:vAlign w:val="center"/>
                </w:tcPr>
                <w:p w14:paraId="36EBBE10">
                  <w:pPr>
                    <w:pStyle w:val="51"/>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人员配置</w:t>
                  </w:r>
                </w:p>
              </w:tc>
              <w:tc>
                <w:tcPr>
                  <w:tcW w:w="3144" w:type="dxa"/>
                  <w:noWrap w:val="0"/>
                  <w:vAlign w:val="center"/>
                </w:tcPr>
                <w:p w14:paraId="4F97307D">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配备专职环保人员，并具备相应的环境管理能力（学历、培训、从业经验等）。</w:t>
                  </w:r>
                </w:p>
              </w:tc>
              <w:tc>
                <w:tcPr>
                  <w:tcW w:w="2214" w:type="dxa"/>
                  <w:noWrap w:val="0"/>
                  <w:vAlign w:val="center"/>
                </w:tcPr>
                <w:p w14:paraId="7AB0D0F1">
                  <w:pPr>
                    <w:pStyle w:val="51"/>
                    <w:keepNext w:val="0"/>
                    <w:keepLines w:val="0"/>
                    <w:numPr>
                      <w:ilvl w:val="0"/>
                      <w:numId w:val="0"/>
                    </w:numPr>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lang w:val="en-US" w:eastAsia="zh-CN"/>
                    </w:rPr>
                    <w:t>配备专职环保人员，并具备相应的环境管理能力</w:t>
                  </w:r>
                  <w:r>
                    <w:rPr>
                      <w:rFonts w:hint="eastAsia" w:cs="Times New Roman"/>
                      <w:lang w:val="en-US" w:eastAsia="zh-CN"/>
                    </w:rPr>
                    <w:t>。</w:t>
                  </w:r>
                </w:p>
              </w:tc>
              <w:tc>
                <w:tcPr>
                  <w:tcW w:w="870" w:type="dxa"/>
                  <w:noWrap w:val="0"/>
                  <w:vAlign w:val="center"/>
                </w:tcPr>
                <w:p w14:paraId="7EE69256">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2FEA5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9" w:hRule="atLeast"/>
              </w:trPr>
              <w:tc>
                <w:tcPr>
                  <w:tcW w:w="1249" w:type="dxa"/>
                  <w:gridSpan w:val="2"/>
                  <w:noWrap w:val="0"/>
                  <w:vAlign w:val="center"/>
                </w:tcPr>
                <w:p w14:paraId="135985A9">
                  <w:pPr>
                    <w:pStyle w:val="51"/>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运输方式</w:t>
                  </w:r>
                </w:p>
              </w:tc>
              <w:tc>
                <w:tcPr>
                  <w:tcW w:w="3144" w:type="dxa"/>
                  <w:noWrap w:val="0"/>
                  <w:vAlign w:val="center"/>
                </w:tcPr>
                <w:p w14:paraId="5E22386A">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1.煤炭及矿石开采运输采用皮带廊道、管道、铁路、水路、电动或氢能重型载货车辆等清洁运输</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方式，或全部采用国六排放标准重型载货车辆（含燃气）；</w:t>
                  </w:r>
                </w:p>
                <w:p w14:paraId="3DD92676">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2.煤炭洗选企业运输采用电动、氢能或国六排放标准重型载货车辆（含燃气）；</w:t>
                  </w:r>
                </w:p>
                <w:p w14:paraId="047A450C">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3.建筑用石加工、选矿企业原料、产品运输采用电动、氢能或国六排放标准重型载货车辆（含燃气）；</w:t>
                  </w:r>
                </w:p>
                <w:p w14:paraId="5C4BA3FD">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4.厂内非道路移动机械采用电动、氢能机械或达到国四及以上标准。</w:t>
                  </w:r>
                </w:p>
              </w:tc>
              <w:tc>
                <w:tcPr>
                  <w:tcW w:w="2214" w:type="dxa"/>
                  <w:noWrap w:val="0"/>
                  <w:vAlign w:val="center"/>
                </w:tcPr>
                <w:p w14:paraId="053A72DA">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w:t>
                  </w:r>
                  <w:r>
                    <w:rPr>
                      <w:rFonts w:hint="default" w:ascii="Times New Roman" w:hAnsi="Times New Roman" w:cs="Times New Roman"/>
                      <w:highlight w:val="none"/>
                      <w:lang w:val="en-US" w:eastAsia="zh-CN"/>
                    </w:rPr>
                    <w:t>物料、产品等公路运输全部使用国</w:t>
                  </w:r>
                  <w:r>
                    <w:rPr>
                      <w:rFonts w:hint="eastAsia" w:cs="Times New Roman"/>
                      <w:highlight w:val="none"/>
                      <w:lang w:val="en-US" w:eastAsia="zh-CN"/>
                    </w:rPr>
                    <w:t>六</w:t>
                  </w:r>
                  <w:r>
                    <w:rPr>
                      <w:rFonts w:hint="default" w:ascii="Times New Roman" w:hAnsi="Times New Roman" w:cs="Times New Roman"/>
                      <w:highlight w:val="none"/>
                      <w:lang w:val="en-US" w:eastAsia="zh-CN"/>
                    </w:rPr>
                    <w:t>及以上排放标准重型载货车辆或新能源车辆</w:t>
                  </w:r>
                  <w:r>
                    <w:rPr>
                      <w:rFonts w:hint="eastAsia" w:ascii="Times New Roman" w:hAnsi="Times New Roman" w:cs="Times New Roman"/>
                      <w:highlight w:val="none"/>
                      <w:lang w:val="en-US" w:eastAsia="zh-CN"/>
                    </w:rPr>
                    <w:t>。</w:t>
                  </w:r>
                </w:p>
                <w:p w14:paraId="5307F1A7">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eastAsia" w:cs="Times New Roman"/>
                      <w:highlight w:val="none"/>
                      <w:lang w:val="en-US" w:eastAsia="zh-CN"/>
                    </w:rPr>
                    <w:t>2</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厂内非道路移动机械全部使用国</w:t>
                  </w:r>
                  <w:r>
                    <w:rPr>
                      <w:rFonts w:hint="eastAsia" w:cs="Times New Roman"/>
                      <w:highlight w:val="none"/>
                      <w:lang w:val="en-US" w:eastAsia="zh-CN"/>
                    </w:rPr>
                    <w:t>四</w:t>
                  </w:r>
                  <w:r>
                    <w:rPr>
                      <w:rFonts w:hint="default" w:ascii="Times New Roman" w:hAnsi="Times New Roman" w:cs="Times New Roman"/>
                      <w:highlight w:val="none"/>
                      <w:lang w:val="en-US" w:eastAsia="zh-CN"/>
                    </w:rPr>
                    <w:t>及以上排放标准或使用新能源（电动、氢能）机械。</w:t>
                  </w:r>
                </w:p>
              </w:tc>
              <w:tc>
                <w:tcPr>
                  <w:tcW w:w="870" w:type="dxa"/>
                  <w:noWrap w:val="0"/>
                  <w:vAlign w:val="center"/>
                </w:tcPr>
                <w:p w14:paraId="000E6560">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239B0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3" w:hRule="atLeast"/>
              </w:trPr>
              <w:tc>
                <w:tcPr>
                  <w:tcW w:w="1249" w:type="dxa"/>
                  <w:gridSpan w:val="2"/>
                  <w:noWrap w:val="0"/>
                  <w:vAlign w:val="center"/>
                </w:tcPr>
                <w:p w14:paraId="43FD3D42">
                  <w:pPr>
                    <w:pStyle w:val="51"/>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运输监管</w:t>
                  </w:r>
                </w:p>
              </w:tc>
              <w:tc>
                <w:tcPr>
                  <w:tcW w:w="3144" w:type="dxa"/>
                  <w:noWrap w:val="0"/>
                  <w:vAlign w:val="center"/>
                </w:tcPr>
                <w:p w14:paraId="331A0109">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日均进出货物 150 吨（或载货车辆日进出 10 辆次）及以上（货物包括原料、辅料、燃料、产品和其他与生产相关物料）的企业，参照《重污染天气重点行业移动源应急管理技术指南》建立门禁视频监控系统和电子台账；其他企业安装车辆运输视频监控（数据能保存 6 个月），并建立车辆运输手工台账。</w:t>
                  </w:r>
                </w:p>
              </w:tc>
              <w:tc>
                <w:tcPr>
                  <w:tcW w:w="2214" w:type="dxa"/>
                  <w:noWrap w:val="0"/>
                  <w:vAlign w:val="center"/>
                </w:tcPr>
                <w:p w14:paraId="30B70625">
                  <w:pPr>
                    <w:pStyle w:val="51"/>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本项目日均进出</w:t>
                  </w:r>
                  <w:r>
                    <w:rPr>
                      <w:rFonts w:hint="eastAsia" w:ascii="Times New Roman" w:hAnsi="Times New Roman" w:cs="Times New Roman"/>
                      <w:highlight w:val="none"/>
                      <w:lang w:val="en-US" w:eastAsia="zh-CN"/>
                    </w:rPr>
                    <w:t>载货车预计达到10辆次</w:t>
                  </w:r>
                  <w:r>
                    <w:rPr>
                      <w:rFonts w:hint="default" w:ascii="Times New Roman" w:hAnsi="Times New Roman" w:cs="Times New Roman"/>
                      <w:highlight w:val="none"/>
                      <w:lang w:val="en-US" w:eastAsia="zh-CN"/>
                    </w:rPr>
                    <w:t>，企业</w:t>
                  </w:r>
                  <w:r>
                    <w:rPr>
                      <w:rFonts w:hint="eastAsia" w:cs="Times New Roman"/>
                      <w:highlight w:val="none"/>
                      <w:lang w:val="en-US" w:eastAsia="zh-CN"/>
                    </w:rPr>
                    <w:t>按照</w:t>
                  </w:r>
                  <w:r>
                    <w:rPr>
                      <w:rFonts w:hint="default" w:ascii="Times New Roman" w:hAnsi="Times New Roman" w:cs="Times New Roman"/>
                      <w:highlight w:val="none"/>
                      <w:lang w:val="en-US" w:eastAsia="zh-CN"/>
                    </w:rPr>
                    <w:t>《重污染天气重点行业移动源应急管理技术指南》建立门禁视频监控系统和电子台账</w:t>
                  </w:r>
                  <w:r>
                    <w:rPr>
                      <w:rFonts w:hint="eastAsia" w:cs="Times New Roman"/>
                      <w:highlight w:val="none"/>
                      <w:lang w:val="en-US" w:eastAsia="zh-CN"/>
                    </w:rPr>
                    <w:t>。</w:t>
                  </w:r>
                </w:p>
              </w:tc>
              <w:tc>
                <w:tcPr>
                  <w:tcW w:w="870" w:type="dxa"/>
                  <w:noWrap w:val="0"/>
                  <w:vAlign w:val="center"/>
                </w:tcPr>
                <w:p w14:paraId="0C9618DD">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00B17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1249" w:type="dxa"/>
                  <w:gridSpan w:val="2"/>
                  <w:noWrap w:val="0"/>
                  <w:vAlign w:val="center"/>
                </w:tcPr>
                <w:p w14:paraId="7FC80CF1">
                  <w:pPr>
                    <w:pStyle w:val="51"/>
                    <w:keepNext w:val="0"/>
                    <w:keepLines w:val="0"/>
                    <w:suppressLineNumbers w:val="0"/>
                    <w:bidi w:val="0"/>
                    <w:spacing w:before="0" w:beforeAutospacing="0" w:after="0" w:afterAutospacing="0"/>
                    <w:ind w:left="0" w:right="0"/>
                    <w:jc w:val="center"/>
                    <w:rPr>
                      <w:rFonts w:hint="eastAsia" w:cs="Times New Roman"/>
                      <w:highlight w:val="none"/>
                      <w:lang w:val="en-US" w:eastAsia="zh-CN"/>
                    </w:rPr>
                  </w:pPr>
                  <w:r>
                    <w:rPr>
                      <w:rFonts w:hint="eastAsia" w:cs="Times New Roman"/>
                      <w:highlight w:val="none"/>
                      <w:lang w:val="en-US" w:eastAsia="zh-CN"/>
                    </w:rPr>
                    <w:t>综合发展指标</w:t>
                  </w:r>
                </w:p>
              </w:tc>
              <w:tc>
                <w:tcPr>
                  <w:tcW w:w="3144" w:type="dxa"/>
                  <w:noWrap w:val="0"/>
                  <w:vAlign w:val="center"/>
                </w:tcPr>
                <w:p w14:paraId="1C4D65E4">
                  <w:pPr>
                    <w:pStyle w:val="51"/>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对于矿山开采企业，需纳入河南省绿色矿山名录。</w:t>
                  </w:r>
                </w:p>
              </w:tc>
              <w:tc>
                <w:tcPr>
                  <w:tcW w:w="2214" w:type="dxa"/>
                  <w:noWrap w:val="0"/>
                  <w:vAlign w:val="center"/>
                </w:tcPr>
                <w:p w14:paraId="27A48754">
                  <w:pPr>
                    <w:pStyle w:val="51"/>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eastAsia" w:cs="Times New Roman"/>
                      <w:highlight w:val="none"/>
                      <w:lang w:val="en-US" w:eastAsia="zh-CN"/>
                    </w:rPr>
                    <w:t>本项目不涉及</w:t>
                  </w:r>
                </w:p>
              </w:tc>
              <w:tc>
                <w:tcPr>
                  <w:tcW w:w="870" w:type="dxa"/>
                  <w:noWrap w:val="0"/>
                  <w:vAlign w:val="center"/>
                </w:tcPr>
                <w:p w14:paraId="309418C8">
                  <w:pPr>
                    <w:keepNext w:val="0"/>
                    <w:keepLines w:val="0"/>
                    <w:suppressLineNumbers w:val="0"/>
                    <w:bidi w:val="0"/>
                    <w:spacing w:before="0" w:beforeAutospacing="0" w:after="0" w:afterAutospacing="0"/>
                    <w:ind w:left="0" w:right="0"/>
                    <w:jc w:val="center"/>
                    <w:rPr>
                      <w:rFonts w:hint="default" w:cs="Times New Roman"/>
                      <w:szCs w:val="22"/>
                      <w:lang w:val="en-US" w:eastAsia="zh-CN"/>
                    </w:rPr>
                  </w:pPr>
                  <w:r>
                    <w:rPr>
                      <w:rFonts w:hint="eastAsia" w:cs="Times New Roman"/>
                      <w:szCs w:val="22"/>
                      <w:lang w:val="en-US" w:eastAsia="zh-CN"/>
                    </w:rPr>
                    <w:t>符合</w:t>
                  </w:r>
                </w:p>
              </w:tc>
            </w:tr>
          </w:tbl>
          <w:p w14:paraId="652102F3">
            <w:pPr>
              <w:pStyle w:val="20"/>
              <w:keepNext w:val="0"/>
              <w:keepLines w:val="0"/>
              <w:pageBreakBefore w:val="0"/>
              <w:widowControl w:val="0"/>
              <w:tabs>
                <w:tab w:val="left" w:pos="4140"/>
              </w:tabs>
              <w:kinsoku/>
              <w:wordWrap/>
              <w:overflowPunct/>
              <w:topLinePunct w:val="0"/>
              <w:autoSpaceDE w:val="0"/>
              <w:autoSpaceDN w:val="0"/>
              <w:bidi w:val="0"/>
              <w:adjustRightInd w:val="0"/>
              <w:snapToGrid w:val="0"/>
              <w:spacing w:before="0" w:beforeAutospacing="0" w:after="0" w:afterAutospacing="0" w:line="500" w:lineRule="exact"/>
              <w:ind w:firstLine="480" w:firstLineChars="200"/>
              <w:jc w:val="both"/>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kern w:val="0"/>
                <w:sz w:val="24"/>
                <w:szCs w:val="24"/>
                <w:highlight w:val="none"/>
                <w:lang w:val="en-US" w:eastAsia="zh-CN"/>
              </w:rPr>
              <w:t>由上表分析可知，</w:t>
            </w:r>
            <w:r>
              <w:rPr>
                <w:rFonts w:hint="default" w:ascii="Times New Roman" w:hAnsi="Times New Roman" w:cs="Times New Roman" w:eastAsiaTheme="minorEastAsia"/>
                <w:b w:val="0"/>
                <w:bCs w:val="0"/>
                <w:color w:val="auto"/>
                <w:kern w:val="0"/>
                <w:sz w:val="24"/>
                <w:szCs w:val="24"/>
                <w:highlight w:val="none"/>
                <w:lang w:val="en-US" w:eastAsia="zh-CN"/>
              </w:rPr>
              <w:t>本项目建设符合《</w:t>
            </w:r>
            <w:r>
              <w:rPr>
                <w:rFonts w:hint="default" w:ascii="Times New Roman" w:hAnsi="Times New Roman" w:cs="Times New Roman" w:eastAsiaTheme="minorEastAsia"/>
                <w:b w:val="0"/>
                <w:bCs w:val="0"/>
                <w:kern w:val="28"/>
                <w:sz w:val="24"/>
                <w:szCs w:val="24"/>
                <w:highlight w:val="none"/>
                <w:lang w:val="en-US" w:eastAsia="zh-CN" w:bidi="ar-SA"/>
              </w:rPr>
              <w:t>河南省</w:t>
            </w:r>
            <w:r>
              <w:rPr>
                <w:rFonts w:hint="default" w:ascii="Times New Roman" w:hAnsi="Times New Roman" w:cs="Times New Roman" w:eastAsiaTheme="minorEastAsia"/>
                <w:b w:val="0"/>
                <w:bCs w:val="0"/>
                <w:color w:val="auto"/>
                <w:kern w:val="0"/>
                <w:sz w:val="24"/>
                <w:szCs w:val="24"/>
                <w:highlight w:val="none"/>
                <w:lang w:val="en-US" w:eastAsia="zh-CN"/>
              </w:rPr>
              <w:t>重污染天气</w:t>
            </w:r>
            <w:r>
              <w:rPr>
                <w:rFonts w:hint="eastAsia" w:ascii="Times New Roman" w:hAnsi="Times New Roman" w:cs="Times New Roman" w:eastAsiaTheme="minorEastAsia"/>
                <w:b w:val="0"/>
                <w:bCs w:val="0"/>
                <w:color w:val="auto"/>
                <w:kern w:val="0"/>
                <w:sz w:val="24"/>
                <w:szCs w:val="24"/>
                <w:highlight w:val="none"/>
                <w:lang w:val="en-US" w:eastAsia="zh-CN"/>
              </w:rPr>
              <w:t>重点</w:t>
            </w:r>
            <w:r>
              <w:rPr>
                <w:rFonts w:hint="default" w:ascii="Times New Roman" w:hAnsi="Times New Roman" w:cs="Times New Roman" w:eastAsiaTheme="minorEastAsia"/>
                <w:b w:val="0"/>
                <w:bCs w:val="0"/>
                <w:color w:val="auto"/>
                <w:kern w:val="0"/>
                <w:sz w:val="24"/>
                <w:szCs w:val="24"/>
                <w:highlight w:val="none"/>
                <w:lang w:val="en-US" w:eastAsia="zh-CN"/>
              </w:rPr>
              <w:t>行业应急减排措施制定技术指南（2024年修订版）》中相关要</w:t>
            </w:r>
            <w:r>
              <w:rPr>
                <w:rFonts w:hint="default" w:ascii="Times New Roman" w:hAnsi="Times New Roman" w:cs="Times New Roman" w:eastAsiaTheme="minorEastAsia"/>
                <w:color w:val="auto"/>
                <w:kern w:val="0"/>
                <w:sz w:val="24"/>
                <w:szCs w:val="24"/>
                <w:highlight w:val="none"/>
                <w:lang w:val="en-US" w:eastAsia="zh-CN"/>
              </w:rPr>
              <w:t>求</w:t>
            </w:r>
            <w:r>
              <w:rPr>
                <w:rFonts w:hint="default" w:ascii="Times New Roman" w:hAnsi="Times New Roman" w:cs="Times New Roman" w:eastAsiaTheme="minorEastAsia"/>
                <w:color w:val="auto"/>
                <w:sz w:val="24"/>
                <w:szCs w:val="24"/>
                <w:highlight w:val="none"/>
              </w:rPr>
              <w:t>。</w:t>
            </w:r>
          </w:p>
          <w:p w14:paraId="634FB243">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eastAsia="宋体" w:cs="Times New Roman"/>
                <w:b/>
                <w:bCs/>
                <w:color w:val="auto"/>
                <w:sz w:val="24"/>
                <w:highlight w:val="none"/>
                <w:u w:val="none"/>
                <w:lang w:eastAsia="zh-CN"/>
              </w:rPr>
            </w:pPr>
            <w:r>
              <w:rPr>
                <w:rFonts w:hint="default" w:ascii="Times New Roman" w:hAnsi="Times New Roman" w:eastAsia="宋体" w:cs="Times New Roman"/>
                <w:b/>
                <w:bCs/>
                <w:color w:val="auto"/>
                <w:sz w:val="24"/>
                <w:highlight w:val="none"/>
                <w:u w:val="none"/>
                <w:lang w:val="en-US" w:eastAsia="zh-CN"/>
              </w:rPr>
              <w:t>1</w:t>
            </w:r>
            <w:r>
              <w:rPr>
                <w:rFonts w:hint="eastAsia" w:cs="Times New Roman"/>
                <w:b/>
                <w:bCs/>
                <w:color w:val="auto"/>
                <w:sz w:val="24"/>
                <w:highlight w:val="none"/>
                <w:u w:val="none"/>
                <w:lang w:val="en-US" w:eastAsia="zh-CN"/>
              </w:rPr>
              <w:t>3</w:t>
            </w:r>
            <w:r>
              <w:rPr>
                <w:rFonts w:hint="default" w:ascii="Times New Roman" w:hAnsi="Times New Roman" w:eastAsia="宋体" w:cs="Times New Roman"/>
                <w:b/>
                <w:bCs/>
                <w:color w:val="auto"/>
                <w:sz w:val="24"/>
                <w:highlight w:val="none"/>
                <w:u w:val="none"/>
              </w:rPr>
              <w:t>、</w:t>
            </w:r>
            <w:r>
              <w:rPr>
                <w:rFonts w:hint="default" w:ascii="Times New Roman" w:hAnsi="Times New Roman" w:eastAsia="宋体" w:cs="Times New Roman"/>
                <w:b/>
                <w:bCs w:val="0"/>
                <w:color w:val="auto"/>
                <w:kern w:val="2"/>
                <w:sz w:val="24"/>
                <w:szCs w:val="24"/>
                <w:highlight w:val="none"/>
                <w:u w:val="none"/>
                <w:lang w:val="en-US" w:eastAsia="zh-CN" w:bidi="ar"/>
              </w:rPr>
              <w:t>与</w:t>
            </w:r>
            <w:r>
              <w:rPr>
                <w:rFonts w:hint="default" w:ascii="Times New Roman" w:hAnsi="Times New Roman" w:eastAsia="宋体" w:cs="Times New Roman"/>
                <w:b/>
                <w:bCs/>
                <w:color w:val="auto"/>
                <w:kern w:val="0"/>
                <w:sz w:val="24"/>
                <w:highlight w:val="none"/>
                <w:u w:val="none"/>
              </w:rPr>
              <w:t>《重污染天气重点行业应急减排措施制定技术指南（2020年修订版）》（环办大气函</w:t>
            </w:r>
            <w:r>
              <w:rPr>
                <w:rFonts w:hint="default" w:ascii="Times New Roman" w:hAnsi="Times New Roman" w:eastAsia="宋体" w:cs="Times New Roman"/>
                <w:b/>
                <w:bCs/>
                <w:color w:val="auto"/>
                <w:kern w:val="0"/>
                <w:sz w:val="24"/>
                <w:highlight w:val="none"/>
                <w:u w:val="none"/>
                <w:lang w:eastAsia="zh-CN"/>
              </w:rPr>
              <w:t>[2020]</w:t>
            </w:r>
            <w:r>
              <w:rPr>
                <w:rFonts w:hint="default" w:ascii="Times New Roman" w:hAnsi="Times New Roman" w:eastAsia="宋体" w:cs="Times New Roman"/>
                <w:b/>
                <w:bCs/>
                <w:color w:val="auto"/>
                <w:kern w:val="0"/>
                <w:sz w:val="24"/>
                <w:highlight w:val="none"/>
                <w:u w:val="none"/>
              </w:rPr>
              <w:t>340号</w:t>
            </w:r>
            <w:r>
              <w:rPr>
                <w:rFonts w:hint="default" w:ascii="Times New Roman" w:hAnsi="Times New Roman" w:eastAsia="宋体" w:cs="Times New Roman"/>
                <w:b/>
                <w:bCs/>
                <w:kern w:val="0"/>
                <w:sz w:val="24"/>
                <w:highlight w:val="none"/>
                <w:u w:val="none"/>
                <w:lang w:eastAsia="zh-CN"/>
              </w:rPr>
              <w:t>）的</w:t>
            </w:r>
            <w:r>
              <w:rPr>
                <w:rFonts w:hint="default" w:ascii="Times New Roman" w:hAnsi="Times New Roman" w:eastAsia="宋体" w:cs="Times New Roman"/>
                <w:b/>
                <w:bCs/>
                <w:color w:val="auto"/>
                <w:sz w:val="24"/>
                <w:highlight w:val="none"/>
                <w:u w:val="none"/>
              </w:rPr>
              <w:t>相符性</w:t>
            </w:r>
            <w:r>
              <w:rPr>
                <w:rFonts w:hint="default" w:ascii="Times New Roman" w:hAnsi="Times New Roman" w:eastAsia="宋体" w:cs="Times New Roman"/>
                <w:b/>
                <w:bCs/>
                <w:color w:val="auto"/>
                <w:sz w:val="24"/>
                <w:highlight w:val="none"/>
                <w:u w:val="none"/>
                <w:lang w:eastAsia="zh-CN"/>
              </w:rPr>
              <w:t>分析</w:t>
            </w:r>
          </w:p>
          <w:p w14:paraId="28919F12">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b/>
                <w:bCs/>
                <w:color w:val="auto"/>
                <w:sz w:val="24"/>
                <w:highlight w:val="none"/>
                <w:u w:val="single"/>
              </w:rPr>
            </w:pPr>
            <w:r>
              <w:rPr>
                <w:rFonts w:hint="default" w:ascii="Times New Roman" w:hAnsi="Times New Roman" w:eastAsia="宋体" w:cs="Times New Roman"/>
                <w:color w:val="auto"/>
                <w:kern w:val="2"/>
                <w:sz w:val="24"/>
                <w:szCs w:val="21"/>
                <w:highlight w:val="none"/>
                <w:lang w:val="en-US" w:eastAsia="zh-CN" w:bidi="ar-SA"/>
              </w:rPr>
              <w:t>参照《重污染天气重点行业应急减排措施制定技术指南（2020年修订版）》（环办大气函[2020]</w:t>
            </w:r>
            <w:r>
              <w:rPr>
                <w:rFonts w:hint="eastAsia" w:ascii="Times New Roman" w:hAnsi="Times New Roman" w:eastAsia="宋体" w:cs="Times New Roman"/>
                <w:color w:val="auto"/>
                <w:kern w:val="2"/>
                <w:sz w:val="24"/>
                <w:szCs w:val="21"/>
                <w:highlight w:val="none"/>
                <w:lang w:val="en-US" w:eastAsia="zh-CN" w:bidi="ar-SA"/>
              </w:rPr>
              <w:t xml:space="preserve"> </w:t>
            </w:r>
            <w:r>
              <w:rPr>
                <w:rFonts w:hint="default" w:ascii="Times New Roman" w:hAnsi="Times New Roman" w:eastAsia="宋体" w:cs="Times New Roman"/>
                <w:color w:val="auto"/>
                <w:kern w:val="2"/>
                <w:sz w:val="24"/>
                <w:szCs w:val="21"/>
                <w:highlight w:val="none"/>
                <w:lang w:val="en-US" w:eastAsia="zh-CN" w:bidi="ar-SA"/>
              </w:rPr>
              <w:t>340号）中</w:t>
            </w:r>
            <w:bookmarkStart w:id="1" w:name="_Toc44493957"/>
            <w:bookmarkStart w:id="2" w:name="_Toc29000"/>
            <w:bookmarkStart w:id="3" w:name="_Toc21022"/>
            <w:bookmarkStart w:id="4" w:name="_Toc20645"/>
            <w:bookmarkStart w:id="5" w:name="_Toc39852874"/>
            <w:r>
              <w:rPr>
                <w:rFonts w:hint="eastAsia" w:ascii="Times New Roman" w:hAnsi="Times New Roman" w:eastAsia="宋体" w:cs="Times New Roman"/>
                <w:color w:val="auto"/>
                <w:kern w:val="2"/>
                <w:sz w:val="24"/>
                <w:szCs w:val="21"/>
                <w:highlight w:val="none"/>
                <w:lang w:val="en-US" w:eastAsia="zh-CN" w:bidi="ar-SA"/>
              </w:rPr>
              <w:t>“</w:t>
            </w:r>
            <w:r>
              <w:rPr>
                <w:rFonts w:hint="default" w:ascii="Times New Roman" w:hAnsi="Times New Roman" w:eastAsia="宋体" w:cs="Times New Roman"/>
                <w:color w:val="auto"/>
                <w:kern w:val="2"/>
                <w:sz w:val="24"/>
                <w:szCs w:val="21"/>
                <w:highlight w:val="none"/>
                <w:lang w:val="en-US" w:eastAsia="zh-CN" w:bidi="ar-SA"/>
              </w:rPr>
              <w:t>十五、水泥</w:t>
            </w:r>
            <w:bookmarkEnd w:id="1"/>
            <w:bookmarkEnd w:id="2"/>
            <w:bookmarkEnd w:id="3"/>
            <w:bookmarkEnd w:id="4"/>
            <w:bookmarkEnd w:id="5"/>
            <w:r>
              <w:rPr>
                <w:rFonts w:hint="default" w:ascii="Times New Roman" w:hAnsi="Times New Roman" w:eastAsia="宋体" w:cs="Times New Roman"/>
                <w:color w:val="auto"/>
                <w:kern w:val="2"/>
                <w:sz w:val="24"/>
                <w:szCs w:val="21"/>
                <w:highlight w:val="none"/>
                <w:lang w:val="en-US" w:eastAsia="zh-CN" w:bidi="ar-SA"/>
              </w:rPr>
              <w:t>：</w:t>
            </w:r>
            <w:bookmarkStart w:id="6" w:name="_Toc13344485"/>
            <w:bookmarkStart w:id="7" w:name="_Toc11866186"/>
            <w:r>
              <w:rPr>
                <w:rFonts w:hint="default" w:ascii="Times New Roman" w:hAnsi="Times New Roman" w:eastAsia="宋体" w:cs="Times New Roman"/>
                <w:color w:val="auto"/>
                <w:kern w:val="2"/>
                <w:sz w:val="24"/>
                <w:szCs w:val="21"/>
                <w:highlight w:val="none"/>
                <w:lang w:val="en-US" w:eastAsia="zh-CN" w:bidi="ar-SA"/>
              </w:rPr>
              <w:t>（一）适用范围</w:t>
            </w:r>
            <w:bookmarkEnd w:id="6"/>
            <w:bookmarkEnd w:id="7"/>
            <w:r>
              <w:rPr>
                <w:rFonts w:hint="default" w:ascii="Times New Roman" w:hAnsi="Times New Roman" w:eastAsia="宋体" w:cs="Times New Roman"/>
                <w:color w:val="auto"/>
                <w:kern w:val="2"/>
                <w:sz w:val="24"/>
                <w:szCs w:val="21"/>
                <w:highlight w:val="none"/>
                <w:lang w:val="en-US" w:eastAsia="zh-CN" w:bidi="ar-SA"/>
              </w:rPr>
              <w:t>：适用于水泥熟料（含利用电石渣、磷石膏）、粉磨站、矿渣粉、水泥制品</w:t>
            </w:r>
            <w:r>
              <w:rPr>
                <w:rFonts w:hint="default" w:ascii="Times New Roman" w:hAnsi="Times New Roman" w:eastAsia="宋体" w:cs="Times New Roman"/>
                <w:color w:val="auto"/>
                <w:kern w:val="2"/>
                <w:sz w:val="24"/>
                <w:szCs w:val="21"/>
                <w:highlight w:val="none"/>
                <w:vertAlign w:val="superscript"/>
                <w:lang w:val="en-US" w:eastAsia="zh-CN" w:bidi="ar-SA"/>
              </w:rPr>
              <w:t>d</w:t>
            </w:r>
            <w:r>
              <w:rPr>
                <w:rFonts w:hint="default" w:ascii="Times New Roman" w:hAnsi="Times New Roman" w:eastAsia="宋体" w:cs="Times New Roman"/>
                <w:color w:val="auto"/>
                <w:kern w:val="2"/>
                <w:sz w:val="24"/>
                <w:szCs w:val="21"/>
                <w:highlight w:val="none"/>
                <w:lang w:val="en-US" w:eastAsia="zh-CN" w:bidi="ar-SA"/>
              </w:rPr>
              <w:t>（见表15-2，注4）等生产工业企业。其中，粉磨站（系统）、矿渣粉</w:t>
            </w:r>
            <w:r>
              <w:rPr>
                <w:rFonts w:hint="eastAsia" w:ascii="Times New Roman" w:hAnsi="Times New Roman" w:eastAsia="宋体" w:cs="Times New Roman"/>
                <w:color w:val="auto"/>
                <w:kern w:val="2"/>
                <w:sz w:val="24"/>
                <w:szCs w:val="21"/>
                <w:highlight w:val="none"/>
                <w:lang w:val="en-US" w:eastAsia="zh-CN" w:bidi="ar-SA"/>
              </w:rPr>
              <w:t>、</w:t>
            </w:r>
            <w:r>
              <w:rPr>
                <w:rFonts w:hint="default" w:ascii="Times New Roman" w:hAnsi="Times New Roman" w:eastAsia="宋体" w:cs="Times New Roman"/>
                <w:color w:val="auto"/>
                <w:kern w:val="2"/>
                <w:sz w:val="24"/>
                <w:szCs w:val="21"/>
                <w:highlight w:val="none"/>
                <w:lang w:val="en-US" w:eastAsia="zh-CN" w:bidi="ar-SA"/>
              </w:rPr>
              <w:t>水泥制品等仅制定引领性指标。”，本项目为</w:t>
            </w:r>
            <w:r>
              <w:rPr>
                <w:rFonts w:hint="default" w:ascii="Times New Roman" w:hAnsi="Times New Roman" w:cs="Times New Roman"/>
                <w:sz w:val="24"/>
                <w:highlight w:val="none"/>
                <w:lang w:val="en-US" w:eastAsia="zh-CN"/>
              </w:rPr>
              <w:t>其他水泥类似制品制造</w:t>
            </w:r>
            <w:r>
              <w:rPr>
                <w:rFonts w:hint="default" w:ascii="Times New Roman" w:hAnsi="Times New Roman" w:eastAsia="宋体" w:cs="Times New Roman"/>
                <w:color w:val="auto"/>
                <w:kern w:val="2"/>
                <w:sz w:val="24"/>
                <w:szCs w:val="21"/>
                <w:highlight w:val="none"/>
                <w:lang w:val="en-US" w:eastAsia="zh-CN" w:bidi="ar-SA"/>
              </w:rPr>
              <w:t>，应与</w:t>
            </w:r>
            <w:r>
              <w:rPr>
                <w:rFonts w:hint="eastAsia" w:ascii="Times New Roman" w:hAnsi="Times New Roman" w:eastAsia="宋体" w:cs="Times New Roman"/>
                <w:color w:val="auto"/>
                <w:kern w:val="2"/>
                <w:sz w:val="24"/>
                <w:szCs w:val="21"/>
                <w:highlight w:val="none"/>
                <w:lang w:val="en-US" w:eastAsia="zh-CN" w:bidi="ar-SA"/>
              </w:rPr>
              <w:t>“</w:t>
            </w:r>
            <w:r>
              <w:rPr>
                <w:rFonts w:hint="default" w:ascii="Times New Roman" w:hAnsi="Times New Roman" w:eastAsia="宋体" w:cs="Times New Roman"/>
                <w:color w:val="auto"/>
                <w:kern w:val="2"/>
                <w:sz w:val="24"/>
                <w:szCs w:val="21"/>
                <w:highlight w:val="none"/>
                <w:lang w:val="en-US" w:eastAsia="zh-CN" w:bidi="ar-SA"/>
              </w:rPr>
              <w:t>水泥制品绩效引领性指标</w:t>
            </w:r>
            <w:r>
              <w:rPr>
                <w:rFonts w:hint="eastAsia" w:ascii="Times New Roman" w:hAnsi="Times New Roman" w:eastAsia="宋体" w:cs="Times New Roman"/>
                <w:color w:val="auto"/>
                <w:kern w:val="2"/>
                <w:sz w:val="24"/>
                <w:szCs w:val="21"/>
                <w:highlight w:val="none"/>
                <w:lang w:val="en-US" w:eastAsia="zh-CN" w:bidi="ar-SA"/>
              </w:rPr>
              <w:t>”</w:t>
            </w:r>
            <w:r>
              <w:rPr>
                <w:rFonts w:hint="default" w:ascii="Times New Roman" w:hAnsi="Times New Roman" w:eastAsia="宋体" w:cs="Times New Roman"/>
                <w:color w:val="auto"/>
                <w:kern w:val="2"/>
                <w:sz w:val="24"/>
                <w:szCs w:val="21"/>
                <w:highlight w:val="none"/>
                <w:lang w:val="en-US" w:eastAsia="zh-CN" w:bidi="ar-SA"/>
              </w:rPr>
              <w:t>进行对标，其相符性分析如下：</w:t>
            </w:r>
          </w:p>
          <w:p w14:paraId="1527A922">
            <w:pPr>
              <w:pStyle w:val="59"/>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表1-</w:t>
            </w:r>
            <w:r>
              <w:rPr>
                <w:rFonts w:hint="eastAsia" w:cs="Times New Roman"/>
                <w:highlight w:val="none"/>
                <w:lang w:val="en-US" w:eastAsia="zh-CN"/>
              </w:rPr>
              <w:t>7</w:t>
            </w:r>
            <w:r>
              <w:rPr>
                <w:rFonts w:hint="default" w:ascii="Times New Roman" w:hAnsi="Times New Roman" w:cs="Times New Roman"/>
                <w:highlight w:val="none"/>
                <w:lang w:val="en-US" w:eastAsia="zh-CN"/>
              </w:rPr>
              <w:t xml:space="preserve"> 本项目与水泥制品绩效</w:t>
            </w:r>
            <w:r>
              <w:rPr>
                <w:rFonts w:hint="eastAsia" w:cs="Times New Roman"/>
                <w:highlight w:val="none"/>
                <w:lang w:val="en-US" w:eastAsia="zh-CN"/>
              </w:rPr>
              <w:t>差异化</w:t>
            </w:r>
            <w:r>
              <w:rPr>
                <w:rFonts w:hint="default" w:ascii="Times New Roman" w:hAnsi="Times New Roman" w:cs="Times New Roman"/>
                <w:highlight w:val="none"/>
                <w:lang w:val="en-US" w:eastAsia="zh-CN"/>
              </w:rPr>
              <w:t>指标相符性分析</w:t>
            </w:r>
          </w:p>
          <w:tbl>
            <w:tblPr>
              <w:tblStyle w:val="24"/>
              <w:tblW w:w="74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3315"/>
              <w:gridCol w:w="2568"/>
              <w:gridCol w:w="792"/>
            </w:tblGrid>
            <w:tr w14:paraId="6FE61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rPr>
              <w:tc>
                <w:tcPr>
                  <w:tcW w:w="789" w:type="dxa"/>
                  <w:tcBorders>
                    <w:tl2br w:val="nil"/>
                    <w:tr2bl w:val="nil"/>
                  </w:tcBorders>
                  <w:noWrap w:val="0"/>
                  <w:vAlign w:val="center"/>
                </w:tcPr>
                <w:p w14:paraId="62187468">
                  <w:pPr>
                    <w:widowControl/>
                    <w:spacing w:line="240" w:lineRule="exact"/>
                    <w:jc w:val="center"/>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
                      <w:bCs/>
                      <w:szCs w:val="21"/>
                      <w:highlight w:val="none"/>
                    </w:rPr>
                    <w:t>差异化指标</w:t>
                  </w:r>
                </w:p>
              </w:tc>
              <w:tc>
                <w:tcPr>
                  <w:tcW w:w="3315" w:type="dxa"/>
                  <w:tcBorders>
                    <w:tl2br w:val="nil"/>
                    <w:tr2bl w:val="nil"/>
                  </w:tcBorders>
                  <w:noWrap w:val="0"/>
                  <w:vAlign w:val="center"/>
                </w:tcPr>
                <w:p w14:paraId="686A050F">
                  <w:pPr>
                    <w:widowControl/>
                    <w:spacing w:line="240" w:lineRule="exact"/>
                    <w:jc w:val="center"/>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
                      <w:bCs/>
                      <w:szCs w:val="21"/>
                      <w:highlight w:val="none"/>
                      <w:lang w:val="en-US" w:eastAsia="zh-CN"/>
                    </w:rPr>
                    <w:t>A</w:t>
                  </w:r>
                  <w:r>
                    <w:rPr>
                      <w:rFonts w:hint="default" w:ascii="Times New Roman" w:hAnsi="Times New Roman" w:eastAsia="宋体" w:cs="Times New Roman"/>
                      <w:b/>
                      <w:bCs/>
                      <w:szCs w:val="21"/>
                      <w:highlight w:val="none"/>
                    </w:rPr>
                    <w:t>级企业</w:t>
                  </w:r>
                </w:p>
              </w:tc>
              <w:tc>
                <w:tcPr>
                  <w:tcW w:w="2568" w:type="dxa"/>
                  <w:tcBorders>
                    <w:tl2br w:val="nil"/>
                    <w:tr2bl w:val="nil"/>
                  </w:tcBorders>
                  <w:noWrap w:val="0"/>
                  <w:vAlign w:val="center"/>
                </w:tcPr>
                <w:p w14:paraId="72DAC7A7">
                  <w:pPr>
                    <w:widowControl/>
                    <w:spacing w:line="240" w:lineRule="exact"/>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bCs/>
                      <w:szCs w:val="21"/>
                      <w:highlight w:val="none"/>
                    </w:rPr>
                    <w:t>本项目</w:t>
                  </w:r>
                  <w:r>
                    <w:rPr>
                      <w:rFonts w:hint="default" w:ascii="Times New Roman" w:hAnsi="Times New Roman" w:eastAsia="宋体" w:cs="Times New Roman"/>
                      <w:b/>
                      <w:bCs/>
                      <w:szCs w:val="21"/>
                      <w:highlight w:val="none"/>
                      <w:lang w:eastAsia="zh-CN"/>
                    </w:rPr>
                    <w:t>情况</w:t>
                  </w:r>
                </w:p>
              </w:tc>
              <w:tc>
                <w:tcPr>
                  <w:tcW w:w="792" w:type="dxa"/>
                  <w:tcBorders>
                    <w:tl2br w:val="nil"/>
                    <w:tr2bl w:val="nil"/>
                  </w:tcBorders>
                  <w:noWrap w:val="0"/>
                  <w:vAlign w:val="center"/>
                </w:tcPr>
                <w:p w14:paraId="59E56757">
                  <w:pPr>
                    <w:widowControl/>
                    <w:spacing w:line="240" w:lineRule="exact"/>
                    <w:jc w:val="center"/>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bCs/>
                      <w:szCs w:val="21"/>
                      <w:highlight w:val="none"/>
                    </w:rPr>
                    <w:t>相符性</w:t>
                  </w:r>
                </w:p>
              </w:tc>
            </w:tr>
            <w:tr w14:paraId="63F5C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789" w:type="dxa"/>
                  <w:tcBorders>
                    <w:tl2br w:val="nil"/>
                    <w:tr2bl w:val="nil"/>
                  </w:tcBorders>
                  <w:noWrap w:val="0"/>
                  <w:vAlign w:val="center"/>
                </w:tcPr>
                <w:p w14:paraId="6CCE9D54">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能源类型</w:t>
                  </w:r>
                </w:p>
              </w:tc>
              <w:tc>
                <w:tcPr>
                  <w:tcW w:w="3315" w:type="dxa"/>
                  <w:tcBorders>
                    <w:tl2br w:val="nil"/>
                    <w:tr2bl w:val="nil"/>
                  </w:tcBorders>
                  <w:noWrap w:val="0"/>
                  <w:vAlign w:val="center"/>
                </w:tcPr>
                <w:p w14:paraId="2A4AE877">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电、外购蒸汽、天然气（采用低氮燃烧）</w:t>
                  </w:r>
                </w:p>
              </w:tc>
              <w:tc>
                <w:tcPr>
                  <w:tcW w:w="2568" w:type="dxa"/>
                  <w:tcBorders>
                    <w:tl2br w:val="nil"/>
                    <w:tr2bl w:val="nil"/>
                  </w:tcBorders>
                  <w:noWrap w:val="0"/>
                  <w:vAlign w:val="center"/>
                </w:tcPr>
                <w:p w14:paraId="6E351EBC">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本项目能源类型为电能，不涉及蒸汽、天然气</w:t>
                  </w:r>
                </w:p>
              </w:tc>
              <w:tc>
                <w:tcPr>
                  <w:tcW w:w="792" w:type="dxa"/>
                  <w:tcBorders>
                    <w:tl2br w:val="nil"/>
                    <w:tr2bl w:val="nil"/>
                  </w:tcBorders>
                  <w:noWrap w:val="0"/>
                  <w:vAlign w:val="center"/>
                </w:tcPr>
                <w:p w14:paraId="56A80625">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eastAsia="zh-CN"/>
                    </w:rPr>
                  </w:pPr>
                  <w:r>
                    <w:rPr>
                      <w:rFonts w:hint="default" w:ascii="Times New Roman" w:hAnsi="Times New Roman" w:eastAsia="宋体" w:cs="Times New Roman"/>
                      <w:b w:val="0"/>
                      <w:bCs/>
                      <w:color w:val="auto"/>
                      <w:sz w:val="21"/>
                      <w:szCs w:val="21"/>
                      <w:highlight w:val="none"/>
                      <w:u w:val="none"/>
                      <w:lang w:eastAsia="zh-CN"/>
                    </w:rPr>
                    <w:t>符合</w:t>
                  </w:r>
                </w:p>
              </w:tc>
            </w:tr>
            <w:tr w14:paraId="27759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8" w:hRule="atLeast"/>
              </w:trPr>
              <w:tc>
                <w:tcPr>
                  <w:tcW w:w="789" w:type="dxa"/>
                  <w:tcBorders>
                    <w:tl2br w:val="nil"/>
                    <w:tr2bl w:val="nil"/>
                  </w:tcBorders>
                  <w:noWrap w:val="0"/>
                  <w:vAlign w:val="center"/>
                </w:tcPr>
                <w:p w14:paraId="25D08061">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排放限值</w:t>
                  </w:r>
                </w:p>
              </w:tc>
              <w:tc>
                <w:tcPr>
                  <w:tcW w:w="3315" w:type="dxa"/>
                  <w:tcBorders>
                    <w:tl2br w:val="nil"/>
                    <w:tr2bl w:val="nil"/>
                  </w:tcBorders>
                  <w:noWrap w:val="0"/>
                  <w:vAlign w:val="center"/>
                </w:tcPr>
                <w:p w14:paraId="3F7797C6">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PM、NOx排放浓度不高于10、100 mg/m</w:t>
                  </w:r>
                  <w:r>
                    <w:rPr>
                      <w:rFonts w:hint="default" w:ascii="Times New Roman" w:hAnsi="Times New Roman" w:eastAsia="宋体" w:cs="Times New Roman"/>
                      <w:bCs/>
                      <w:color w:val="auto"/>
                      <w:kern w:val="28"/>
                      <w:sz w:val="21"/>
                      <w:szCs w:val="21"/>
                      <w:highlight w:val="none"/>
                      <w:u w:val="none"/>
                      <w:vertAlign w:val="superscript"/>
                      <w:lang w:eastAsia="zh-CN"/>
                    </w:rPr>
                    <w:t>3</w:t>
                  </w:r>
                  <w:r>
                    <w:rPr>
                      <w:rFonts w:hint="default" w:ascii="Times New Roman" w:hAnsi="Times New Roman" w:eastAsia="宋体" w:cs="Times New Roman"/>
                      <w:bCs/>
                      <w:color w:val="auto"/>
                      <w:kern w:val="28"/>
                      <w:sz w:val="21"/>
                      <w:szCs w:val="21"/>
                      <w:highlight w:val="none"/>
                      <w:u w:val="none"/>
                      <w:vertAlign w:val="baseline"/>
                      <w:lang w:eastAsia="zh-CN"/>
                    </w:rPr>
                    <w:t>，天然气锅炉或热风炉基准氧含量8%</w:t>
                  </w:r>
                </w:p>
              </w:tc>
              <w:tc>
                <w:tcPr>
                  <w:tcW w:w="2568" w:type="dxa"/>
                  <w:tcBorders>
                    <w:tl2br w:val="nil"/>
                    <w:tr2bl w:val="nil"/>
                  </w:tcBorders>
                  <w:noWrap w:val="0"/>
                  <w:vAlign w:val="center"/>
                </w:tcPr>
                <w:p w14:paraId="1AC7FFBC">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本项目营运后涉及主要污染物为颗粒物，排放浓度不高于10mg/m</w:t>
                  </w:r>
                  <w:r>
                    <w:rPr>
                      <w:rFonts w:hint="default" w:ascii="Times New Roman" w:hAnsi="Times New Roman" w:eastAsia="宋体" w:cs="Times New Roman"/>
                      <w:b w:val="0"/>
                      <w:bCs/>
                      <w:color w:val="auto"/>
                      <w:sz w:val="21"/>
                      <w:szCs w:val="21"/>
                      <w:highlight w:val="none"/>
                      <w:u w:val="none"/>
                      <w:vertAlign w:val="superscript"/>
                      <w:lang w:val="en-US" w:eastAsia="zh-CN"/>
                    </w:rPr>
                    <w:t>3</w:t>
                  </w:r>
                </w:p>
              </w:tc>
              <w:tc>
                <w:tcPr>
                  <w:tcW w:w="792" w:type="dxa"/>
                  <w:tcBorders>
                    <w:tl2br w:val="nil"/>
                    <w:tr2bl w:val="nil"/>
                  </w:tcBorders>
                  <w:noWrap w:val="0"/>
                  <w:vAlign w:val="center"/>
                </w:tcPr>
                <w:p w14:paraId="671E2DA1">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eastAsia="zh-CN"/>
                    </w:rPr>
                  </w:pPr>
                  <w:r>
                    <w:rPr>
                      <w:rFonts w:hint="default" w:ascii="Times New Roman" w:hAnsi="Times New Roman" w:eastAsia="宋体" w:cs="Times New Roman"/>
                      <w:b w:val="0"/>
                      <w:bCs/>
                      <w:color w:val="auto"/>
                      <w:sz w:val="21"/>
                      <w:szCs w:val="21"/>
                      <w:highlight w:val="none"/>
                      <w:u w:val="none"/>
                      <w:lang w:eastAsia="zh-CN"/>
                    </w:rPr>
                    <w:t>符合</w:t>
                  </w:r>
                </w:p>
              </w:tc>
            </w:tr>
            <w:tr w14:paraId="291AA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1" w:hRule="atLeast"/>
              </w:trPr>
              <w:tc>
                <w:tcPr>
                  <w:tcW w:w="789" w:type="dxa"/>
                  <w:tcBorders>
                    <w:tl2br w:val="nil"/>
                    <w:tr2bl w:val="nil"/>
                  </w:tcBorders>
                  <w:noWrap w:val="0"/>
                  <w:vAlign w:val="center"/>
                </w:tcPr>
                <w:p w14:paraId="67C1864B">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无组织排放</w:t>
                  </w:r>
                </w:p>
              </w:tc>
              <w:tc>
                <w:tcPr>
                  <w:tcW w:w="3315" w:type="dxa"/>
                  <w:tcBorders>
                    <w:tl2br w:val="nil"/>
                    <w:tr2bl w:val="nil"/>
                  </w:tcBorders>
                  <w:noWrap w:val="0"/>
                  <w:vAlign w:val="center"/>
                </w:tcPr>
                <w:p w14:paraId="2FA9CD34">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1、粉状物料全部密闭储存；</w:t>
                  </w:r>
                </w:p>
                <w:p w14:paraId="408E5C67">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2、物料采用封闭式皮带、斗提、斜槽运输，各物料破碎、转载、下料口设置集尘罩并配置袋式除尘器，库顶等泄压口配备袋式除尘器；</w:t>
                  </w:r>
                </w:p>
                <w:p w14:paraId="105C68A4">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3、料棚配备喷雾抑尘设施或物料全部封闭储存，出入口配备自动门，水泥包装车间全封闭，袋装水泥装车点位采用集中通风除尘系统，水泥散装采用密闭罐车，并配备带抽风口的散装卸料器</w:t>
                  </w:r>
                </w:p>
              </w:tc>
              <w:tc>
                <w:tcPr>
                  <w:tcW w:w="2568" w:type="dxa"/>
                  <w:tcBorders>
                    <w:tl2br w:val="nil"/>
                    <w:tr2bl w:val="nil"/>
                  </w:tcBorders>
                  <w:noWrap w:val="0"/>
                  <w:vAlign w:val="center"/>
                </w:tcPr>
                <w:p w14:paraId="23DF9E37">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eastAsia" w:cs="Times New Roman"/>
                      <w:b w:val="0"/>
                      <w:bCs/>
                      <w:color w:val="auto"/>
                      <w:sz w:val="21"/>
                      <w:szCs w:val="21"/>
                      <w:highlight w:val="none"/>
                      <w:u w:val="none"/>
                      <w:lang w:val="en-US" w:eastAsia="zh-CN"/>
                    </w:rPr>
                  </w:pPr>
                  <w:r>
                    <w:rPr>
                      <w:rFonts w:hint="eastAsia" w:cs="Times New Roman"/>
                      <w:b w:val="0"/>
                      <w:bCs/>
                      <w:color w:val="auto"/>
                      <w:sz w:val="21"/>
                      <w:szCs w:val="21"/>
                      <w:highlight w:val="none"/>
                      <w:u w:val="none"/>
                      <w:lang w:val="en-US" w:eastAsia="zh-CN"/>
                    </w:rPr>
                    <w:t>1.</w:t>
                  </w:r>
                  <w:r>
                    <w:rPr>
                      <w:rFonts w:hint="default" w:ascii="Times New Roman" w:hAnsi="Times New Roman" w:eastAsia="宋体" w:cs="Times New Roman"/>
                      <w:b w:val="0"/>
                      <w:bCs/>
                      <w:color w:val="auto"/>
                      <w:sz w:val="21"/>
                      <w:szCs w:val="21"/>
                      <w:highlight w:val="none"/>
                      <w:u w:val="none"/>
                      <w:lang w:val="en-US" w:eastAsia="zh-CN"/>
                    </w:rPr>
                    <w:t>本项目水泥</w:t>
                  </w:r>
                  <w:r>
                    <w:rPr>
                      <w:rFonts w:hint="eastAsia" w:cs="Times New Roman"/>
                      <w:b w:val="0"/>
                      <w:bCs/>
                      <w:color w:val="auto"/>
                      <w:sz w:val="21"/>
                      <w:szCs w:val="21"/>
                      <w:highlight w:val="none"/>
                      <w:u w:val="none"/>
                      <w:lang w:val="en-US" w:eastAsia="zh-CN"/>
                    </w:rPr>
                    <w:t>原料储存在水泥筒仓内。</w:t>
                  </w:r>
                </w:p>
                <w:p w14:paraId="6A1BDF83">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eastAsia" w:cs="Times New Roman"/>
                      <w:b w:val="0"/>
                      <w:bCs/>
                      <w:color w:val="auto"/>
                      <w:sz w:val="21"/>
                      <w:szCs w:val="21"/>
                      <w:highlight w:val="none"/>
                      <w:u w:val="none"/>
                      <w:lang w:val="en-US" w:eastAsia="zh-CN"/>
                    </w:rPr>
                  </w:pPr>
                  <w:r>
                    <w:rPr>
                      <w:rFonts w:hint="eastAsia" w:cs="Times New Roman"/>
                      <w:b w:val="0"/>
                      <w:bCs/>
                      <w:color w:val="auto"/>
                      <w:sz w:val="21"/>
                      <w:szCs w:val="21"/>
                      <w:highlight w:val="none"/>
                      <w:u w:val="none"/>
                      <w:lang w:val="en-US" w:eastAsia="zh-CN"/>
                    </w:rPr>
                    <w:t>2.</w:t>
                  </w:r>
                  <w:r>
                    <w:rPr>
                      <w:rFonts w:hint="eastAsia" w:ascii="Times New Roman" w:hAnsi="Times New Roman" w:eastAsia="宋体" w:cs="Times New Roman"/>
                      <w:b w:val="0"/>
                      <w:bCs/>
                      <w:color w:val="auto"/>
                      <w:sz w:val="21"/>
                      <w:szCs w:val="21"/>
                      <w:highlight w:val="none"/>
                      <w:u w:val="none"/>
                      <w:lang w:val="en-US" w:eastAsia="zh-CN"/>
                    </w:rPr>
                    <w:t>其他</w:t>
                  </w:r>
                  <w:r>
                    <w:rPr>
                      <w:rFonts w:hint="eastAsia" w:cs="Times New Roman"/>
                      <w:b w:val="0"/>
                      <w:bCs/>
                      <w:color w:val="auto"/>
                      <w:sz w:val="21"/>
                      <w:szCs w:val="21"/>
                      <w:highlight w:val="none"/>
                      <w:u w:val="none"/>
                      <w:lang w:val="en-US" w:eastAsia="zh-CN"/>
                    </w:rPr>
                    <w:t>粒状和块状</w:t>
                  </w:r>
                  <w:r>
                    <w:rPr>
                      <w:rFonts w:hint="eastAsia" w:ascii="Times New Roman" w:hAnsi="Times New Roman" w:eastAsia="宋体" w:cs="Times New Roman"/>
                      <w:b w:val="0"/>
                      <w:bCs/>
                      <w:color w:val="auto"/>
                      <w:sz w:val="21"/>
                      <w:szCs w:val="21"/>
                      <w:highlight w:val="none"/>
                      <w:u w:val="none"/>
                      <w:lang w:val="en-US" w:eastAsia="zh-CN"/>
                    </w:rPr>
                    <w:t>物料</w:t>
                  </w:r>
                  <w:r>
                    <w:rPr>
                      <w:rFonts w:hint="default" w:ascii="Times New Roman" w:hAnsi="Times New Roman" w:eastAsia="宋体" w:cs="Times New Roman"/>
                      <w:b w:val="0"/>
                      <w:bCs/>
                      <w:color w:val="auto"/>
                      <w:sz w:val="21"/>
                      <w:szCs w:val="21"/>
                      <w:highlight w:val="none"/>
                      <w:u w:val="none"/>
                      <w:lang w:val="en-US" w:eastAsia="zh-CN"/>
                    </w:rPr>
                    <w:t>储存于</w:t>
                  </w:r>
                  <w:r>
                    <w:rPr>
                      <w:rFonts w:hint="eastAsia" w:cs="Times New Roman"/>
                      <w:b w:val="0"/>
                      <w:bCs/>
                      <w:color w:val="auto"/>
                      <w:sz w:val="21"/>
                      <w:szCs w:val="21"/>
                      <w:highlight w:val="none"/>
                      <w:u w:val="none"/>
                      <w:lang w:val="en-US" w:eastAsia="zh-CN"/>
                    </w:rPr>
                    <w:t>封闭厂房</w:t>
                  </w:r>
                  <w:r>
                    <w:rPr>
                      <w:rFonts w:hint="eastAsia" w:ascii="Times New Roman" w:hAnsi="Times New Roman" w:eastAsia="宋体" w:cs="Times New Roman"/>
                      <w:b w:val="0"/>
                      <w:bCs/>
                      <w:color w:val="auto"/>
                      <w:sz w:val="21"/>
                      <w:szCs w:val="21"/>
                      <w:highlight w:val="none"/>
                      <w:u w:val="none"/>
                      <w:lang w:val="en-US" w:eastAsia="zh-CN"/>
                    </w:rPr>
                    <w:t>原</w:t>
                  </w:r>
                  <w:r>
                    <w:rPr>
                      <w:rFonts w:hint="eastAsia" w:cs="Times New Roman"/>
                      <w:b w:val="0"/>
                      <w:bCs/>
                      <w:color w:val="auto"/>
                      <w:sz w:val="21"/>
                      <w:szCs w:val="21"/>
                      <w:highlight w:val="none"/>
                      <w:u w:val="none"/>
                      <w:lang w:val="en-US" w:eastAsia="zh-CN"/>
                    </w:rPr>
                    <w:t>材料区</w:t>
                  </w:r>
                  <w:r>
                    <w:rPr>
                      <w:rFonts w:hint="default" w:ascii="Times New Roman" w:hAnsi="Times New Roman" w:eastAsia="宋体" w:cs="Times New Roman"/>
                      <w:b w:val="0"/>
                      <w:bCs/>
                      <w:color w:val="auto"/>
                      <w:sz w:val="21"/>
                      <w:szCs w:val="21"/>
                      <w:highlight w:val="none"/>
                      <w:u w:val="none"/>
                      <w:lang w:val="en-US" w:eastAsia="zh-CN"/>
                    </w:rPr>
                    <w:t>，物料采用</w:t>
                  </w:r>
                  <w:r>
                    <w:rPr>
                      <w:rFonts w:hint="eastAsia" w:cs="Times New Roman"/>
                      <w:b w:val="0"/>
                      <w:bCs/>
                      <w:color w:val="auto"/>
                      <w:sz w:val="21"/>
                      <w:szCs w:val="21"/>
                      <w:highlight w:val="none"/>
                      <w:u w:val="none"/>
                      <w:lang w:val="en-US" w:eastAsia="zh-CN"/>
                    </w:rPr>
                    <w:t>封闭</w:t>
                  </w:r>
                  <w:r>
                    <w:rPr>
                      <w:rFonts w:hint="default" w:ascii="Times New Roman" w:hAnsi="Times New Roman" w:eastAsia="宋体" w:cs="Times New Roman"/>
                      <w:b w:val="0"/>
                      <w:bCs/>
                      <w:color w:val="auto"/>
                      <w:sz w:val="21"/>
                      <w:szCs w:val="21"/>
                      <w:highlight w:val="none"/>
                      <w:u w:val="none"/>
                      <w:lang w:val="en-US" w:eastAsia="zh-CN"/>
                    </w:rPr>
                    <w:t>皮带</w:t>
                  </w:r>
                  <w:r>
                    <w:rPr>
                      <w:rFonts w:hint="eastAsia" w:cs="Times New Roman"/>
                      <w:b w:val="0"/>
                      <w:bCs/>
                      <w:color w:val="auto"/>
                      <w:sz w:val="21"/>
                      <w:szCs w:val="21"/>
                      <w:highlight w:val="none"/>
                      <w:u w:val="none"/>
                      <w:lang w:val="en-US" w:eastAsia="zh-CN"/>
                    </w:rPr>
                    <w:t>、给料机运输</w:t>
                  </w:r>
                  <w:r>
                    <w:rPr>
                      <w:rFonts w:hint="eastAsia" w:ascii="Times New Roman" w:hAnsi="Times New Roman" w:eastAsia="宋体" w:cs="Times New Roman"/>
                      <w:b w:val="0"/>
                      <w:bCs/>
                      <w:color w:val="auto"/>
                      <w:sz w:val="21"/>
                      <w:szCs w:val="21"/>
                      <w:highlight w:val="none"/>
                      <w:u w:val="none"/>
                      <w:lang w:val="en-US" w:eastAsia="zh-CN"/>
                    </w:rPr>
                    <w:t>；</w:t>
                  </w:r>
                  <w:r>
                    <w:rPr>
                      <w:rFonts w:hint="eastAsia" w:cs="Times New Roman"/>
                      <w:b w:val="0"/>
                      <w:bCs/>
                      <w:color w:val="auto"/>
                      <w:sz w:val="21"/>
                      <w:szCs w:val="21"/>
                      <w:highlight w:val="none"/>
                      <w:u w:val="none"/>
                      <w:lang w:val="en-US" w:eastAsia="zh-CN"/>
                    </w:rPr>
                    <w:t>颚破、</w:t>
                  </w:r>
                  <w:r>
                    <w:rPr>
                      <w:rFonts w:hint="default" w:ascii="Times New Roman" w:hAnsi="Times New Roman" w:eastAsia="宋体" w:cs="Times New Roman"/>
                      <w:b w:val="0"/>
                      <w:bCs/>
                      <w:color w:val="auto"/>
                      <w:sz w:val="21"/>
                      <w:szCs w:val="21"/>
                      <w:highlight w:val="none"/>
                      <w:u w:val="none"/>
                      <w:lang w:val="en-US" w:eastAsia="zh-CN"/>
                    </w:rPr>
                    <w:t>上料、搅拌工序产生的废气经收集后配置袋式除尘器</w:t>
                  </w:r>
                  <w:r>
                    <w:rPr>
                      <w:rFonts w:hint="eastAsia" w:ascii="Times New Roman" w:hAnsi="Times New Roman" w:eastAsia="宋体" w:cs="Times New Roman"/>
                      <w:b w:val="0"/>
                      <w:bCs/>
                      <w:color w:val="auto"/>
                      <w:sz w:val="21"/>
                      <w:szCs w:val="21"/>
                      <w:highlight w:val="none"/>
                      <w:u w:val="none"/>
                      <w:lang w:val="en-US" w:eastAsia="zh-CN"/>
                    </w:rPr>
                    <w:t>收集处理</w:t>
                  </w:r>
                  <w:r>
                    <w:rPr>
                      <w:rFonts w:hint="eastAsia" w:cs="Times New Roman"/>
                      <w:b w:val="0"/>
                      <w:bCs/>
                      <w:color w:val="auto"/>
                      <w:sz w:val="21"/>
                      <w:szCs w:val="21"/>
                      <w:highlight w:val="none"/>
                      <w:u w:val="none"/>
                      <w:lang w:val="en-US" w:eastAsia="zh-CN"/>
                    </w:rPr>
                    <w:t>。</w:t>
                  </w:r>
                </w:p>
                <w:p w14:paraId="302F3640">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eastAsia" w:cs="Times New Roman"/>
                      <w:b w:val="0"/>
                      <w:bCs/>
                      <w:color w:val="auto"/>
                      <w:sz w:val="21"/>
                      <w:szCs w:val="21"/>
                      <w:highlight w:val="none"/>
                      <w:u w:val="none"/>
                      <w:lang w:val="en-US" w:eastAsia="zh-CN"/>
                    </w:rPr>
                    <w:t>3.</w:t>
                  </w:r>
                  <w:r>
                    <w:rPr>
                      <w:rFonts w:hint="default" w:ascii="Times New Roman" w:hAnsi="Times New Roman" w:eastAsia="宋体" w:cs="Times New Roman"/>
                      <w:bCs/>
                      <w:color w:val="auto"/>
                      <w:kern w:val="28"/>
                      <w:sz w:val="21"/>
                      <w:szCs w:val="21"/>
                      <w:highlight w:val="none"/>
                      <w:u w:val="none"/>
                      <w:vertAlign w:val="baseline"/>
                      <w:lang w:eastAsia="zh-CN"/>
                    </w:rPr>
                    <w:t>料棚配备喷雾抑尘设施</w:t>
                  </w:r>
                  <w:r>
                    <w:rPr>
                      <w:rFonts w:hint="eastAsia" w:ascii="Times New Roman" w:hAnsi="Times New Roman" w:cs="Times New Roman"/>
                      <w:bCs/>
                      <w:color w:val="auto"/>
                      <w:kern w:val="28"/>
                      <w:sz w:val="21"/>
                      <w:szCs w:val="21"/>
                      <w:highlight w:val="none"/>
                      <w:u w:val="none"/>
                      <w:vertAlign w:val="baseline"/>
                      <w:lang w:eastAsia="zh-CN"/>
                    </w:rPr>
                    <w:t>，</w:t>
                  </w:r>
                  <w:r>
                    <w:rPr>
                      <w:rFonts w:hint="eastAsia" w:ascii="Times New Roman" w:hAnsi="Times New Roman" w:cs="Times New Roman"/>
                      <w:bCs/>
                      <w:color w:val="auto"/>
                      <w:kern w:val="28"/>
                      <w:sz w:val="21"/>
                      <w:szCs w:val="21"/>
                      <w:highlight w:val="none"/>
                      <w:u w:val="none"/>
                      <w:vertAlign w:val="baseline"/>
                      <w:lang w:val="en-US" w:eastAsia="zh-CN"/>
                    </w:rPr>
                    <w:t>水稳生产是湿料加工</w:t>
                  </w:r>
                  <w:r>
                    <w:rPr>
                      <w:rFonts w:hint="default" w:ascii="Times New Roman" w:hAnsi="Times New Roman" w:eastAsia="宋体" w:cs="Times New Roman"/>
                      <w:bCs/>
                      <w:color w:val="auto"/>
                      <w:kern w:val="28"/>
                      <w:sz w:val="21"/>
                      <w:szCs w:val="21"/>
                      <w:highlight w:val="none"/>
                      <w:u w:val="none"/>
                      <w:vertAlign w:val="baseline"/>
                      <w:lang w:eastAsia="zh-CN"/>
                    </w:rPr>
                    <w:t>或物</w:t>
                  </w:r>
                  <w:r>
                    <w:rPr>
                      <w:rFonts w:hint="eastAsia" w:ascii="Times New Roman" w:hAnsi="Times New Roman" w:eastAsia="宋体" w:cs="Times New Roman"/>
                      <w:b w:val="0"/>
                      <w:bCs/>
                      <w:color w:val="auto"/>
                      <w:sz w:val="21"/>
                      <w:szCs w:val="21"/>
                      <w:highlight w:val="none"/>
                      <w:u w:val="none"/>
                      <w:lang w:val="en-US" w:eastAsia="zh-CN"/>
                    </w:rPr>
                    <w:t>，</w:t>
                  </w:r>
                  <w:r>
                    <w:rPr>
                      <w:rFonts w:hint="default" w:ascii="Times New Roman" w:hAnsi="Times New Roman" w:eastAsia="宋体" w:cs="Times New Roman"/>
                      <w:b w:val="0"/>
                      <w:bCs/>
                      <w:color w:val="auto"/>
                      <w:sz w:val="21"/>
                      <w:szCs w:val="21"/>
                      <w:highlight w:val="none"/>
                      <w:u w:val="none"/>
                      <w:lang w:val="en-US" w:eastAsia="zh-CN"/>
                    </w:rPr>
                    <w:t>出入口配备自动门</w:t>
                  </w:r>
                  <w:r>
                    <w:rPr>
                      <w:rFonts w:hint="eastAsia" w:cs="Times New Roman"/>
                      <w:b w:val="0"/>
                      <w:bCs/>
                      <w:color w:val="auto"/>
                      <w:sz w:val="21"/>
                      <w:szCs w:val="21"/>
                      <w:highlight w:val="none"/>
                      <w:u w:val="none"/>
                      <w:lang w:val="en-US" w:eastAsia="zh-CN"/>
                    </w:rPr>
                    <w:t>。</w:t>
                  </w:r>
                </w:p>
              </w:tc>
              <w:tc>
                <w:tcPr>
                  <w:tcW w:w="792" w:type="dxa"/>
                  <w:tcBorders>
                    <w:tl2br w:val="nil"/>
                    <w:tr2bl w:val="nil"/>
                  </w:tcBorders>
                  <w:noWrap w:val="0"/>
                  <w:vAlign w:val="center"/>
                </w:tcPr>
                <w:p w14:paraId="0F9641FA">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eastAsia="zh-CN"/>
                    </w:rPr>
                  </w:pPr>
                  <w:r>
                    <w:rPr>
                      <w:rFonts w:hint="default" w:ascii="Times New Roman" w:hAnsi="Times New Roman" w:eastAsia="宋体" w:cs="Times New Roman"/>
                      <w:b w:val="0"/>
                      <w:bCs/>
                      <w:color w:val="auto"/>
                      <w:sz w:val="21"/>
                      <w:szCs w:val="21"/>
                      <w:highlight w:val="none"/>
                      <w:u w:val="none"/>
                      <w:lang w:eastAsia="zh-CN"/>
                    </w:rPr>
                    <w:t>符合</w:t>
                  </w:r>
                </w:p>
              </w:tc>
            </w:tr>
            <w:tr w14:paraId="37671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0" w:hRule="atLeast"/>
              </w:trPr>
              <w:tc>
                <w:tcPr>
                  <w:tcW w:w="789" w:type="dxa"/>
                  <w:tcBorders>
                    <w:tl2br w:val="nil"/>
                    <w:tr2bl w:val="nil"/>
                  </w:tcBorders>
                  <w:noWrap w:val="0"/>
                  <w:vAlign w:val="center"/>
                </w:tcPr>
                <w:p w14:paraId="64D7C9A6">
                  <w:pPr>
                    <w:adjustRightInd w:val="0"/>
                    <w:snapToGrid w:val="0"/>
                    <w:jc w:val="center"/>
                    <w:rPr>
                      <w:rFonts w:hint="default" w:ascii="Times New Roman" w:hAnsi="Times New Roman" w:cs="Times New Roman"/>
                      <w:kern w:val="2"/>
                      <w:sz w:val="21"/>
                      <w:szCs w:val="24"/>
                      <w:highlight w:val="none"/>
                      <w:lang w:val="en-US" w:eastAsia="zh-CN" w:bidi="ar-SA"/>
                    </w:rPr>
                  </w:pPr>
                  <w:r>
                    <w:rPr>
                      <w:rFonts w:hint="default" w:ascii="Times New Roman" w:hAnsi="Times New Roman" w:cs="Times New Roman"/>
                      <w:kern w:val="0"/>
                      <w:highlight w:val="none"/>
                    </w:rPr>
                    <w:t>监测监控水平</w:t>
                  </w:r>
                </w:p>
              </w:tc>
              <w:tc>
                <w:tcPr>
                  <w:tcW w:w="3315" w:type="dxa"/>
                  <w:tcBorders>
                    <w:tl2br w:val="nil"/>
                    <w:tr2bl w:val="nil"/>
                  </w:tcBorders>
                  <w:noWrap w:val="0"/>
                  <w:vAlign w:val="center"/>
                </w:tcPr>
                <w:p w14:paraId="644613A8">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重点排污企业水泥磨和独立烘干系统安装CEMS，CEMS监控数据保存一年以上。料场出入口等易产尘点，安装高清视频监控设施，视频监控数据保存三个月以上</w:t>
                  </w:r>
                </w:p>
              </w:tc>
              <w:tc>
                <w:tcPr>
                  <w:tcW w:w="2568" w:type="dxa"/>
                  <w:tcBorders>
                    <w:tl2br w:val="nil"/>
                    <w:tr2bl w:val="nil"/>
                  </w:tcBorders>
                  <w:noWrap w:val="0"/>
                  <w:vAlign w:val="center"/>
                </w:tcPr>
                <w:p w14:paraId="437062F2">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本企业不</w:t>
                  </w:r>
                  <w:r>
                    <w:rPr>
                      <w:rFonts w:hint="eastAsia" w:cs="Times New Roman"/>
                      <w:b w:val="0"/>
                      <w:bCs/>
                      <w:color w:val="auto"/>
                      <w:sz w:val="21"/>
                      <w:szCs w:val="21"/>
                      <w:highlight w:val="none"/>
                      <w:u w:val="none"/>
                      <w:lang w:val="en-US" w:eastAsia="zh-CN"/>
                    </w:rPr>
                    <w:t>涉及水泥磨和独立烘干系统，水稳生产线不安装</w:t>
                  </w:r>
                  <w:r>
                    <w:rPr>
                      <w:rFonts w:hint="default" w:ascii="Times New Roman" w:hAnsi="Times New Roman" w:eastAsia="宋体" w:cs="Times New Roman"/>
                      <w:bCs/>
                      <w:color w:val="auto"/>
                      <w:kern w:val="28"/>
                      <w:sz w:val="21"/>
                      <w:szCs w:val="21"/>
                      <w:highlight w:val="none"/>
                      <w:u w:val="none"/>
                      <w:vertAlign w:val="baseline"/>
                      <w:lang w:eastAsia="zh-CN"/>
                    </w:rPr>
                    <w:t>CEMS</w:t>
                  </w:r>
                  <w:r>
                    <w:rPr>
                      <w:rFonts w:hint="eastAsia" w:cs="Times New Roman"/>
                      <w:bCs/>
                      <w:color w:val="auto"/>
                      <w:kern w:val="28"/>
                      <w:sz w:val="21"/>
                      <w:szCs w:val="21"/>
                      <w:highlight w:val="none"/>
                      <w:u w:val="none"/>
                      <w:vertAlign w:val="baseline"/>
                      <w:lang w:eastAsia="zh-CN"/>
                    </w:rPr>
                    <w:t>，</w:t>
                  </w:r>
                  <w:r>
                    <w:rPr>
                      <w:rFonts w:hint="default" w:ascii="Times New Roman" w:hAnsi="Times New Roman" w:eastAsia="宋体" w:cs="Times New Roman"/>
                      <w:bCs/>
                      <w:color w:val="auto"/>
                      <w:kern w:val="28"/>
                      <w:sz w:val="21"/>
                      <w:szCs w:val="21"/>
                      <w:highlight w:val="none"/>
                      <w:u w:val="none"/>
                      <w:vertAlign w:val="baseline"/>
                      <w:lang w:eastAsia="zh-CN"/>
                    </w:rPr>
                    <w:t>料场出入口等易产尘点，安装高清视频监控设施，视频监控数据保存三个月以上</w:t>
                  </w:r>
                  <w:r>
                    <w:rPr>
                      <w:rFonts w:hint="eastAsia" w:cs="Times New Roman"/>
                      <w:bCs/>
                      <w:color w:val="auto"/>
                      <w:kern w:val="28"/>
                      <w:sz w:val="21"/>
                      <w:szCs w:val="21"/>
                      <w:highlight w:val="none"/>
                      <w:u w:val="none"/>
                      <w:vertAlign w:val="baseline"/>
                      <w:lang w:eastAsia="zh-CN"/>
                    </w:rPr>
                    <w:t>。</w:t>
                  </w:r>
                </w:p>
              </w:tc>
              <w:tc>
                <w:tcPr>
                  <w:tcW w:w="792" w:type="dxa"/>
                  <w:tcBorders>
                    <w:tl2br w:val="nil"/>
                    <w:tr2bl w:val="nil"/>
                  </w:tcBorders>
                  <w:noWrap w:val="0"/>
                  <w:vAlign w:val="center"/>
                </w:tcPr>
                <w:p w14:paraId="3D3B4EC3">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eastAsia="zh-CN"/>
                    </w:rPr>
                  </w:pPr>
                  <w:r>
                    <w:rPr>
                      <w:rFonts w:hint="default" w:ascii="Times New Roman" w:hAnsi="Times New Roman" w:eastAsia="宋体" w:cs="Times New Roman"/>
                      <w:b w:val="0"/>
                      <w:bCs/>
                      <w:color w:val="auto"/>
                      <w:sz w:val="21"/>
                      <w:szCs w:val="21"/>
                      <w:highlight w:val="none"/>
                      <w:u w:val="none"/>
                      <w:lang w:eastAsia="zh-CN"/>
                    </w:rPr>
                    <w:t>符合</w:t>
                  </w:r>
                </w:p>
              </w:tc>
            </w:tr>
            <w:tr w14:paraId="402C4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789" w:type="dxa"/>
                  <w:tcBorders>
                    <w:tl2br w:val="nil"/>
                    <w:tr2bl w:val="nil"/>
                  </w:tcBorders>
                  <w:noWrap w:val="0"/>
                  <w:vAlign w:val="center"/>
                </w:tcPr>
                <w:p w14:paraId="5CBF487C">
                  <w:pPr>
                    <w:adjustRightInd w:val="0"/>
                    <w:snapToGrid w:val="0"/>
                    <w:jc w:val="center"/>
                    <w:rPr>
                      <w:rFonts w:hint="default" w:ascii="Times New Roman" w:hAnsi="Times New Roman" w:cs="Times New Roman"/>
                      <w:kern w:val="0"/>
                      <w:sz w:val="21"/>
                      <w:szCs w:val="24"/>
                      <w:highlight w:val="none"/>
                      <w:lang w:val="en-US" w:eastAsia="zh-CN" w:bidi="ar-SA"/>
                    </w:rPr>
                  </w:pPr>
                  <w:r>
                    <w:rPr>
                      <w:rFonts w:hint="default" w:ascii="Times New Roman" w:hAnsi="Times New Roman" w:cs="Times New Roman"/>
                      <w:highlight w:val="none"/>
                    </w:rPr>
                    <w:t>环境管理水平</w:t>
                  </w:r>
                </w:p>
              </w:tc>
              <w:tc>
                <w:tcPr>
                  <w:tcW w:w="3315" w:type="dxa"/>
                  <w:tcBorders>
                    <w:tl2br w:val="nil"/>
                    <w:tr2bl w:val="nil"/>
                  </w:tcBorders>
                  <w:noWrap w:val="0"/>
                  <w:vAlign w:val="center"/>
                </w:tcPr>
                <w:p w14:paraId="5D6B2743">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环保档案齐全：1、环评批复文件；2、排污许可证及季度、年度执行报告；3、竣工验收文件；4、一年内废气检测报告</w:t>
                  </w:r>
                </w:p>
                <w:p w14:paraId="13E5FC45">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台账记录：1、完整生产管理台账（包括生产设备运行台账，原辅材料、燃料使用量，产品产量等）；2、运输管理电子台账（包括车辆出入厂记录、车牌号、VIN号、发动机编号和排放标准等）；3、设备维护记录；4、废气治理设备清单（包括主要污染治理设备、设计说明书、运行记录、CEMS数据等）；5、耗材清单（除尘器滤料更换记录等）</w:t>
                  </w:r>
                </w:p>
                <w:p w14:paraId="4E8AC955">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管理制度健全：1、有专兼职环保人员；2、废气治理设施运行管理规程</w:t>
                  </w:r>
                </w:p>
              </w:tc>
              <w:tc>
                <w:tcPr>
                  <w:tcW w:w="2568" w:type="dxa"/>
                  <w:tcBorders>
                    <w:tl2br w:val="nil"/>
                    <w:tr2bl w:val="nil"/>
                  </w:tcBorders>
                  <w:noWrap w:val="0"/>
                  <w:vAlign w:val="center"/>
                </w:tcPr>
                <w:p w14:paraId="22EF2948">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环评要求建设单位按照环保相关要求建立健全环保档案；项目建成后</w:t>
                  </w:r>
                  <w:r>
                    <w:rPr>
                      <w:rFonts w:hint="eastAsia" w:cs="Times New Roman"/>
                      <w:b w:val="0"/>
                      <w:bCs/>
                      <w:color w:val="auto"/>
                      <w:sz w:val="21"/>
                      <w:szCs w:val="21"/>
                      <w:highlight w:val="none"/>
                      <w:u w:val="none"/>
                      <w:lang w:val="en-US" w:eastAsia="zh-CN"/>
                    </w:rPr>
                    <w:t>进行排污、验收工作，废气定期进行检测，</w:t>
                  </w:r>
                  <w:r>
                    <w:rPr>
                      <w:rFonts w:hint="default" w:ascii="Times New Roman" w:hAnsi="Times New Roman" w:eastAsia="宋体" w:cs="Times New Roman"/>
                      <w:b w:val="0"/>
                      <w:bCs/>
                      <w:color w:val="auto"/>
                      <w:sz w:val="21"/>
                      <w:szCs w:val="21"/>
                      <w:highlight w:val="none"/>
                      <w:u w:val="none"/>
                      <w:lang w:val="en-US" w:eastAsia="zh-CN"/>
                    </w:rPr>
                    <w:t>建立生产管理台账、运输管理台账</w:t>
                  </w:r>
                  <w:r>
                    <w:rPr>
                      <w:rFonts w:hint="eastAsia" w:cs="Times New Roman"/>
                      <w:b w:val="0"/>
                      <w:bCs/>
                      <w:color w:val="auto"/>
                      <w:sz w:val="21"/>
                      <w:szCs w:val="21"/>
                      <w:highlight w:val="none"/>
                      <w:u w:val="none"/>
                      <w:lang w:val="en-US" w:eastAsia="zh-CN"/>
                    </w:rPr>
                    <w:t>，</w:t>
                  </w:r>
                  <w:r>
                    <w:rPr>
                      <w:rFonts w:hint="default" w:ascii="Times New Roman" w:hAnsi="Times New Roman" w:eastAsia="宋体" w:cs="Times New Roman"/>
                      <w:b w:val="0"/>
                      <w:bCs/>
                      <w:color w:val="auto"/>
                      <w:sz w:val="21"/>
                      <w:szCs w:val="21"/>
                      <w:highlight w:val="none"/>
                      <w:u w:val="none"/>
                      <w:lang w:val="en-US" w:eastAsia="zh-CN"/>
                    </w:rPr>
                    <w:t>废气治理设备清单、耗材清单等台账记录；记录保留不低于五年；项目建成后设置环保机构，配置环保人员，定期加强环保人员培训，提供环境管理能力，健全管理制度</w:t>
                  </w:r>
                  <w:r>
                    <w:rPr>
                      <w:rFonts w:hint="eastAsia" w:cs="Times New Roman"/>
                      <w:b w:val="0"/>
                      <w:bCs/>
                      <w:color w:val="auto"/>
                      <w:sz w:val="21"/>
                      <w:szCs w:val="21"/>
                      <w:highlight w:val="none"/>
                      <w:u w:val="none"/>
                      <w:lang w:val="en-US" w:eastAsia="zh-CN"/>
                    </w:rPr>
                    <w:t>。</w:t>
                  </w:r>
                </w:p>
              </w:tc>
              <w:tc>
                <w:tcPr>
                  <w:tcW w:w="792" w:type="dxa"/>
                  <w:tcBorders>
                    <w:tl2br w:val="nil"/>
                    <w:tr2bl w:val="nil"/>
                  </w:tcBorders>
                  <w:noWrap w:val="0"/>
                  <w:vAlign w:val="center"/>
                </w:tcPr>
                <w:p w14:paraId="762298D1">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eastAsia="zh-CN"/>
                    </w:rPr>
                  </w:pPr>
                  <w:r>
                    <w:rPr>
                      <w:rFonts w:hint="default" w:ascii="Times New Roman" w:hAnsi="Times New Roman" w:eastAsia="宋体" w:cs="Times New Roman"/>
                      <w:b w:val="0"/>
                      <w:bCs/>
                      <w:color w:val="auto"/>
                      <w:sz w:val="21"/>
                      <w:szCs w:val="21"/>
                      <w:highlight w:val="none"/>
                      <w:u w:val="none"/>
                      <w:lang w:eastAsia="zh-CN"/>
                    </w:rPr>
                    <w:t>符合</w:t>
                  </w:r>
                </w:p>
              </w:tc>
            </w:tr>
            <w:tr w14:paraId="3C8D7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7" w:hRule="atLeast"/>
              </w:trPr>
              <w:tc>
                <w:tcPr>
                  <w:tcW w:w="789" w:type="dxa"/>
                  <w:tcBorders>
                    <w:tl2br w:val="nil"/>
                    <w:tr2bl w:val="nil"/>
                  </w:tcBorders>
                  <w:noWrap w:val="0"/>
                  <w:vAlign w:val="center"/>
                </w:tcPr>
                <w:p w14:paraId="50CB63C5">
                  <w:pPr>
                    <w:adjustRightInd w:val="0"/>
                    <w:snapToGrid w:val="0"/>
                    <w:jc w:val="center"/>
                    <w:rPr>
                      <w:rFonts w:hint="default" w:ascii="Times New Roman" w:hAnsi="Times New Roman" w:cs="Times New Roman"/>
                      <w:kern w:val="0"/>
                      <w:sz w:val="21"/>
                      <w:szCs w:val="24"/>
                      <w:highlight w:val="none"/>
                      <w:lang w:val="en-US" w:eastAsia="zh-CN" w:bidi="ar-SA"/>
                    </w:rPr>
                  </w:pPr>
                  <w:r>
                    <w:rPr>
                      <w:rFonts w:hint="default" w:ascii="Times New Roman" w:hAnsi="Times New Roman" w:cs="Times New Roman"/>
                      <w:kern w:val="0"/>
                      <w:highlight w:val="none"/>
                    </w:rPr>
                    <w:t>运输方式</w:t>
                  </w:r>
                </w:p>
              </w:tc>
              <w:tc>
                <w:tcPr>
                  <w:tcW w:w="3315" w:type="dxa"/>
                  <w:tcBorders>
                    <w:tl2br w:val="nil"/>
                    <w:tr2bl w:val="nil"/>
                  </w:tcBorders>
                  <w:noWrap w:val="0"/>
                  <w:vAlign w:val="center"/>
                </w:tcPr>
                <w:p w14:paraId="14A50DF2">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1、物料（除水泥罐式货车外）公路运输全部使用达到国五及以上排放标准重型载货车辆（含燃气）或新能源车辆；</w:t>
                  </w:r>
                </w:p>
                <w:p w14:paraId="685A43AB">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2、厂内运输车辆全部达到国五及以上排放标准（含燃气）或使用新能源车辆；</w:t>
                  </w:r>
                </w:p>
                <w:p w14:paraId="2CAA6F96">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3、厂内非道路移动机械全部达到国三及以上排放标准或使用新能源机械</w:t>
                  </w:r>
                </w:p>
              </w:tc>
              <w:tc>
                <w:tcPr>
                  <w:tcW w:w="2568" w:type="dxa"/>
                  <w:tcBorders>
                    <w:tl2br w:val="nil"/>
                    <w:tr2bl w:val="nil"/>
                  </w:tcBorders>
                  <w:noWrap w:val="0"/>
                  <w:vAlign w:val="center"/>
                </w:tcPr>
                <w:p w14:paraId="631A04AC">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环评要求项目建成后，物料公路运输全部使用达到国五及以上排放标准重型载货车辆（含燃气）或新能源车辆；厂内运输车辆全部达到国五及以上排放标准（含燃气）或使用新能源车辆；厂内非道路移动机械全部达到国三及以上排放标准或使用新能源机械</w:t>
                  </w:r>
                </w:p>
              </w:tc>
              <w:tc>
                <w:tcPr>
                  <w:tcW w:w="792" w:type="dxa"/>
                  <w:tcBorders>
                    <w:tl2br w:val="nil"/>
                    <w:tr2bl w:val="nil"/>
                  </w:tcBorders>
                  <w:noWrap w:val="0"/>
                  <w:vAlign w:val="center"/>
                </w:tcPr>
                <w:p w14:paraId="79DA6B82">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eastAsia="zh-CN"/>
                    </w:rPr>
                  </w:pPr>
                  <w:r>
                    <w:rPr>
                      <w:rFonts w:hint="default" w:ascii="Times New Roman" w:hAnsi="Times New Roman" w:eastAsia="宋体" w:cs="Times New Roman"/>
                      <w:b w:val="0"/>
                      <w:bCs/>
                      <w:color w:val="auto"/>
                      <w:sz w:val="21"/>
                      <w:szCs w:val="21"/>
                      <w:highlight w:val="none"/>
                      <w:u w:val="none"/>
                      <w:lang w:eastAsia="zh-CN"/>
                    </w:rPr>
                    <w:t>符合</w:t>
                  </w:r>
                </w:p>
              </w:tc>
            </w:tr>
            <w:tr w14:paraId="61486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trPr>
              <w:tc>
                <w:tcPr>
                  <w:tcW w:w="789" w:type="dxa"/>
                  <w:tcBorders>
                    <w:tl2br w:val="nil"/>
                    <w:tr2bl w:val="nil"/>
                  </w:tcBorders>
                  <w:noWrap w:val="0"/>
                  <w:vAlign w:val="center"/>
                </w:tcPr>
                <w:p w14:paraId="385C8700">
                  <w:pPr>
                    <w:adjustRightInd w:val="0"/>
                    <w:snapToGrid w:val="0"/>
                    <w:jc w:val="center"/>
                    <w:rPr>
                      <w:rFonts w:hint="default" w:ascii="Times New Roman" w:hAnsi="Times New Roman" w:cs="Times New Roman"/>
                      <w:kern w:val="0"/>
                      <w:sz w:val="21"/>
                      <w:szCs w:val="24"/>
                      <w:highlight w:val="none"/>
                      <w:lang w:val="en-US" w:eastAsia="zh-CN" w:bidi="ar-SA"/>
                    </w:rPr>
                  </w:pPr>
                  <w:r>
                    <w:rPr>
                      <w:rFonts w:hint="default" w:ascii="Times New Roman" w:hAnsi="Times New Roman" w:cs="Times New Roman"/>
                      <w:kern w:val="0"/>
                      <w:highlight w:val="none"/>
                    </w:rPr>
                    <w:t>运输监管</w:t>
                  </w:r>
                </w:p>
              </w:tc>
              <w:tc>
                <w:tcPr>
                  <w:tcW w:w="3315" w:type="dxa"/>
                  <w:tcBorders>
                    <w:tl2br w:val="nil"/>
                    <w:tr2bl w:val="nil"/>
                  </w:tcBorders>
                  <w:noWrap w:val="0"/>
                  <w:vAlign w:val="center"/>
                </w:tcPr>
                <w:p w14:paraId="04299BC8">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highlight w:val="none"/>
                      <w:u w:val="none"/>
                      <w:vertAlign w:val="baseline"/>
                      <w:lang w:eastAsia="zh-CN"/>
                    </w:rPr>
                  </w:pPr>
                  <w:r>
                    <w:rPr>
                      <w:rFonts w:hint="default" w:ascii="Times New Roman" w:hAnsi="Times New Roman" w:eastAsia="宋体" w:cs="Times New Roman"/>
                      <w:bCs/>
                      <w:color w:val="auto"/>
                      <w:kern w:val="28"/>
                      <w:sz w:val="21"/>
                      <w:szCs w:val="21"/>
                      <w:highlight w:val="none"/>
                      <w:u w:val="none"/>
                      <w:vertAlign w:val="baseline"/>
                      <w:lang w:eastAsia="zh-CN"/>
                    </w:rPr>
                    <w:t>配备门禁和视频监控系统，监控运输车辆进出厂区情况，记录运输车辆电子台账；视频监控、台账数据保存三个月以上</w:t>
                  </w:r>
                </w:p>
              </w:tc>
              <w:tc>
                <w:tcPr>
                  <w:tcW w:w="2568" w:type="dxa"/>
                  <w:tcBorders>
                    <w:tl2br w:val="nil"/>
                    <w:tr2bl w:val="nil"/>
                  </w:tcBorders>
                  <w:noWrap w:val="0"/>
                  <w:vAlign w:val="center"/>
                </w:tcPr>
                <w:p w14:paraId="6844FBBA">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项目建成后，根据实际情况</w:t>
                  </w:r>
                  <w:r>
                    <w:rPr>
                      <w:rFonts w:hint="default" w:ascii="Times New Roman" w:hAnsi="Times New Roman" w:eastAsia="宋体" w:cs="Times New Roman"/>
                      <w:bCs/>
                      <w:color w:val="auto"/>
                      <w:kern w:val="28"/>
                      <w:sz w:val="21"/>
                      <w:szCs w:val="21"/>
                      <w:highlight w:val="none"/>
                      <w:u w:val="none"/>
                      <w:vertAlign w:val="baseline"/>
                      <w:lang w:eastAsia="zh-CN"/>
                    </w:rPr>
                    <w:t>配备门禁和视频监控系统，监控运输车辆进出厂区情况，记录运输车辆电子台账；视频监控、台账数据保存三个月以上</w:t>
                  </w:r>
                </w:p>
              </w:tc>
              <w:tc>
                <w:tcPr>
                  <w:tcW w:w="792" w:type="dxa"/>
                  <w:tcBorders>
                    <w:tl2br w:val="nil"/>
                    <w:tr2bl w:val="nil"/>
                  </w:tcBorders>
                  <w:noWrap w:val="0"/>
                  <w:vAlign w:val="center"/>
                </w:tcPr>
                <w:p w14:paraId="0A1AF37F">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eastAsia="zh-CN"/>
                    </w:rPr>
                  </w:pPr>
                  <w:r>
                    <w:rPr>
                      <w:rFonts w:hint="default" w:ascii="Times New Roman" w:hAnsi="Times New Roman" w:eastAsia="宋体" w:cs="Times New Roman"/>
                      <w:b w:val="0"/>
                      <w:bCs/>
                      <w:color w:val="auto"/>
                      <w:sz w:val="21"/>
                      <w:szCs w:val="21"/>
                      <w:highlight w:val="none"/>
                      <w:u w:val="none"/>
                      <w:lang w:eastAsia="zh-CN"/>
                    </w:rPr>
                    <w:t>符合</w:t>
                  </w:r>
                </w:p>
              </w:tc>
            </w:tr>
          </w:tbl>
          <w:p w14:paraId="3784BA4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综上所述，本项目的建设符合《重污染天气重点行业应急减排措施制定技术指南（2020年修订版）》（环办大气函[2020]</w:t>
            </w:r>
            <w:r>
              <w:rPr>
                <w:rFonts w:hint="eastAsia" w:ascii="Times New Roman" w:hAnsi="Times New Roman" w:eastAsia="宋体" w:cs="Times New Roman"/>
                <w:color w:val="auto"/>
                <w:kern w:val="2"/>
                <w:sz w:val="24"/>
                <w:szCs w:val="24"/>
                <w:highlight w:val="none"/>
                <w:lang w:val="en-US" w:eastAsia="zh-CN" w:bidi="ar-SA"/>
              </w:rPr>
              <w:t xml:space="preserve"> </w:t>
            </w:r>
            <w:r>
              <w:rPr>
                <w:rFonts w:hint="default" w:ascii="Times New Roman" w:hAnsi="Times New Roman" w:eastAsia="宋体" w:cs="Times New Roman"/>
                <w:color w:val="auto"/>
                <w:kern w:val="2"/>
                <w:sz w:val="24"/>
                <w:szCs w:val="24"/>
                <w:highlight w:val="none"/>
                <w:lang w:val="en-US" w:eastAsia="zh-CN" w:bidi="ar-SA"/>
              </w:rPr>
              <w:t>340号）相关要求。</w:t>
            </w:r>
          </w:p>
          <w:p w14:paraId="24224C86">
            <w:pPr>
              <w:pStyle w:val="30"/>
              <w:keepNext w:val="0"/>
              <w:keepLines w:val="0"/>
              <w:pageBreakBefore w:val="0"/>
              <w:widowControl w:val="0"/>
              <w:suppressLineNumbers w:val="0"/>
              <w:kinsoku/>
              <w:wordWrap/>
              <w:overflowPunct/>
              <w:topLinePunct w:val="0"/>
              <w:bidi w:val="0"/>
              <w:spacing w:before="0" w:beforeAutospacing="0" w:after="0" w:afterAutospacing="0" w:line="500" w:lineRule="exact"/>
              <w:ind w:left="0" w:right="0" w:firstLine="482" w:firstLineChars="200"/>
              <w:textAlignment w:val="auto"/>
              <w:rPr>
                <w:rFonts w:hint="default" w:ascii="Times New Roman" w:hAnsi="Times New Roman" w:eastAsia="宋体" w:cs="Times New Roman"/>
                <w:b/>
                <w:bCs w:val="0"/>
                <w:color w:val="auto"/>
                <w:kern w:val="28"/>
                <w:sz w:val="24"/>
                <w:szCs w:val="40"/>
                <w:highlight w:val="none"/>
                <w:lang w:val="en-US" w:eastAsia="zh-CN" w:bidi="ar-SA"/>
              </w:rPr>
            </w:pPr>
            <w:r>
              <w:rPr>
                <w:rFonts w:hint="eastAsia" w:ascii="Times New Roman" w:hAnsi="Times New Roman" w:cs="Times New Roman"/>
                <w:b/>
                <w:bCs w:val="0"/>
                <w:color w:val="auto"/>
                <w:kern w:val="28"/>
                <w:sz w:val="24"/>
                <w:szCs w:val="40"/>
                <w:highlight w:val="none"/>
                <w:lang w:val="en-US" w:eastAsia="zh-CN" w:bidi="ar-SA"/>
              </w:rPr>
              <w:t>14</w:t>
            </w:r>
            <w:r>
              <w:rPr>
                <w:rFonts w:hint="default" w:ascii="Times New Roman" w:hAnsi="Times New Roman" w:cs="Times New Roman"/>
                <w:b/>
                <w:bCs w:val="0"/>
                <w:color w:val="auto"/>
                <w:kern w:val="28"/>
                <w:sz w:val="24"/>
                <w:szCs w:val="40"/>
                <w:highlight w:val="none"/>
                <w:lang w:val="en-US" w:eastAsia="zh-CN" w:bidi="ar-SA"/>
              </w:rPr>
              <w:t>、与《河南省人民政府关于河南省空气质量持续改善行动计划的通知》（豫政〔2024〕12号）</w:t>
            </w:r>
          </w:p>
          <w:p w14:paraId="2859E9FA">
            <w:pPr>
              <w:pStyle w:val="7"/>
              <w:keepNext w:val="0"/>
              <w:keepLines w:val="0"/>
              <w:pageBreakBefore w:val="0"/>
              <w:widowControl w:val="0"/>
              <w:numPr>
                <w:ilvl w:val="0"/>
                <w:numId w:val="0"/>
              </w:numPr>
              <w:suppressLineNumbers w:val="0"/>
              <w:kinsoku/>
              <w:wordWrap/>
              <w:overflowPunct/>
              <w:topLinePunct w:val="0"/>
              <w:bidi w:val="0"/>
              <w:spacing w:before="0" w:beforeAutospacing="0" w:after="0" w:afterAutospacing="0" w:line="500" w:lineRule="exact"/>
              <w:ind w:right="0"/>
              <w:jc w:val="center"/>
              <w:textAlignment w:val="auto"/>
              <w:rPr>
                <w:rFonts w:hint="default" w:ascii="Times New Roman" w:hAnsi="Times New Roman" w:eastAsia="黑体" w:cs="Times New Roman"/>
                <w:b w:val="0"/>
                <w:color w:val="auto"/>
                <w:kern w:val="0"/>
                <w:sz w:val="24"/>
                <w:szCs w:val="24"/>
                <w:highlight w:val="none"/>
                <w:u w:val="none"/>
                <w:lang w:val="en-US" w:eastAsia="zh-CN" w:bidi="ar-SA"/>
              </w:rPr>
            </w:pPr>
            <w:r>
              <w:rPr>
                <w:rFonts w:hint="default" w:ascii="Times New Roman" w:hAnsi="Times New Roman" w:eastAsia="黑体" w:cs="Times New Roman"/>
                <w:b w:val="0"/>
                <w:color w:val="auto"/>
                <w:kern w:val="0"/>
                <w:sz w:val="24"/>
                <w:szCs w:val="24"/>
                <w:highlight w:val="none"/>
                <w:u w:val="none"/>
                <w:lang w:val="en-US" w:eastAsia="zh-CN" w:bidi="ar-SA"/>
              </w:rPr>
              <w:t>表1-</w:t>
            </w:r>
            <w:r>
              <w:rPr>
                <w:rFonts w:hint="eastAsia" w:eastAsia="黑体" w:cs="Times New Roman"/>
                <w:b w:val="0"/>
                <w:color w:val="auto"/>
                <w:kern w:val="0"/>
                <w:sz w:val="24"/>
                <w:szCs w:val="24"/>
                <w:highlight w:val="none"/>
                <w:u w:val="none"/>
                <w:lang w:val="en-US" w:eastAsia="zh-CN" w:bidi="ar-SA"/>
              </w:rPr>
              <w:t>8</w:t>
            </w:r>
            <w:r>
              <w:rPr>
                <w:rFonts w:hint="default" w:ascii="Times New Roman" w:hAnsi="Times New Roman" w:eastAsia="黑体" w:cs="Times New Roman"/>
                <w:b w:val="0"/>
                <w:color w:val="auto"/>
                <w:kern w:val="0"/>
                <w:sz w:val="24"/>
                <w:szCs w:val="24"/>
                <w:highlight w:val="none"/>
                <w:u w:val="none"/>
                <w:lang w:val="en-US" w:eastAsia="zh-CN" w:bidi="ar-SA"/>
              </w:rPr>
              <w:t xml:space="preserve"> 本项目建设内容与</w:t>
            </w:r>
            <w:r>
              <w:rPr>
                <w:rFonts w:hint="default" w:ascii="Times New Roman" w:hAnsi="Times New Roman" w:eastAsia="黑体" w:cs="Times New Roman"/>
                <w:b w:val="0"/>
                <w:bCs/>
                <w:color w:val="auto"/>
                <w:kern w:val="28"/>
                <w:sz w:val="24"/>
                <w:szCs w:val="40"/>
                <w:highlight w:val="none"/>
                <w:lang w:val="en-US" w:eastAsia="zh-CN" w:bidi="ar-SA"/>
              </w:rPr>
              <w:t>豫政〔2024〕12号</w:t>
            </w:r>
            <w:r>
              <w:rPr>
                <w:rFonts w:hint="default" w:ascii="Times New Roman" w:hAnsi="Times New Roman" w:eastAsia="黑体" w:cs="Times New Roman"/>
                <w:b w:val="0"/>
                <w:color w:val="auto"/>
                <w:kern w:val="0"/>
                <w:sz w:val="24"/>
                <w:szCs w:val="24"/>
                <w:highlight w:val="none"/>
                <w:u w:val="none"/>
                <w:lang w:val="en-US" w:eastAsia="zh-CN" w:bidi="ar-SA"/>
              </w:rPr>
              <w:t>文件符合性分析一览表</w:t>
            </w:r>
          </w:p>
          <w:tbl>
            <w:tblPr>
              <w:tblStyle w:val="23"/>
              <w:tblW w:w="735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13"/>
              <w:gridCol w:w="1024"/>
              <w:gridCol w:w="3408"/>
              <w:gridCol w:w="1402"/>
              <w:gridCol w:w="810"/>
            </w:tblGrid>
            <w:tr w14:paraId="70377A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58" w:hRule="atLeast"/>
                <w:jc w:val="center"/>
              </w:trPr>
              <w:tc>
                <w:tcPr>
                  <w:tcW w:w="713" w:type="dxa"/>
                  <w:tcBorders>
                    <w:tl2br w:val="nil"/>
                    <w:tr2bl w:val="nil"/>
                  </w:tcBorders>
                  <w:noWrap w:val="0"/>
                  <w:vAlign w:val="center"/>
                </w:tcPr>
                <w:p w14:paraId="29ADF1D0">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lang w:val="en-US"/>
                    </w:rPr>
                  </w:pPr>
                  <w:r>
                    <w:rPr>
                      <w:rFonts w:hint="default" w:ascii="Times New Roman" w:hAnsi="Times New Roman" w:eastAsia="宋体" w:cs="Times New Roman"/>
                      <w:b/>
                      <w:bCs/>
                      <w:color w:val="auto"/>
                      <w:kern w:val="2"/>
                      <w:sz w:val="21"/>
                      <w:szCs w:val="21"/>
                      <w:highlight w:val="none"/>
                      <w:u w:val="none"/>
                      <w:lang w:val="en-US" w:eastAsia="zh-CN" w:bidi="ar-SA"/>
                    </w:rPr>
                    <w:t>文件名称</w:t>
                  </w:r>
                </w:p>
              </w:tc>
              <w:tc>
                <w:tcPr>
                  <w:tcW w:w="1024" w:type="dxa"/>
                  <w:tcBorders>
                    <w:tl2br w:val="nil"/>
                    <w:tr2bl w:val="nil"/>
                  </w:tcBorders>
                  <w:noWrap w:val="0"/>
                  <w:vAlign w:val="center"/>
                </w:tcPr>
                <w:p w14:paraId="7D66ABF3">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lang w:val="zh-CN"/>
                    </w:rPr>
                  </w:pPr>
                  <w:r>
                    <w:rPr>
                      <w:rFonts w:hint="default" w:ascii="Times New Roman" w:hAnsi="Times New Roman" w:eastAsia="宋体" w:cs="Times New Roman"/>
                      <w:b/>
                      <w:bCs/>
                      <w:color w:val="auto"/>
                      <w:kern w:val="2"/>
                      <w:sz w:val="21"/>
                      <w:szCs w:val="21"/>
                      <w:highlight w:val="none"/>
                      <w:u w:val="none"/>
                      <w:lang w:val="en-US" w:eastAsia="zh-CN" w:bidi="ar-SA"/>
                    </w:rPr>
                    <w:t>类别</w:t>
                  </w:r>
                </w:p>
              </w:tc>
              <w:tc>
                <w:tcPr>
                  <w:tcW w:w="3408" w:type="dxa"/>
                  <w:tcBorders>
                    <w:tl2br w:val="nil"/>
                    <w:tr2bl w:val="nil"/>
                  </w:tcBorders>
                  <w:noWrap w:val="0"/>
                  <w:vAlign w:val="center"/>
                </w:tcPr>
                <w:p w14:paraId="0818C142">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lang w:val="zh-CN"/>
                    </w:rPr>
                  </w:pPr>
                  <w:r>
                    <w:rPr>
                      <w:rFonts w:hint="default" w:ascii="Times New Roman" w:hAnsi="Times New Roman" w:eastAsia="宋体" w:cs="Times New Roman"/>
                      <w:b/>
                      <w:bCs/>
                      <w:color w:val="auto"/>
                      <w:kern w:val="2"/>
                      <w:sz w:val="21"/>
                      <w:szCs w:val="21"/>
                      <w:highlight w:val="none"/>
                      <w:u w:val="none"/>
                      <w:lang w:val="zh-CN" w:eastAsia="zh-CN" w:bidi="ar-SA"/>
                    </w:rPr>
                    <w:t>实施方案</w:t>
                  </w:r>
                  <w:r>
                    <w:rPr>
                      <w:rFonts w:hint="default" w:ascii="Times New Roman" w:hAnsi="Times New Roman" w:eastAsia="宋体" w:cs="Times New Roman"/>
                      <w:b/>
                      <w:bCs/>
                      <w:color w:val="auto"/>
                      <w:kern w:val="2"/>
                      <w:sz w:val="21"/>
                      <w:szCs w:val="21"/>
                      <w:highlight w:val="none"/>
                      <w:u w:val="none"/>
                      <w:lang w:val="en-US" w:eastAsia="zh-CN" w:bidi="ar-SA"/>
                    </w:rPr>
                    <w:t>具体</w:t>
                  </w:r>
                  <w:r>
                    <w:rPr>
                      <w:rFonts w:hint="default" w:ascii="Times New Roman" w:hAnsi="Times New Roman" w:eastAsia="宋体" w:cs="Times New Roman"/>
                      <w:b/>
                      <w:bCs/>
                      <w:color w:val="auto"/>
                      <w:kern w:val="2"/>
                      <w:sz w:val="21"/>
                      <w:szCs w:val="21"/>
                      <w:highlight w:val="none"/>
                      <w:u w:val="none"/>
                      <w:lang w:val="zh-CN" w:eastAsia="zh-CN" w:bidi="ar-SA"/>
                    </w:rPr>
                    <w:t>相关要求</w:t>
                  </w:r>
                </w:p>
              </w:tc>
              <w:tc>
                <w:tcPr>
                  <w:tcW w:w="1402" w:type="dxa"/>
                  <w:tcBorders>
                    <w:tl2br w:val="nil"/>
                    <w:tr2bl w:val="nil"/>
                  </w:tcBorders>
                  <w:noWrap w:val="0"/>
                  <w:vAlign w:val="center"/>
                </w:tcPr>
                <w:p w14:paraId="76D3CABE">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lang w:val="zh-CN"/>
                    </w:rPr>
                  </w:pPr>
                  <w:r>
                    <w:rPr>
                      <w:rFonts w:hint="default" w:ascii="Times New Roman" w:hAnsi="Times New Roman" w:eastAsia="宋体" w:cs="Times New Roman"/>
                      <w:b/>
                      <w:bCs/>
                      <w:color w:val="auto"/>
                      <w:kern w:val="2"/>
                      <w:sz w:val="21"/>
                      <w:szCs w:val="21"/>
                      <w:highlight w:val="none"/>
                      <w:u w:val="none"/>
                      <w:lang w:val="zh-CN" w:eastAsia="zh-CN" w:bidi="ar-SA"/>
                    </w:rPr>
                    <w:t>本项目情况</w:t>
                  </w:r>
                </w:p>
              </w:tc>
              <w:tc>
                <w:tcPr>
                  <w:tcW w:w="810" w:type="dxa"/>
                  <w:tcBorders>
                    <w:tl2br w:val="nil"/>
                    <w:tr2bl w:val="nil"/>
                  </w:tcBorders>
                  <w:noWrap w:val="0"/>
                  <w:vAlign w:val="center"/>
                </w:tcPr>
                <w:p w14:paraId="6C63F8F7">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lang w:val="zh-CN"/>
                    </w:rPr>
                  </w:pPr>
                  <w:r>
                    <w:rPr>
                      <w:rFonts w:hint="default" w:ascii="Times New Roman" w:hAnsi="Times New Roman" w:eastAsia="宋体" w:cs="Times New Roman"/>
                      <w:b/>
                      <w:bCs/>
                      <w:color w:val="auto"/>
                      <w:kern w:val="2"/>
                      <w:sz w:val="21"/>
                      <w:szCs w:val="21"/>
                      <w:highlight w:val="none"/>
                      <w:u w:val="none"/>
                      <w:lang w:val="zh-CN" w:eastAsia="zh-CN" w:bidi="ar-SA"/>
                    </w:rPr>
                    <w:t>符合性</w:t>
                  </w:r>
                </w:p>
              </w:tc>
            </w:tr>
            <w:tr w14:paraId="340493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209" w:hRule="atLeast"/>
                <w:jc w:val="center"/>
              </w:trPr>
              <w:tc>
                <w:tcPr>
                  <w:tcW w:w="713" w:type="dxa"/>
                  <w:vMerge w:val="restart"/>
                  <w:tcBorders>
                    <w:tl2br w:val="nil"/>
                    <w:tr2bl w:val="nil"/>
                  </w:tcBorders>
                  <w:noWrap w:val="0"/>
                  <w:vAlign w:val="center"/>
                </w:tcPr>
                <w:p w14:paraId="3301EF33">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bCs/>
                      <w:color w:val="auto"/>
                      <w:kern w:val="28"/>
                      <w:sz w:val="21"/>
                      <w:szCs w:val="21"/>
                      <w:highlight w:val="none"/>
                      <w:lang w:val="en-US" w:eastAsia="zh-CN" w:bidi="ar-SA"/>
                    </w:rPr>
                    <w:t>河南省人民政府关于河南省空气质量持续改善行动计划的通知</w:t>
                  </w:r>
                </w:p>
              </w:tc>
              <w:tc>
                <w:tcPr>
                  <w:tcW w:w="1024" w:type="dxa"/>
                  <w:tcBorders>
                    <w:tl2br w:val="nil"/>
                    <w:tr2bl w:val="nil"/>
                  </w:tcBorders>
                  <w:noWrap w:val="0"/>
                  <w:vAlign w:val="center"/>
                </w:tcPr>
                <w:p w14:paraId="7D4A426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深化扬尘污染综合治理</w:t>
                  </w:r>
                </w:p>
              </w:tc>
              <w:tc>
                <w:tcPr>
                  <w:tcW w:w="3408" w:type="dxa"/>
                  <w:tcBorders>
                    <w:tl2br w:val="nil"/>
                    <w:tr2bl w:val="nil"/>
                  </w:tcBorders>
                  <w:noWrap w:val="0"/>
                  <w:vAlign w:val="center"/>
                </w:tcPr>
                <w:p w14:paraId="173DE1A3">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严格落实扬尘治理“两个标准”要求，加强施工围挡、车辆冲洗、湿法作业、密闭运输、地面硬化、物料覆盖等精细化管理，鼓励建筑项目积极采用装配式建造等绿色施工技术。市政道路、水务等长距离线性工程实行分段施工，逐步推动5000平方米以上建筑工地安装在线监测和视频监控设施并接入当地监管平台。将防治扬尘污染费用纳入工程造价。持续开展城市清洁行动，强化道路扬尘综合整治，对长期未开发的建设裸地进行排查整治。到2025年，城市建成区主次干道机械化清扫率达到90%以上，城市大型煤炭、矿石等干散货码头物料堆场基本完成抑尘设施建设和物料输送系统封闭改造。</w:t>
                  </w:r>
                </w:p>
              </w:tc>
              <w:tc>
                <w:tcPr>
                  <w:tcW w:w="1402" w:type="dxa"/>
                  <w:tcBorders>
                    <w:tl2br w:val="nil"/>
                    <w:tr2bl w:val="nil"/>
                  </w:tcBorders>
                  <w:noWrap w:val="0"/>
                  <w:vAlign w:val="center"/>
                </w:tcPr>
                <w:p w14:paraId="3C9023CB">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宋体" w:hAnsi="宋体" w:eastAsia="宋体" w:cs="宋体"/>
                      <w:b w:val="0"/>
                      <w:bCs w:val="0"/>
                      <w:color w:val="auto"/>
                      <w:kern w:val="2"/>
                      <w:sz w:val="21"/>
                      <w:szCs w:val="21"/>
                      <w:highlight w:val="none"/>
                      <w:u w:val="none"/>
                      <w:lang w:val="en-US" w:eastAsia="zh-CN" w:bidi="ar-SA"/>
                    </w:rPr>
                    <w:t>企业严格落实扬尘治理“两个标准”要求，加强施工围挡、车辆冲洗、湿法作业、密闭运输、地面硬化、物料覆盖等管理，提升扬尘污染精细化管理水平，</w:t>
                  </w:r>
                  <w:r>
                    <w:rPr>
                      <w:rFonts w:hint="default" w:ascii="Times New Roman" w:hAnsi="Times New Roman" w:eastAsia="宋体" w:cs="Times New Roman"/>
                      <w:b w:val="0"/>
                      <w:bCs w:val="0"/>
                      <w:color w:val="auto"/>
                      <w:kern w:val="2"/>
                      <w:sz w:val="21"/>
                      <w:szCs w:val="21"/>
                      <w:highlight w:val="none"/>
                      <w:u w:val="none"/>
                      <w:lang w:val="en-US" w:eastAsia="zh-CN" w:bidi="ar-SA"/>
                    </w:rPr>
                    <w:t>项目</w:t>
                  </w:r>
                  <w:r>
                    <w:rPr>
                      <w:rFonts w:hint="default" w:ascii="Times New Roman" w:hAnsi="Times New Roman" w:cs="Times New Roman"/>
                      <w:b w:val="0"/>
                      <w:bCs w:val="0"/>
                      <w:color w:val="auto"/>
                      <w:kern w:val="2"/>
                      <w:sz w:val="21"/>
                      <w:szCs w:val="21"/>
                      <w:highlight w:val="none"/>
                      <w:u w:val="none"/>
                      <w:lang w:val="en-US" w:eastAsia="zh-CN" w:bidi="ar-SA"/>
                    </w:rPr>
                    <w:t>加强对</w:t>
                  </w:r>
                  <w:r>
                    <w:rPr>
                      <w:rFonts w:hint="eastAsia" w:cs="Times New Roman"/>
                      <w:b w:val="0"/>
                      <w:bCs w:val="0"/>
                      <w:color w:val="auto"/>
                      <w:kern w:val="2"/>
                      <w:sz w:val="21"/>
                      <w:szCs w:val="21"/>
                      <w:highlight w:val="none"/>
                      <w:u w:val="none"/>
                      <w:lang w:val="en-US" w:eastAsia="zh-CN" w:bidi="ar-SA"/>
                    </w:rPr>
                    <w:t>颗粒物</w:t>
                  </w:r>
                  <w:r>
                    <w:rPr>
                      <w:rFonts w:hint="default" w:ascii="Times New Roman" w:hAnsi="Times New Roman" w:cs="Times New Roman"/>
                      <w:b w:val="0"/>
                      <w:bCs w:val="0"/>
                      <w:color w:val="auto"/>
                      <w:kern w:val="2"/>
                      <w:sz w:val="21"/>
                      <w:szCs w:val="21"/>
                      <w:highlight w:val="none"/>
                      <w:u w:val="none"/>
                      <w:lang w:val="en-US" w:eastAsia="zh-CN" w:bidi="ar-SA"/>
                    </w:rPr>
                    <w:t>的治理</w:t>
                  </w:r>
                </w:p>
              </w:tc>
              <w:tc>
                <w:tcPr>
                  <w:tcW w:w="810" w:type="dxa"/>
                  <w:tcBorders>
                    <w:tl2br w:val="nil"/>
                    <w:tr2bl w:val="nil"/>
                  </w:tcBorders>
                  <w:noWrap w:val="0"/>
                  <w:vAlign w:val="center"/>
                </w:tcPr>
                <w:p w14:paraId="72C95DEB">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相符</w:t>
                  </w:r>
                </w:p>
              </w:tc>
            </w:tr>
            <w:tr w14:paraId="0EF5B5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5" w:hRule="atLeast"/>
                <w:jc w:val="center"/>
              </w:trPr>
              <w:tc>
                <w:tcPr>
                  <w:tcW w:w="713" w:type="dxa"/>
                  <w:vMerge w:val="continue"/>
                  <w:tcBorders>
                    <w:tl2br w:val="nil"/>
                    <w:tr2bl w:val="nil"/>
                  </w:tcBorders>
                  <w:noWrap w:val="0"/>
                  <w:vAlign w:val="center"/>
                </w:tcPr>
                <w:p w14:paraId="2D691F65">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p>
              </w:tc>
              <w:tc>
                <w:tcPr>
                  <w:tcW w:w="1024" w:type="dxa"/>
                  <w:tcBorders>
                    <w:tl2br w:val="nil"/>
                    <w:tr2bl w:val="nil"/>
                  </w:tcBorders>
                  <w:noWrap w:val="0"/>
                  <w:vAlign w:val="center"/>
                </w:tcPr>
                <w:p w14:paraId="264DDA2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加快提升机动车绿色低碳水平</w:t>
                  </w:r>
                </w:p>
              </w:tc>
              <w:tc>
                <w:tcPr>
                  <w:tcW w:w="3408" w:type="dxa"/>
                  <w:tcBorders>
                    <w:tl2br w:val="nil"/>
                    <w:tr2bl w:val="nil"/>
                  </w:tcBorders>
                  <w:noWrap w:val="0"/>
                  <w:vAlign w:val="center"/>
                </w:tcPr>
                <w:p w14:paraId="1EFA279F">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除特殊需求的车辆外，全省党政机关新购买公务用车基本实现新能源化。在火电、钢铁、煤炭、焦化、有色、水泥等行业和物流园区推广新能源中重型车辆，发展纯电动、氢燃料电池等零排放货运车队。2025年年底前，除应急车辆外，全省公交车、巡游出租车和城市建成区的载货汽车</w:t>
                  </w:r>
                  <w:r>
                    <w:rPr>
                      <w:rFonts w:hint="eastAsia" w:ascii="Times New Roman" w:hAnsi="Times New Roman" w:eastAsia="宋体"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含渣土运输车、水泥罐车、物流车</w:t>
                  </w:r>
                  <w:r>
                    <w:rPr>
                      <w:rFonts w:hint="eastAsia" w:ascii="Times New Roman" w:hAnsi="Times New Roman" w:eastAsia="宋体"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邮政用车、市政环卫车、网约出租车基本实现新能源化;淘汰采用稀薄燃烧技术的燃气货车和国三以下排放标准柴油货车，加强报废机动车回收拆解监管。开展新生产货车系族全覆盖检查，规范柴油货车路检路查和入户检查，加强重点用车企业门禁系统建设，强化机动车排放检验监管，建设全省重型柴油车和非道路移动机械远程在线监控平台，鼓励各地开展燃油蒸发排放控制检测。</w:t>
                  </w:r>
                </w:p>
              </w:tc>
              <w:tc>
                <w:tcPr>
                  <w:tcW w:w="1402" w:type="dxa"/>
                  <w:tcBorders>
                    <w:tl2br w:val="nil"/>
                    <w:tr2bl w:val="nil"/>
                  </w:tcBorders>
                  <w:noWrap w:val="0"/>
                  <w:vAlign w:val="center"/>
                </w:tcPr>
                <w:p w14:paraId="26C3CD87">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优化交通运输结构，完善绿色运输体系，项目优先使用新能源中重型运输车辆运输，减少车辆废气外排</w:t>
                  </w:r>
                </w:p>
              </w:tc>
              <w:tc>
                <w:tcPr>
                  <w:tcW w:w="810" w:type="dxa"/>
                  <w:tcBorders>
                    <w:tl2br w:val="nil"/>
                    <w:tr2bl w:val="nil"/>
                  </w:tcBorders>
                  <w:noWrap w:val="0"/>
                  <w:vAlign w:val="center"/>
                </w:tcPr>
                <w:p w14:paraId="7022ED3E">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相符</w:t>
                  </w:r>
                </w:p>
              </w:tc>
            </w:tr>
            <w:tr w14:paraId="5874E9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5" w:hRule="atLeast"/>
                <w:jc w:val="center"/>
              </w:trPr>
              <w:tc>
                <w:tcPr>
                  <w:tcW w:w="713" w:type="dxa"/>
                  <w:vMerge w:val="continue"/>
                  <w:tcBorders>
                    <w:tl2br w:val="nil"/>
                    <w:tr2bl w:val="nil"/>
                  </w:tcBorders>
                  <w:noWrap w:val="0"/>
                  <w:vAlign w:val="center"/>
                </w:tcPr>
                <w:p w14:paraId="01C2F84F">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p>
              </w:tc>
              <w:tc>
                <w:tcPr>
                  <w:tcW w:w="1024" w:type="dxa"/>
                  <w:tcBorders>
                    <w:tl2br w:val="nil"/>
                    <w:tr2bl w:val="nil"/>
                  </w:tcBorders>
                  <w:noWrap w:val="0"/>
                  <w:vAlign w:val="center"/>
                </w:tcPr>
                <w:p w14:paraId="51840FB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推进重点行业污染深度治理</w:t>
                  </w:r>
                </w:p>
              </w:tc>
              <w:tc>
                <w:tcPr>
                  <w:tcW w:w="3408" w:type="dxa"/>
                  <w:tcBorders>
                    <w:tl2br w:val="nil"/>
                    <w:tr2bl w:val="nil"/>
                  </w:tcBorders>
                  <w:noWrap w:val="0"/>
                  <w:vAlign w:val="center"/>
                </w:tcPr>
                <w:p w14:paraId="5994637C">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全省新</w:t>
                  </w:r>
                  <w:r>
                    <w:rPr>
                      <w:rFonts w:hint="eastAsia" w:ascii="Times New Roman" w:hAnsi="Times New Roman" w:eastAsia="宋体"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改、扩</w:t>
                  </w:r>
                  <w:r>
                    <w:rPr>
                      <w:rFonts w:hint="eastAsia" w:ascii="Times New Roman" w:hAnsi="Times New Roman" w:eastAsia="宋体"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建火电、钢铁、水泥、焦化项目要达到超低排放水平。2024年年底前，水泥、焦化企业基本完成有组织和无组织超低排放改造</w:t>
                  </w:r>
                  <w:r>
                    <w:rPr>
                      <w:rFonts w:hint="eastAsia"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2025年9月底前，钢铁、水泥、焦化企业力争完成清洁运输超低排放改造。持续推进玻璃、耐火材料、有色、铸造、炭素、石灰、砖瓦等工业炉窑深度治理，实施陶瓷、化肥、生活垃圾焚烧、生物质锅炉等行业提标改造。2025年年底前，基本完成燃气锅炉低氮燃烧改造;生物质锅炉全部采用专用炉具，配套布袋等高效除尘设施，禁止掺烧煤炭、生活垃圾等其他物料。推进整合小型生物质锅炉。原则上不得设置烟气和VOCs废气旁路，因安全生产需要无法取消的应安装烟气自动监控、流量、温度等监控设施并加强监管，重点涉气企业应加装备用处置设施。</w:t>
                  </w:r>
                </w:p>
              </w:tc>
              <w:tc>
                <w:tcPr>
                  <w:tcW w:w="1402" w:type="dxa"/>
                  <w:tcBorders>
                    <w:tl2br w:val="nil"/>
                    <w:tr2bl w:val="nil"/>
                  </w:tcBorders>
                  <w:noWrap w:val="0"/>
                  <w:vAlign w:val="center"/>
                </w:tcPr>
                <w:p w14:paraId="199D1BE3">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项目属于水泥行业的下游产业，将加强污染物减排降低排放强度，积极配合有组织和无组织超低排放改造</w:t>
                  </w:r>
                </w:p>
              </w:tc>
              <w:tc>
                <w:tcPr>
                  <w:tcW w:w="810" w:type="dxa"/>
                  <w:tcBorders>
                    <w:tl2br w:val="nil"/>
                    <w:tr2bl w:val="nil"/>
                  </w:tcBorders>
                  <w:noWrap w:val="0"/>
                  <w:vAlign w:val="center"/>
                </w:tcPr>
                <w:p w14:paraId="5A883F84">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相符</w:t>
                  </w:r>
                </w:p>
              </w:tc>
            </w:tr>
          </w:tbl>
          <w:p w14:paraId="5F7F14AB">
            <w:pPr>
              <w:pStyle w:val="40"/>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bCs/>
                <w:color w:val="auto"/>
                <w:kern w:val="2"/>
                <w:sz w:val="24"/>
                <w:szCs w:val="24"/>
                <w:highlight w:val="none"/>
                <w:u w:val="none"/>
                <w:lang w:val="en-US" w:eastAsia="zh-CN" w:bidi="ar-SA"/>
              </w:rPr>
            </w:pPr>
            <w:r>
              <w:rPr>
                <w:rFonts w:hint="default" w:ascii="Times New Roman" w:hAnsi="Times New Roman" w:eastAsia="宋体" w:cs="Times New Roman"/>
                <w:color w:val="auto"/>
                <w:kern w:val="0"/>
                <w:sz w:val="24"/>
                <w:szCs w:val="24"/>
                <w:highlight w:val="none"/>
                <w:lang w:val="en-US" w:eastAsia="zh-CN"/>
              </w:rPr>
              <w:t>由上表分析可知，本项目建设符合《</w:t>
            </w:r>
            <w:r>
              <w:rPr>
                <w:rFonts w:hint="default" w:ascii="Times New Roman" w:hAnsi="Times New Roman" w:cs="Times New Roman"/>
                <w:color w:val="auto"/>
                <w:kern w:val="0"/>
                <w:sz w:val="24"/>
                <w:szCs w:val="24"/>
                <w:highlight w:val="none"/>
                <w:lang w:val="en-US" w:eastAsia="zh-CN"/>
              </w:rPr>
              <w:t>河南省人民政府关于河南省空气质量持续改善行动计划的通知</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lang w:val="en-US" w:eastAsia="zh-CN"/>
              </w:rPr>
              <w:t>豫</w:t>
            </w:r>
            <w:r>
              <w:rPr>
                <w:rFonts w:hint="default" w:ascii="Times New Roman" w:hAnsi="Times New Roman" w:eastAsia="宋体" w:cs="Times New Roman"/>
                <w:color w:val="auto"/>
                <w:kern w:val="0"/>
                <w:sz w:val="24"/>
                <w:szCs w:val="24"/>
                <w:highlight w:val="none"/>
                <w:lang w:val="en-US" w:eastAsia="zh-CN"/>
              </w:rPr>
              <w:t>政〔202</w:t>
            </w:r>
            <w:r>
              <w:rPr>
                <w:rFonts w:hint="default" w:ascii="Times New Roman" w:hAnsi="Times New Roman"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lang w:val="en-US" w:eastAsia="zh-CN"/>
              </w:rPr>
              <w:t>12</w:t>
            </w:r>
            <w:r>
              <w:rPr>
                <w:rFonts w:hint="default" w:ascii="Times New Roman" w:hAnsi="Times New Roman" w:eastAsia="宋体" w:cs="Times New Roman"/>
                <w:color w:val="auto"/>
                <w:kern w:val="0"/>
                <w:sz w:val="24"/>
                <w:szCs w:val="24"/>
                <w:highlight w:val="none"/>
                <w:lang w:val="en-US" w:eastAsia="zh-CN"/>
              </w:rPr>
              <w:t>号）中相关要求</w:t>
            </w:r>
            <w:r>
              <w:rPr>
                <w:rFonts w:hint="default" w:ascii="Times New Roman" w:hAnsi="Times New Roman" w:eastAsia="宋体" w:cs="Times New Roman"/>
                <w:color w:val="auto"/>
                <w:sz w:val="24"/>
                <w:szCs w:val="24"/>
                <w:highlight w:val="none"/>
              </w:rPr>
              <w:t>。</w:t>
            </w:r>
          </w:p>
          <w:p w14:paraId="1F9609B2">
            <w:pPr>
              <w:pStyle w:val="30"/>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2" w:firstLineChars="200"/>
              <w:textAlignment w:val="auto"/>
              <w:rPr>
                <w:rFonts w:hint="default" w:ascii="Times New Roman" w:hAnsi="Times New Roman" w:eastAsia="宋体" w:cs="Times New Roman"/>
                <w:b/>
                <w:bCs w:val="0"/>
                <w:color w:val="auto"/>
                <w:kern w:val="28"/>
                <w:sz w:val="24"/>
                <w:szCs w:val="40"/>
                <w:highlight w:val="none"/>
                <w:lang w:val="en-US" w:eastAsia="zh-CN" w:bidi="ar-SA"/>
              </w:rPr>
            </w:pPr>
            <w:r>
              <w:rPr>
                <w:rFonts w:hint="eastAsia" w:ascii="Times New Roman" w:cs="Times New Roman"/>
                <w:b/>
                <w:bCs w:val="0"/>
                <w:color w:val="auto"/>
                <w:kern w:val="28"/>
                <w:sz w:val="24"/>
                <w:szCs w:val="40"/>
                <w:highlight w:val="none"/>
                <w:lang w:val="en-US" w:eastAsia="zh-CN" w:bidi="ar-SA"/>
              </w:rPr>
              <w:t>15、与关于印发平顶山市“十四五”生态环境保护和生态经济发展规划的通知》（平政〔2023〕10号）相符性分析</w:t>
            </w:r>
          </w:p>
          <w:p w14:paraId="32A92AB0">
            <w:pPr>
              <w:pStyle w:val="7"/>
              <w:keepNext w:val="0"/>
              <w:keepLines w:val="0"/>
              <w:pageBreakBefore w:val="0"/>
              <w:widowControl w:val="0"/>
              <w:numPr>
                <w:ilvl w:val="0"/>
                <w:numId w:val="0"/>
              </w:numPr>
              <w:suppressLineNumbers w:val="0"/>
              <w:kinsoku/>
              <w:wordWrap/>
              <w:overflowPunct/>
              <w:topLinePunct w:val="0"/>
              <w:bidi w:val="0"/>
              <w:snapToGrid/>
              <w:spacing w:before="0" w:beforeAutospacing="0" w:after="0" w:afterAutospacing="0" w:line="500" w:lineRule="exact"/>
              <w:ind w:right="0"/>
              <w:jc w:val="center"/>
              <w:textAlignment w:val="auto"/>
              <w:rPr>
                <w:rFonts w:hint="eastAsia" w:ascii="Times New Roman" w:hAnsi="Times New Roman" w:eastAsia="黑体" w:cs="Times New Roman"/>
                <w:b w:val="0"/>
                <w:color w:val="auto"/>
                <w:kern w:val="0"/>
                <w:sz w:val="24"/>
                <w:szCs w:val="24"/>
                <w:highlight w:val="none"/>
                <w:u w:val="none"/>
                <w:lang w:val="en-US" w:eastAsia="zh-CN" w:bidi="ar-SA"/>
              </w:rPr>
            </w:pPr>
            <w:r>
              <w:rPr>
                <w:rFonts w:hint="eastAsia" w:ascii="Times New Roman" w:hAnsi="Times New Roman" w:eastAsia="黑体" w:cs="Times New Roman"/>
                <w:b w:val="0"/>
                <w:color w:val="auto"/>
                <w:kern w:val="0"/>
                <w:sz w:val="24"/>
                <w:szCs w:val="24"/>
                <w:highlight w:val="none"/>
                <w:u w:val="none"/>
                <w:lang w:val="en-US" w:eastAsia="zh-CN" w:bidi="ar-SA"/>
              </w:rPr>
              <w:t>表</w:t>
            </w:r>
            <w:r>
              <w:rPr>
                <w:rFonts w:hint="eastAsia" w:eastAsia="黑体" w:cs="Times New Roman"/>
                <w:b w:val="0"/>
                <w:color w:val="auto"/>
                <w:kern w:val="0"/>
                <w:sz w:val="24"/>
                <w:szCs w:val="24"/>
                <w:highlight w:val="none"/>
                <w:u w:val="none"/>
                <w:lang w:val="en-US" w:eastAsia="zh-CN" w:bidi="ar-SA"/>
              </w:rPr>
              <w:t>1-9</w:t>
            </w:r>
            <w:r>
              <w:rPr>
                <w:rFonts w:hint="eastAsia" w:ascii="Times New Roman" w:hAnsi="Times New Roman" w:eastAsia="黑体" w:cs="Times New Roman"/>
                <w:b w:val="0"/>
                <w:color w:val="auto"/>
                <w:kern w:val="0"/>
                <w:sz w:val="24"/>
                <w:szCs w:val="24"/>
                <w:highlight w:val="none"/>
                <w:u w:val="none"/>
                <w:lang w:val="en-US" w:eastAsia="zh-CN" w:bidi="ar-SA"/>
              </w:rPr>
              <w:t xml:space="preserve"> </w:t>
            </w:r>
            <w:r>
              <w:rPr>
                <w:rFonts w:hint="eastAsia" w:eastAsia="黑体" w:cs="Times New Roman"/>
                <w:b w:val="0"/>
                <w:color w:val="auto"/>
                <w:kern w:val="0"/>
                <w:sz w:val="24"/>
                <w:szCs w:val="24"/>
                <w:highlight w:val="none"/>
                <w:u w:val="none"/>
                <w:lang w:val="en-US" w:eastAsia="zh-CN" w:bidi="ar-SA"/>
              </w:rPr>
              <w:t>本项目</w:t>
            </w:r>
            <w:r>
              <w:rPr>
                <w:rFonts w:hint="eastAsia" w:ascii="Times New Roman" w:hAnsi="Times New Roman" w:eastAsia="黑体" w:cs="Times New Roman"/>
                <w:b w:val="0"/>
                <w:color w:val="auto"/>
                <w:kern w:val="0"/>
                <w:sz w:val="24"/>
                <w:szCs w:val="24"/>
                <w:highlight w:val="none"/>
                <w:u w:val="none"/>
                <w:lang w:val="en-US" w:eastAsia="zh-CN" w:bidi="ar-SA"/>
              </w:rPr>
              <w:t>建设内容与</w:t>
            </w:r>
            <w:r>
              <w:rPr>
                <w:rFonts w:hint="default" w:ascii="Times New Roman" w:hAnsi="Times New Roman" w:eastAsia="黑体" w:cs="Times New Roman"/>
                <w:b w:val="0"/>
                <w:bCs/>
                <w:color w:val="auto"/>
                <w:kern w:val="28"/>
                <w:sz w:val="24"/>
                <w:szCs w:val="40"/>
                <w:highlight w:val="none"/>
                <w:lang w:val="en-US" w:eastAsia="zh-CN" w:bidi="ar-SA"/>
              </w:rPr>
              <w:t>平政〔2023〕10号</w:t>
            </w:r>
            <w:r>
              <w:rPr>
                <w:rFonts w:hint="eastAsia" w:ascii="Times New Roman" w:hAnsi="Times New Roman" w:eastAsia="黑体" w:cs="Times New Roman"/>
                <w:b w:val="0"/>
                <w:color w:val="auto"/>
                <w:kern w:val="0"/>
                <w:sz w:val="24"/>
                <w:szCs w:val="24"/>
                <w:highlight w:val="none"/>
                <w:u w:val="none"/>
                <w:lang w:val="en-US" w:eastAsia="zh-CN" w:bidi="ar-SA"/>
              </w:rPr>
              <w:t>文件符合性分析一览表</w:t>
            </w:r>
          </w:p>
          <w:tbl>
            <w:tblPr>
              <w:tblStyle w:val="23"/>
              <w:tblW w:w="7458"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Layout w:type="fixed"/>
              <w:tblCellMar>
                <w:top w:w="0" w:type="dxa"/>
                <w:left w:w="108" w:type="dxa"/>
                <w:bottom w:w="0" w:type="dxa"/>
                <w:right w:w="108" w:type="dxa"/>
              </w:tblCellMar>
            </w:tblPr>
            <w:tblGrid>
              <w:gridCol w:w="884"/>
              <w:gridCol w:w="971"/>
              <w:gridCol w:w="3513"/>
              <w:gridCol w:w="1268"/>
              <w:gridCol w:w="822"/>
            </w:tblGrid>
            <w:tr w14:paraId="0C014B15">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CellMar>
                  <w:top w:w="0" w:type="dxa"/>
                  <w:left w:w="108" w:type="dxa"/>
                  <w:bottom w:w="0" w:type="dxa"/>
                  <w:right w:w="108" w:type="dxa"/>
                </w:tblCellMar>
              </w:tblPrEx>
              <w:trPr>
                <w:trHeight w:val="549" w:hRule="atLeast"/>
                <w:jc w:val="center"/>
              </w:trPr>
              <w:tc>
                <w:tcPr>
                  <w:tcW w:w="884" w:type="dxa"/>
                  <w:tcBorders>
                    <w:tl2br w:val="nil"/>
                    <w:tr2bl w:val="nil"/>
                  </w:tcBorders>
                  <w:noWrap w:val="0"/>
                  <w:vAlign w:val="center"/>
                </w:tcPr>
                <w:p w14:paraId="1BCB218A">
                  <w:pPr>
                    <w:keepNext w:val="0"/>
                    <w:keepLines w:val="0"/>
                    <w:suppressLineNumbers w:val="0"/>
                    <w:autoSpaceDE w:val="0"/>
                    <w:autoSpaceDN w:val="0"/>
                    <w:spacing w:before="0" w:beforeAutospacing="0" w:after="0" w:afterAutospacing="0" w:line="240" w:lineRule="auto"/>
                    <w:ind w:left="0" w:right="0"/>
                    <w:jc w:val="center"/>
                    <w:rPr>
                      <w:rFonts w:hint="eastAsia" w:cs="Times New Roman"/>
                      <w:b/>
                      <w:bCs/>
                      <w:color w:val="auto"/>
                      <w:kern w:val="2"/>
                      <w:sz w:val="21"/>
                      <w:szCs w:val="21"/>
                      <w:highlight w:val="none"/>
                      <w:u w:val="none"/>
                      <w:lang w:val="en-US" w:eastAsia="zh-CN" w:bidi="ar-SA"/>
                    </w:rPr>
                  </w:pPr>
                  <w:r>
                    <w:rPr>
                      <w:rFonts w:hint="eastAsia" w:cs="Times New Roman"/>
                      <w:b/>
                      <w:bCs/>
                      <w:color w:val="auto"/>
                      <w:kern w:val="2"/>
                      <w:sz w:val="21"/>
                      <w:szCs w:val="21"/>
                      <w:highlight w:val="none"/>
                      <w:u w:val="none"/>
                      <w:lang w:val="en-US" w:eastAsia="zh-CN" w:bidi="ar-SA"/>
                    </w:rPr>
                    <w:t>文件</w:t>
                  </w:r>
                </w:p>
                <w:p w14:paraId="472F4AF1">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val="en-US"/>
                    </w:rPr>
                  </w:pPr>
                  <w:r>
                    <w:rPr>
                      <w:rFonts w:hint="eastAsia" w:cs="Times New Roman"/>
                      <w:b/>
                      <w:bCs/>
                      <w:color w:val="auto"/>
                      <w:kern w:val="2"/>
                      <w:sz w:val="21"/>
                      <w:szCs w:val="21"/>
                      <w:highlight w:val="none"/>
                      <w:u w:val="none"/>
                      <w:lang w:val="en-US" w:eastAsia="zh-CN" w:bidi="ar-SA"/>
                    </w:rPr>
                    <w:t>名称</w:t>
                  </w:r>
                </w:p>
              </w:tc>
              <w:tc>
                <w:tcPr>
                  <w:tcW w:w="971" w:type="dxa"/>
                  <w:tcBorders>
                    <w:tl2br w:val="nil"/>
                    <w:tr2bl w:val="nil"/>
                  </w:tcBorders>
                  <w:noWrap w:val="0"/>
                  <w:vAlign w:val="center"/>
                </w:tcPr>
                <w:p w14:paraId="052AD513">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highlight w:val="none"/>
                      <w:u w:val="none"/>
                      <w:lang w:val="zh-CN"/>
                    </w:rPr>
                  </w:pPr>
                  <w:r>
                    <w:rPr>
                      <w:rFonts w:hint="eastAsia" w:cs="Times New Roman"/>
                      <w:b/>
                      <w:bCs/>
                      <w:color w:val="auto"/>
                      <w:kern w:val="2"/>
                      <w:sz w:val="21"/>
                      <w:szCs w:val="21"/>
                      <w:highlight w:val="none"/>
                      <w:u w:val="none"/>
                      <w:lang w:val="en-US" w:eastAsia="zh-CN" w:bidi="ar-SA"/>
                    </w:rPr>
                    <w:t>类别</w:t>
                  </w:r>
                </w:p>
              </w:tc>
              <w:tc>
                <w:tcPr>
                  <w:tcW w:w="3513" w:type="dxa"/>
                  <w:tcBorders>
                    <w:tl2br w:val="nil"/>
                    <w:tr2bl w:val="nil"/>
                  </w:tcBorders>
                  <w:noWrap w:val="0"/>
                  <w:vAlign w:val="center"/>
                </w:tcPr>
                <w:p w14:paraId="27821D41">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highlight w:val="none"/>
                      <w:u w:val="none"/>
                      <w:lang w:val="zh-CN"/>
                    </w:rPr>
                  </w:pPr>
                  <w:r>
                    <w:rPr>
                      <w:rFonts w:hint="eastAsia" w:ascii="Times New Roman" w:hAnsi="Times New Roman" w:eastAsia="宋体" w:cs="Times New Roman"/>
                      <w:b/>
                      <w:bCs/>
                      <w:color w:val="auto"/>
                      <w:kern w:val="2"/>
                      <w:sz w:val="21"/>
                      <w:szCs w:val="21"/>
                      <w:highlight w:val="none"/>
                      <w:u w:val="none"/>
                      <w:lang w:val="zh-CN" w:eastAsia="zh-CN" w:bidi="ar-SA"/>
                    </w:rPr>
                    <w:t>实施方案</w:t>
                  </w:r>
                  <w:r>
                    <w:rPr>
                      <w:rFonts w:hint="eastAsia" w:cs="Times New Roman"/>
                      <w:b/>
                      <w:bCs/>
                      <w:color w:val="auto"/>
                      <w:kern w:val="2"/>
                      <w:sz w:val="21"/>
                      <w:szCs w:val="21"/>
                      <w:highlight w:val="none"/>
                      <w:u w:val="none"/>
                      <w:lang w:val="en-US" w:eastAsia="zh-CN" w:bidi="ar-SA"/>
                    </w:rPr>
                    <w:t>具体</w:t>
                  </w:r>
                  <w:r>
                    <w:rPr>
                      <w:rFonts w:hint="eastAsia" w:ascii="Times New Roman" w:hAnsi="Times New Roman" w:eastAsia="宋体" w:cs="Times New Roman"/>
                      <w:b/>
                      <w:bCs/>
                      <w:color w:val="auto"/>
                      <w:kern w:val="2"/>
                      <w:sz w:val="21"/>
                      <w:szCs w:val="21"/>
                      <w:highlight w:val="none"/>
                      <w:u w:val="none"/>
                      <w:lang w:val="zh-CN" w:eastAsia="zh-CN" w:bidi="ar-SA"/>
                    </w:rPr>
                    <w:t>相关要求</w:t>
                  </w:r>
                </w:p>
              </w:tc>
              <w:tc>
                <w:tcPr>
                  <w:tcW w:w="1268" w:type="dxa"/>
                  <w:tcBorders>
                    <w:tl2br w:val="nil"/>
                    <w:tr2bl w:val="nil"/>
                  </w:tcBorders>
                  <w:noWrap w:val="0"/>
                  <w:vAlign w:val="center"/>
                </w:tcPr>
                <w:p w14:paraId="64A075DD">
                  <w:pPr>
                    <w:keepNext w:val="0"/>
                    <w:keepLines w:val="0"/>
                    <w:suppressLineNumbers w:val="0"/>
                    <w:autoSpaceDE w:val="0"/>
                    <w:autoSpaceDN w:val="0"/>
                    <w:spacing w:before="0" w:beforeAutospacing="0" w:after="0" w:afterAutospacing="0" w:line="240" w:lineRule="auto"/>
                    <w:ind w:left="0" w:right="0"/>
                    <w:jc w:val="center"/>
                    <w:rPr>
                      <w:rFonts w:hint="eastAsia" w:cs="Times New Roman"/>
                      <w:b/>
                      <w:bCs/>
                      <w:color w:val="auto"/>
                      <w:kern w:val="2"/>
                      <w:sz w:val="21"/>
                      <w:szCs w:val="21"/>
                      <w:highlight w:val="none"/>
                      <w:u w:val="none"/>
                      <w:lang w:val="zh-CN" w:eastAsia="zh-CN" w:bidi="ar-SA"/>
                    </w:rPr>
                  </w:pPr>
                  <w:r>
                    <w:rPr>
                      <w:rFonts w:hint="eastAsia" w:cs="Times New Roman"/>
                      <w:b/>
                      <w:bCs/>
                      <w:color w:val="auto"/>
                      <w:kern w:val="2"/>
                      <w:sz w:val="21"/>
                      <w:szCs w:val="21"/>
                      <w:highlight w:val="none"/>
                      <w:u w:val="none"/>
                      <w:lang w:val="zh-CN" w:eastAsia="zh-CN" w:bidi="ar-SA"/>
                    </w:rPr>
                    <w:t>本项目</w:t>
                  </w:r>
                </w:p>
                <w:p w14:paraId="43939C32">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highlight w:val="none"/>
                      <w:u w:val="none"/>
                      <w:lang w:val="zh-CN"/>
                    </w:rPr>
                  </w:pPr>
                  <w:r>
                    <w:rPr>
                      <w:rFonts w:hint="eastAsia" w:ascii="Times New Roman" w:hAnsi="Times New Roman" w:eastAsia="宋体" w:cs="Times New Roman"/>
                      <w:b/>
                      <w:bCs/>
                      <w:color w:val="auto"/>
                      <w:kern w:val="2"/>
                      <w:sz w:val="21"/>
                      <w:szCs w:val="21"/>
                      <w:highlight w:val="none"/>
                      <w:u w:val="none"/>
                      <w:lang w:val="zh-CN" w:eastAsia="zh-CN" w:bidi="ar-SA"/>
                    </w:rPr>
                    <w:t>情况</w:t>
                  </w:r>
                </w:p>
              </w:tc>
              <w:tc>
                <w:tcPr>
                  <w:tcW w:w="822" w:type="dxa"/>
                  <w:tcBorders>
                    <w:tl2br w:val="nil"/>
                    <w:tr2bl w:val="nil"/>
                  </w:tcBorders>
                  <w:noWrap w:val="0"/>
                  <w:vAlign w:val="center"/>
                </w:tcPr>
                <w:p w14:paraId="58D189E0">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highlight w:val="none"/>
                      <w:u w:val="none"/>
                      <w:lang w:val="zh-CN"/>
                    </w:rPr>
                  </w:pPr>
                  <w:r>
                    <w:rPr>
                      <w:rFonts w:hint="eastAsia" w:ascii="Times New Roman" w:hAnsi="Times New Roman" w:eastAsia="宋体" w:cs="Times New Roman"/>
                      <w:b/>
                      <w:bCs/>
                      <w:color w:val="auto"/>
                      <w:kern w:val="2"/>
                      <w:sz w:val="21"/>
                      <w:szCs w:val="21"/>
                      <w:highlight w:val="none"/>
                      <w:u w:val="none"/>
                      <w:lang w:val="zh-CN" w:eastAsia="zh-CN" w:bidi="ar-SA"/>
                    </w:rPr>
                    <w:t>符合性</w:t>
                  </w:r>
                </w:p>
              </w:tc>
            </w:tr>
            <w:tr w14:paraId="04002EA2">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CellMar>
                  <w:top w:w="0" w:type="dxa"/>
                  <w:left w:w="108" w:type="dxa"/>
                  <w:bottom w:w="0" w:type="dxa"/>
                  <w:right w:w="108" w:type="dxa"/>
                </w:tblCellMar>
              </w:tblPrEx>
              <w:trPr>
                <w:trHeight w:val="3335" w:hRule="atLeast"/>
                <w:jc w:val="center"/>
              </w:trPr>
              <w:tc>
                <w:tcPr>
                  <w:tcW w:w="884" w:type="dxa"/>
                  <w:vMerge w:val="restart"/>
                  <w:tcBorders>
                    <w:tl2br w:val="nil"/>
                    <w:tr2bl w:val="nil"/>
                  </w:tcBorders>
                  <w:noWrap w:val="0"/>
                  <w:vAlign w:val="center"/>
                </w:tcPr>
                <w:p w14:paraId="17264D19">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平顶山市人民政府关于印发平顶山市“十四五”生态环境保护和生态经济发展规划的通知</w:t>
                  </w:r>
                </w:p>
                <w:p w14:paraId="155771B1">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 平政〔2023〕10号</w:t>
                  </w:r>
                </w:p>
              </w:tc>
              <w:tc>
                <w:tcPr>
                  <w:tcW w:w="971" w:type="dxa"/>
                  <w:tcBorders>
                    <w:tl2br w:val="nil"/>
                    <w:tr2bl w:val="nil"/>
                  </w:tcBorders>
                  <w:noWrap w:val="0"/>
                  <w:vAlign w:val="center"/>
                </w:tcPr>
                <w:p w14:paraId="712FB84E">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实施生态环境分区管控</w:t>
                  </w:r>
                </w:p>
              </w:tc>
              <w:tc>
                <w:tcPr>
                  <w:tcW w:w="3513" w:type="dxa"/>
                  <w:tcBorders>
                    <w:tl2br w:val="nil"/>
                    <w:tr2bl w:val="nil"/>
                  </w:tcBorders>
                  <w:noWrap w:val="0"/>
                  <w:vAlign w:val="center"/>
                </w:tcPr>
                <w:p w14:paraId="6A6F85E8">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立足资源环境承载能力，完善“三线一单”生态环境分区管控体系，建立动态更新和调整机制。将“三线一单”作为推进污染防治、生态修复、环境风险防控等工作的重要依据，强化“三线一单”在地方立法、政策制定、环境准入、园区管理.执法监管等领域的应用，从源头预防环境污染和生态破坏，强化重点生态功</w:t>
                  </w:r>
                  <w:r>
                    <w:rPr>
                      <w:rFonts w:hint="eastAsia" w:cs="Times New Roman"/>
                      <w:color w:val="auto"/>
                      <w:sz w:val="21"/>
                      <w:szCs w:val="21"/>
                      <w:highlight w:val="none"/>
                      <w:u w:val="none"/>
                      <w:lang w:val="en-US" w:eastAsia="zh-CN"/>
                    </w:rPr>
                    <w:t>能</w:t>
                  </w:r>
                  <w:r>
                    <w:rPr>
                      <w:rFonts w:hint="eastAsia" w:ascii="Times New Roman" w:hAnsi="Times New Roman" w:eastAsia="宋体" w:cs="Times New Roman"/>
                      <w:color w:val="auto"/>
                      <w:sz w:val="21"/>
                      <w:szCs w:val="21"/>
                      <w:highlight w:val="none"/>
                      <w:u w:val="none"/>
                      <w:lang w:val="en-US" w:eastAsia="zh-CN"/>
                    </w:rPr>
                    <w:t>区生态保护和修复，加强农产品主产区的耕地保护，严控开发强度;推进城市化发展区集约绿色低碳发展。</w:t>
                  </w:r>
                </w:p>
              </w:tc>
              <w:tc>
                <w:tcPr>
                  <w:tcW w:w="1268" w:type="dxa"/>
                  <w:tcBorders>
                    <w:tl2br w:val="nil"/>
                    <w:tr2bl w:val="nil"/>
                  </w:tcBorders>
                  <w:noWrap w:val="0"/>
                  <w:vAlign w:val="center"/>
                </w:tcPr>
                <w:p w14:paraId="7E9AD3A0">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本项目符合</w:t>
                  </w:r>
                  <w:r>
                    <w:rPr>
                      <w:rFonts w:hint="eastAsia" w:cs="Times New Roman"/>
                      <w:color w:val="auto"/>
                      <w:sz w:val="21"/>
                      <w:szCs w:val="21"/>
                      <w:highlight w:val="none"/>
                      <w:u w:val="none"/>
                      <w:lang w:val="en-US" w:eastAsia="zh-CN"/>
                    </w:rPr>
                    <w:t>叶县</w:t>
                  </w:r>
                  <w:r>
                    <w:rPr>
                      <w:rFonts w:hint="eastAsia" w:ascii="Times New Roman" w:hAnsi="Times New Roman" w:eastAsia="宋体" w:cs="Times New Roman"/>
                      <w:color w:val="auto"/>
                      <w:sz w:val="21"/>
                      <w:szCs w:val="21"/>
                      <w:highlight w:val="none"/>
                      <w:u w:val="none"/>
                      <w:lang w:val="en-US" w:eastAsia="zh-CN"/>
                    </w:rPr>
                    <w:t>“三线一单”生态环境分区管控体系要求。</w:t>
                  </w:r>
                </w:p>
              </w:tc>
              <w:tc>
                <w:tcPr>
                  <w:tcW w:w="822" w:type="dxa"/>
                  <w:tcBorders>
                    <w:tl2br w:val="nil"/>
                    <w:tr2bl w:val="nil"/>
                  </w:tcBorders>
                  <w:noWrap w:val="0"/>
                  <w:vAlign w:val="center"/>
                </w:tcPr>
                <w:p w14:paraId="3B51E8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相符</w:t>
                  </w:r>
                </w:p>
              </w:tc>
            </w:tr>
            <w:tr w14:paraId="22AA410D">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CellMar>
                  <w:top w:w="0" w:type="dxa"/>
                  <w:left w:w="108" w:type="dxa"/>
                  <w:bottom w:w="0" w:type="dxa"/>
                  <w:right w:w="108" w:type="dxa"/>
                </w:tblCellMar>
              </w:tblPrEx>
              <w:trPr>
                <w:trHeight w:val="795" w:hRule="atLeast"/>
                <w:jc w:val="center"/>
              </w:trPr>
              <w:tc>
                <w:tcPr>
                  <w:tcW w:w="884" w:type="dxa"/>
                  <w:vMerge w:val="continue"/>
                  <w:tcBorders>
                    <w:tl2br w:val="nil"/>
                    <w:tr2bl w:val="nil"/>
                  </w:tcBorders>
                  <w:noWrap w:val="0"/>
                  <w:vAlign w:val="center"/>
                </w:tcPr>
                <w:p w14:paraId="2A13E318">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lang w:val="en-US" w:eastAsia="zh-CN"/>
                    </w:rPr>
                  </w:pPr>
                </w:p>
              </w:tc>
              <w:tc>
                <w:tcPr>
                  <w:tcW w:w="971" w:type="dxa"/>
                  <w:tcBorders>
                    <w:tl2br w:val="nil"/>
                    <w:tr2bl w:val="nil"/>
                  </w:tcBorders>
                  <w:noWrap w:val="0"/>
                  <w:vAlign w:val="center"/>
                </w:tcPr>
                <w:p w14:paraId="75EABF3C">
                  <w:pPr>
                    <w:keepNext w:val="0"/>
                    <w:keepLines w:val="0"/>
                    <w:suppressLineNumbers w:val="0"/>
                    <w:autoSpaceDE w:val="0"/>
                    <w:autoSpaceDN w:val="0"/>
                    <w:adjustRightInd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深化重点领域节能减排</w:t>
                  </w:r>
                </w:p>
              </w:tc>
              <w:tc>
                <w:tcPr>
                  <w:tcW w:w="3513" w:type="dxa"/>
                  <w:tcBorders>
                    <w:tl2br w:val="nil"/>
                    <w:tr2bl w:val="nil"/>
                  </w:tcBorders>
                  <w:noWrap w:val="0"/>
                  <w:vAlign w:val="center"/>
                </w:tcPr>
                <w:p w14:paraId="5EA2CFEC">
                  <w:pPr>
                    <w:keepNext w:val="0"/>
                    <w:keepLines w:val="0"/>
                    <w:suppressLineNumbers w:val="0"/>
                    <w:autoSpaceDE w:val="0"/>
                    <w:autoSpaceDN w:val="0"/>
                    <w:spacing w:before="0" w:beforeAutospacing="0" w:after="0" w:afterAutospacing="0" w:line="240" w:lineRule="auto"/>
                    <w:ind w:left="0" w:right="0"/>
                    <w:jc w:val="center"/>
                    <w:rPr>
                      <w:rFonts w:hint="eastAsia"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推动工业领域节能减排综合改造，坚决遏制“两高”（高耗能、高排放）项目盲目发展，以钢铁、焦化、铸造、建材、有色、化工、工业涂装、包装印刷、电镀、制革、造纸、纺织印染、农副食品加工等行业为重点，开展全流程清洁化、循环化、低碳化改造。强化重点用能单位节能管理，对以煤、石油焦、渣油、重油等为燃料的工业炉窑，加快使用清洁低碳能源、工业余热电厂热力等进行替代，开展高耗能、高耗水行业和重点产品资源效率对标提升行动，实施能效、水效领跑者行动。加快推进农业、建筑业、服务业等领域清洁生产，强化农业领域节水增效和清洁能源替代，推进食用菌、烟叶等种植业及农副产品加工行业重点企业燃煤设施清洁化能源替代，2022年年底前完成烟叶烤房“双改”工作。推动煤炭清洁高效利用，加强洁净型煤质量监管。</w:t>
                  </w:r>
                </w:p>
              </w:tc>
              <w:tc>
                <w:tcPr>
                  <w:tcW w:w="1268" w:type="dxa"/>
                  <w:tcBorders>
                    <w:tl2br w:val="nil"/>
                    <w:tr2bl w:val="nil"/>
                  </w:tcBorders>
                  <w:noWrap w:val="0"/>
                  <w:vAlign w:val="center"/>
                </w:tcPr>
                <w:p w14:paraId="77F99E21">
                  <w:pPr>
                    <w:keepNext w:val="0"/>
                    <w:keepLines w:val="0"/>
                    <w:suppressLineNumbers w:val="0"/>
                    <w:autoSpaceDE w:val="0"/>
                    <w:autoSpaceDN w:val="0"/>
                    <w:spacing w:before="0" w:beforeAutospacing="0" w:after="0" w:afterAutospacing="0" w:line="240" w:lineRule="auto"/>
                    <w:ind w:left="0" w:right="0"/>
                    <w:jc w:val="center"/>
                    <w:rPr>
                      <w:rFonts w:hint="default" w:cs="Times New Roman"/>
                      <w:color w:val="auto"/>
                      <w:sz w:val="21"/>
                      <w:szCs w:val="21"/>
                      <w:highlight w:val="none"/>
                      <w:u w:val="none"/>
                      <w:lang w:val="en-US" w:eastAsia="zh-CN"/>
                    </w:rPr>
                  </w:pPr>
                  <w:r>
                    <w:rPr>
                      <w:rFonts w:hint="default" w:ascii="Times New Roman" w:hAnsi="Times New Roman" w:eastAsia="宋体" w:cs="Times New Roman"/>
                      <w:b w:val="0"/>
                      <w:bCs w:val="0"/>
                      <w:color w:val="auto"/>
                      <w:kern w:val="2"/>
                      <w:sz w:val="21"/>
                      <w:szCs w:val="21"/>
                      <w:highlight w:val="none"/>
                      <w:u w:val="none"/>
                      <w:lang w:val="en-US" w:eastAsia="zh-CN" w:bidi="ar-SA"/>
                    </w:rPr>
                    <w:t>本项目</w:t>
                  </w:r>
                  <w:r>
                    <w:rPr>
                      <w:rFonts w:hint="eastAsia" w:cs="Times New Roman"/>
                      <w:b w:val="0"/>
                      <w:bCs w:val="0"/>
                      <w:color w:val="auto"/>
                      <w:kern w:val="2"/>
                      <w:sz w:val="21"/>
                      <w:szCs w:val="21"/>
                      <w:highlight w:val="none"/>
                      <w:u w:val="none"/>
                      <w:lang w:val="en-US" w:eastAsia="zh-CN" w:bidi="ar-SA"/>
                    </w:rPr>
                    <w:t>不属于两高项目，</w:t>
                  </w:r>
                  <w:r>
                    <w:rPr>
                      <w:rFonts w:hint="default" w:ascii="Times New Roman" w:hAnsi="Times New Roman" w:eastAsia="宋体" w:cs="Times New Roman"/>
                      <w:b w:val="0"/>
                      <w:bCs w:val="0"/>
                      <w:color w:val="auto"/>
                      <w:kern w:val="2"/>
                      <w:sz w:val="21"/>
                      <w:szCs w:val="21"/>
                      <w:highlight w:val="none"/>
                      <w:u w:val="none"/>
                      <w:lang w:val="en-US" w:eastAsia="zh-CN" w:bidi="ar-SA"/>
                    </w:rPr>
                    <w:t>生产过程中</w:t>
                  </w:r>
                  <w:r>
                    <w:rPr>
                      <w:rFonts w:hint="default" w:ascii="Times New Roman" w:hAnsi="Times New Roman" w:cs="Times New Roman"/>
                      <w:b w:val="0"/>
                      <w:bCs w:val="0"/>
                      <w:color w:val="auto"/>
                      <w:kern w:val="2"/>
                      <w:sz w:val="21"/>
                      <w:szCs w:val="21"/>
                      <w:highlight w:val="none"/>
                      <w:u w:val="none"/>
                      <w:lang w:val="en-US" w:eastAsia="zh-CN" w:bidi="ar-SA"/>
                    </w:rPr>
                    <w:t>注重</w:t>
                  </w:r>
                  <w:r>
                    <w:rPr>
                      <w:rFonts w:hint="eastAsia" w:cs="Times New Roman"/>
                      <w:b w:val="0"/>
                      <w:bCs w:val="0"/>
                      <w:color w:val="auto"/>
                      <w:kern w:val="2"/>
                      <w:sz w:val="21"/>
                      <w:szCs w:val="21"/>
                      <w:highlight w:val="none"/>
                      <w:u w:val="none"/>
                      <w:lang w:val="en-US" w:eastAsia="zh-CN" w:bidi="ar-SA"/>
                    </w:rPr>
                    <w:t>湿法加工处理物料，</w:t>
                  </w:r>
                  <w:r>
                    <w:rPr>
                      <w:rFonts w:hint="default" w:ascii="Times New Roman" w:hAnsi="Times New Roman" w:eastAsia="宋体" w:cs="Times New Roman"/>
                      <w:b w:val="0"/>
                      <w:bCs w:val="0"/>
                      <w:color w:val="auto"/>
                      <w:kern w:val="2"/>
                      <w:sz w:val="21"/>
                      <w:szCs w:val="21"/>
                      <w:highlight w:val="none"/>
                      <w:u w:val="none"/>
                      <w:lang w:val="en-US" w:eastAsia="zh-CN" w:bidi="ar-SA"/>
                    </w:rPr>
                    <w:t>加强物料运输、装卸储存及生产过程中的无组织排放控制，确保污染物稳定达标排放</w:t>
                  </w:r>
                  <w:r>
                    <w:rPr>
                      <w:rFonts w:hint="default" w:ascii="Times New Roman" w:hAnsi="Times New Roman" w:cs="Times New Roman"/>
                      <w:b w:val="0"/>
                      <w:bCs w:val="0"/>
                      <w:color w:val="auto"/>
                      <w:kern w:val="2"/>
                      <w:sz w:val="21"/>
                      <w:szCs w:val="21"/>
                      <w:highlight w:val="none"/>
                      <w:u w:val="none"/>
                      <w:lang w:val="en-US" w:eastAsia="zh-CN" w:bidi="ar-SA"/>
                    </w:rPr>
                    <w:t>，减少对周围环境的影响。</w:t>
                  </w:r>
                </w:p>
              </w:tc>
              <w:tc>
                <w:tcPr>
                  <w:tcW w:w="822" w:type="dxa"/>
                  <w:tcBorders>
                    <w:tl2br w:val="nil"/>
                    <w:tr2bl w:val="nil"/>
                  </w:tcBorders>
                  <w:noWrap w:val="0"/>
                  <w:vAlign w:val="center"/>
                </w:tcPr>
                <w:p w14:paraId="1ADC6A8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相符</w:t>
                  </w:r>
                </w:p>
              </w:tc>
            </w:tr>
            <w:tr w14:paraId="468FBA96">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CellMar>
                  <w:top w:w="0" w:type="dxa"/>
                  <w:left w:w="108" w:type="dxa"/>
                  <w:bottom w:w="0" w:type="dxa"/>
                  <w:right w:w="108" w:type="dxa"/>
                </w:tblCellMar>
              </w:tblPrEx>
              <w:trPr>
                <w:trHeight w:val="696" w:hRule="atLeast"/>
                <w:jc w:val="center"/>
              </w:trPr>
              <w:tc>
                <w:tcPr>
                  <w:tcW w:w="884" w:type="dxa"/>
                  <w:vMerge w:val="continue"/>
                  <w:tcBorders>
                    <w:tl2br w:val="nil"/>
                    <w:tr2bl w:val="nil"/>
                  </w:tcBorders>
                  <w:noWrap w:val="0"/>
                  <w:vAlign w:val="center"/>
                </w:tcPr>
                <w:p w14:paraId="6C2F5B45">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lang w:val="en-US" w:eastAsia="zh-CN"/>
                    </w:rPr>
                  </w:pPr>
                </w:p>
              </w:tc>
              <w:tc>
                <w:tcPr>
                  <w:tcW w:w="971" w:type="dxa"/>
                  <w:tcBorders>
                    <w:tl2br w:val="nil"/>
                    <w:tr2bl w:val="nil"/>
                  </w:tcBorders>
                  <w:noWrap w:val="0"/>
                  <w:vAlign w:val="center"/>
                </w:tcPr>
                <w:p w14:paraId="388E9125">
                  <w:pPr>
                    <w:keepNext w:val="0"/>
                    <w:keepLines w:val="0"/>
                    <w:suppressLineNumbers w:val="0"/>
                    <w:autoSpaceDE w:val="0"/>
                    <w:autoSpaceDN w:val="0"/>
                    <w:adjustRightInd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加强水资源集约利用</w:t>
                  </w:r>
                </w:p>
              </w:tc>
              <w:tc>
                <w:tcPr>
                  <w:tcW w:w="3513" w:type="dxa"/>
                  <w:tcBorders>
                    <w:tl2br w:val="nil"/>
                    <w:tr2bl w:val="nil"/>
                  </w:tcBorders>
                  <w:noWrap w:val="0"/>
                  <w:vAlign w:val="center"/>
                </w:tcPr>
                <w:p w14:paraId="1308CCD7">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强化水资源刚性约束制度，坚持“以水定城、以水定地、以水定人、以水定产”，进一步控制水资源消耗。严格用水全过程管理，强化节水监督考核。因地制宜推进区域再生水循环利用，鼓励工业领域节水和水循环利用，围绕火电、有色、造纸、印染等高耗水行业，加强企业内部工业用水循环利用，鼓励新建、改建、扩建的污水处理广配套建设再生水利用系统，到2025年，市区再生水利用率达到25%以上，因地制宜调整种植结构，推进农业灌溉用水总量控制和定额管理，到2025年，全市灌溉水有效利用系数达到0.638以上</w:t>
                  </w:r>
                </w:p>
              </w:tc>
              <w:tc>
                <w:tcPr>
                  <w:tcW w:w="1268" w:type="dxa"/>
                  <w:tcBorders>
                    <w:tl2br w:val="nil"/>
                    <w:tr2bl w:val="nil"/>
                  </w:tcBorders>
                  <w:noWrap w:val="0"/>
                  <w:vAlign w:val="center"/>
                </w:tcPr>
                <w:p w14:paraId="5192CD0F">
                  <w:pPr>
                    <w:keepNext w:val="0"/>
                    <w:keepLines w:val="0"/>
                    <w:suppressLineNumbers w:val="0"/>
                    <w:autoSpaceDE w:val="0"/>
                    <w:autoSpaceDN w:val="0"/>
                    <w:spacing w:before="0" w:beforeAutospacing="0" w:after="0" w:afterAutospacing="0" w:line="240" w:lineRule="auto"/>
                    <w:ind w:left="0" w:right="0"/>
                    <w:jc w:val="center"/>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生产时</w:t>
                  </w:r>
                  <w:r>
                    <w:rPr>
                      <w:rFonts w:hint="eastAsia" w:ascii="Times New Roman" w:hAnsi="Times New Roman" w:eastAsia="宋体" w:cs="Times New Roman"/>
                      <w:color w:val="auto"/>
                      <w:sz w:val="21"/>
                      <w:szCs w:val="21"/>
                      <w:highlight w:val="none"/>
                      <w:u w:val="none"/>
                      <w:lang w:val="en-US" w:eastAsia="zh-CN"/>
                    </w:rPr>
                    <w:t>控制水资源消耗</w:t>
                  </w:r>
                  <w:r>
                    <w:rPr>
                      <w:rFonts w:hint="eastAsia" w:cs="Times New Roman"/>
                      <w:color w:val="auto"/>
                      <w:sz w:val="21"/>
                      <w:szCs w:val="21"/>
                      <w:highlight w:val="none"/>
                      <w:u w:val="none"/>
                      <w:lang w:val="en-US" w:eastAsia="zh-CN"/>
                    </w:rPr>
                    <w:t>，</w:t>
                  </w:r>
                  <w:r>
                    <w:rPr>
                      <w:rFonts w:hint="default" w:ascii="Times New Roman" w:hAnsi="Times New Roman" w:cs="Times New Roman"/>
                      <w:b w:val="0"/>
                      <w:bCs w:val="0"/>
                      <w:color w:val="auto"/>
                      <w:kern w:val="2"/>
                      <w:sz w:val="21"/>
                      <w:szCs w:val="21"/>
                      <w:highlight w:val="none"/>
                      <w:u w:val="none"/>
                      <w:lang w:val="en-US" w:eastAsia="zh-CN" w:bidi="ar-SA"/>
                    </w:rPr>
                    <w:t>根据项目生产废水水质特点，厂区内设计</w:t>
                  </w:r>
                  <w:r>
                    <w:rPr>
                      <w:rFonts w:hint="default" w:ascii="Times New Roman" w:hAnsi="Times New Roman" w:eastAsia="宋体" w:cs="Times New Roman"/>
                      <w:b w:val="0"/>
                      <w:bCs w:val="0"/>
                      <w:color w:val="auto"/>
                      <w:kern w:val="2"/>
                      <w:sz w:val="21"/>
                      <w:szCs w:val="21"/>
                      <w:highlight w:val="none"/>
                      <w:u w:val="none"/>
                      <w:lang w:val="en-US" w:eastAsia="zh-CN" w:bidi="ar-SA"/>
                    </w:rPr>
                    <w:t>废水循环利用装备和设施，实现一水多用和梯级利用。</w:t>
                  </w:r>
                </w:p>
              </w:tc>
              <w:tc>
                <w:tcPr>
                  <w:tcW w:w="822" w:type="dxa"/>
                  <w:tcBorders>
                    <w:tl2br w:val="nil"/>
                    <w:tr2bl w:val="nil"/>
                  </w:tcBorders>
                  <w:noWrap w:val="0"/>
                  <w:vAlign w:val="center"/>
                </w:tcPr>
                <w:p w14:paraId="00328DD4">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相符</w:t>
                  </w:r>
                </w:p>
              </w:tc>
            </w:tr>
          </w:tbl>
          <w:p w14:paraId="3201CF6C">
            <w:pPr>
              <w:pStyle w:val="40"/>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bCs/>
                <w:color w:val="auto"/>
                <w:kern w:val="2"/>
                <w:sz w:val="24"/>
                <w:szCs w:val="24"/>
                <w:highlight w:val="none"/>
                <w:u w:val="none"/>
                <w:lang w:val="en-US" w:eastAsia="zh-CN" w:bidi="ar-SA"/>
              </w:rPr>
            </w:pPr>
            <w:r>
              <w:rPr>
                <w:rFonts w:hint="default" w:ascii="Times New Roman" w:hAnsi="Times New Roman" w:eastAsia="宋体" w:cs="Times New Roman"/>
                <w:color w:val="auto"/>
                <w:kern w:val="0"/>
                <w:sz w:val="24"/>
                <w:szCs w:val="24"/>
                <w:highlight w:val="none"/>
                <w:lang w:val="en-US" w:eastAsia="zh-CN"/>
              </w:rPr>
              <w:t>由上表分析可知，本项目建设符合《</w:t>
            </w:r>
            <w:r>
              <w:rPr>
                <w:rFonts w:hint="eastAsia" w:ascii="Times New Roman" w:cs="Times New Roman"/>
                <w:b w:val="0"/>
                <w:bCs/>
                <w:color w:val="auto"/>
                <w:kern w:val="28"/>
                <w:sz w:val="24"/>
                <w:szCs w:val="40"/>
                <w:highlight w:val="none"/>
                <w:lang w:val="en-US" w:eastAsia="zh-CN" w:bidi="ar-SA"/>
              </w:rPr>
              <w:t>平顶山市“十四五”生态环境保护和生态经济发展规划的通知</w:t>
            </w:r>
            <w:r>
              <w:rPr>
                <w:rFonts w:hint="default" w:ascii="Times New Roman" w:hAnsi="Times New Roman" w:eastAsia="宋体" w:cs="Times New Roman"/>
                <w:color w:val="auto"/>
                <w:kern w:val="0"/>
                <w:sz w:val="24"/>
                <w:szCs w:val="24"/>
                <w:highlight w:val="none"/>
                <w:lang w:val="en-US" w:eastAsia="zh-CN"/>
              </w:rPr>
              <w:t>》中相关要求</w:t>
            </w:r>
            <w:r>
              <w:rPr>
                <w:rFonts w:hint="default" w:ascii="Times New Roman" w:hAnsi="Times New Roman" w:eastAsia="宋体" w:cs="Times New Roman"/>
                <w:color w:val="auto"/>
                <w:sz w:val="24"/>
                <w:szCs w:val="24"/>
                <w:highlight w:val="none"/>
              </w:rPr>
              <w:t>。</w:t>
            </w:r>
          </w:p>
          <w:p w14:paraId="4316F9D6">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eastAsia" w:ascii="Times New Roman" w:hAnsi="Times New Roman" w:eastAsia="宋体" w:cs="Times New Roman"/>
                <w:b/>
                <w:bCs w:val="0"/>
                <w:color w:val="auto"/>
                <w:sz w:val="24"/>
                <w:szCs w:val="24"/>
                <w:u w:val="none"/>
                <w:lang w:val="en-US" w:eastAsia="zh-CN"/>
              </w:rPr>
            </w:pPr>
            <w:r>
              <w:rPr>
                <w:rFonts w:hint="eastAsia" w:eastAsia="宋体" w:cs="Times New Roman"/>
                <w:b/>
                <w:bCs w:val="0"/>
                <w:color w:val="auto"/>
                <w:sz w:val="24"/>
                <w:szCs w:val="24"/>
                <w:u w:val="none"/>
                <w:lang w:val="en-US" w:eastAsia="zh-CN"/>
              </w:rPr>
              <w:t>1</w:t>
            </w:r>
            <w:r>
              <w:rPr>
                <w:rFonts w:hint="eastAsia" w:cs="Times New Roman"/>
                <w:b/>
                <w:bCs w:val="0"/>
                <w:color w:val="auto"/>
                <w:sz w:val="24"/>
                <w:szCs w:val="24"/>
                <w:u w:val="none"/>
                <w:lang w:val="en-US" w:eastAsia="zh-CN"/>
              </w:rPr>
              <w:t>6</w:t>
            </w:r>
            <w:r>
              <w:rPr>
                <w:rFonts w:hint="eastAsia" w:ascii="Times New Roman" w:hAnsi="Times New Roman" w:eastAsia="宋体" w:cs="Times New Roman"/>
                <w:b/>
                <w:bCs w:val="0"/>
                <w:color w:val="auto"/>
                <w:sz w:val="24"/>
                <w:szCs w:val="24"/>
                <w:u w:val="none"/>
                <w:lang w:val="en-US" w:eastAsia="zh-CN"/>
              </w:rPr>
              <w:t>、与《关于印发</w:t>
            </w:r>
            <w:r>
              <w:rPr>
                <w:rFonts w:hint="eastAsia" w:ascii="Times New Roman" w:hAnsi="Times New Roman" w:eastAsia="宋体" w:cs="Times New Roman"/>
                <w:b/>
                <w:bCs w:val="0"/>
                <w:color w:val="auto"/>
                <w:sz w:val="24"/>
                <w:szCs w:val="24"/>
                <w:highlight w:val="none"/>
                <w:u w:val="none"/>
                <w:lang w:val="en-US" w:eastAsia="zh-CN"/>
              </w:rPr>
              <w:t>河南省“两高”项目管理目录</w:t>
            </w:r>
            <w:r>
              <w:rPr>
                <w:rFonts w:hint="eastAsia" w:ascii="Times New Roman" w:hAnsi="Times New Roman" w:eastAsia="宋体" w:cs="Times New Roman"/>
                <w:b/>
                <w:bCs w:val="0"/>
                <w:color w:val="auto"/>
                <w:sz w:val="24"/>
                <w:szCs w:val="24"/>
                <w:u w:val="none"/>
                <w:lang w:val="en-US" w:eastAsia="zh-CN"/>
              </w:rPr>
              <w:t>(2023年修订)的通知》(豫发改环资〔2023〕38号)相符性分析</w:t>
            </w:r>
          </w:p>
          <w:p w14:paraId="0A0623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val="0"/>
                <w:color w:val="auto"/>
                <w:sz w:val="24"/>
                <w:szCs w:val="24"/>
                <w:u w:val="none"/>
                <w:lang w:val="en-US" w:eastAsia="zh-CN"/>
              </w:rPr>
            </w:pPr>
            <w:r>
              <w:rPr>
                <w:rFonts w:hint="default" w:ascii="Times New Roman" w:hAnsi="Times New Roman" w:eastAsia="宋体" w:cs="Times New Roman"/>
                <w:b/>
                <w:bCs w:val="0"/>
                <w:color w:val="auto"/>
                <w:sz w:val="24"/>
                <w:szCs w:val="24"/>
                <w:u w:val="none"/>
                <w:lang w:eastAsia="zh-CN"/>
              </w:rPr>
              <w:t>表</w:t>
            </w:r>
            <w:r>
              <w:rPr>
                <w:rFonts w:hint="eastAsia" w:eastAsia="宋体" w:cs="Times New Roman"/>
                <w:b/>
                <w:bCs w:val="0"/>
                <w:color w:val="auto"/>
                <w:sz w:val="24"/>
                <w:szCs w:val="24"/>
                <w:u w:val="none"/>
                <w:lang w:val="en-US" w:eastAsia="zh-CN"/>
              </w:rPr>
              <w:t>1-</w:t>
            </w:r>
            <w:r>
              <w:rPr>
                <w:rFonts w:hint="eastAsia" w:cs="Times New Roman"/>
                <w:b/>
                <w:bCs w:val="0"/>
                <w:color w:val="auto"/>
                <w:sz w:val="24"/>
                <w:szCs w:val="24"/>
                <w:u w:val="none"/>
                <w:lang w:val="en-US" w:eastAsia="zh-CN"/>
              </w:rPr>
              <w:t>10</w:t>
            </w:r>
            <w:r>
              <w:rPr>
                <w:rFonts w:hint="default" w:ascii="Times New Roman" w:hAnsi="Times New Roman" w:eastAsia="宋体" w:cs="Times New Roman"/>
                <w:b/>
                <w:bCs w:val="0"/>
                <w:color w:val="auto"/>
                <w:sz w:val="24"/>
                <w:szCs w:val="24"/>
                <w:u w:val="none"/>
                <w:lang w:val="en-US" w:eastAsia="zh-CN"/>
              </w:rPr>
              <w:t xml:space="preserve"> </w:t>
            </w:r>
            <w:r>
              <w:rPr>
                <w:rFonts w:hint="eastAsia" w:ascii="Times New Roman" w:hAnsi="Times New Roman" w:eastAsia="宋体" w:cs="Times New Roman"/>
                <w:b/>
                <w:bCs w:val="0"/>
                <w:color w:val="auto"/>
                <w:sz w:val="24"/>
                <w:szCs w:val="24"/>
                <w:u w:val="none"/>
                <w:lang w:val="en-US" w:eastAsia="zh-CN"/>
              </w:rPr>
              <w:t>与《关于印发河南省“两高”项目管理目录(2023年修订)的通知》(豫发改环资〔2023〕38号)</w:t>
            </w:r>
            <w:r>
              <w:rPr>
                <w:rFonts w:hint="default" w:ascii="Times New Roman" w:hAnsi="Times New Roman" w:cs="Times New Roman" w:eastAsiaTheme="minorEastAsia"/>
                <w:b/>
                <w:bCs w:val="0"/>
                <w:color w:val="auto"/>
                <w:sz w:val="24"/>
                <w:szCs w:val="24"/>
                <w:lang w:val="en-US" w:eastAsia="zh-CN" w:bidi="ar"/>
              </w:rPr>
              <w:t>符合性分析一览表</w:t>
            </w:r>
          </w:p>
          <w:tbl>
            <w:tblPr>
              <w:tblStyle w:val="23"/>
              <w:tblW w:w="4998" w:type="pct"/>
              <w:tblInd w:w="-7" w:type="dxa"/>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Layout w:type="fixed"/>
              <w:tblCellMar>
                <w:top w:w="0" w:type="dxa"/>
                <w:left w:w="108" w:type="dxa"/>
                <w:bottom w:w="0" w:type="dxa"/>
                <w:right w:w="108" w:type="dxa"/>
              </w:tblCellMar>
            </w:tblPr>
            <w:tblGrid>
              <w:gridCol w:w="1467"/>
              <w:gridCol w:w="2941"/>
              <w:gridCol w:w="2381"/>
              <w:gridCol w:w="696"/>
            </w:tblGrid>
            <w:tr w14:paraId="23E83CA4">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tcBorders>
                    <w:tl2br w:val="nil"/>
                    <w:tr2bl w:val="nil"/>
                  </w:tcBorders>
                  <w:noWrap w:val="0"/>
                  <w:vAlign w:val="center"/>
                </w:tcPr>
                <w:p w14:paraId="565BB4AF">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文件</w:t>
                  </w:r>
                </w:p>
              </w:tc>
              <w:tc>
                <w:tcPr>
                  <w:tcW w:w="1965" w:type="pct"/>
                  <w:tcBorders>
                    <w:tl2br w:val="nil"/>
                    <w:tr2bl w:val="nil"/>
                  </w:tcBorders>
                  <w:noWrap w:val="0"/>
                  <w:vAlign w:val="center"/>
                </w:tcPr>
                <w:p w14:paraId="4EEAF612">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两高项目目录</w:t>
                  </w:r>
                </w:p>
              </w:tc>
              <w:tc>
                <w:tcPr>
                  <w:tcW w:w="1590" w:type="pct"/>
                  <w:tcBorders>
                    <w:tl2br w:val="nil"/>
                    <w:tr2bl w:val="nil"/>
                  </w:tcBorders>
                  <w:noWrap w:val="0"/>
                  <w:vAlign w:val="center"/>
                </w:tcPr>
                <w:p w14:paraId="3358E196">
                  <w:pPr>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本项目情况</w:t>
                  </w:r>
                </w:p>
              </w:tc>
              <w:tc>
                <w:tcPr>
                  <w:tcW w:w="464" w:type="pct"/>
                  <w:tcBorders>
                    <w:tl2br w:val="nil"/>
                    <w:tr2bl w:val="nil"/>
                  </w:tcBorders>
                  <w:noWrap w:val="0"/>
                  <w:vAlign w:val="center"/>
                </w:tcPr>
                <w:p w14:paraId="3693A83E">
                  <w:pPr>
                    <w:jc w:val="center"/>
                    <w:rPr>
                      <w:rFonts w:hint="eastAsia" w:ascii="Times New Roman" w:hAnsi="Times New Roman" w:eastAsia="宋体" w:cs="Times New Roman"/>
                      <w:b/>
                      <w:bCs/>
                      <w:color w:val="auto"/>
                      <w:sz w:val="21"/>
                      <w:szCs w:val="21"/>
                      <w:u w:val="none"/>
                      <w:lang w:eastAsia="zh-CN"/>
                    </w:rPr>
                  </w:pPr>
                  <w:r>
                    <w:rPr>
                      <w:rFonts w:hint="eastAsia" w:cs="Times New Roman"/>
                      <w:b/>
                      <w:bCs/>
                      <w:color w:val="auto"/>
                      <w:sz w:val="21"/>
                      <w:szCs w:val="21"/>
                      <w:u w:val="none"/>
                      <w:lang w:val="en-US" w:eastAsia="zh-CN"/>
                    </w:rPr>
                    <w:t>符合性</w:t>
                  </w:r>
                </w:p>
              </w:tc>
            </w:tr>
            <w:tr w14:paraId="1899F852">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tcBorders>
                    <w:tl2br w:val="nil"/>
                    <w:tr2bl w:val="nil"/>
                  </w:tcBorders>
                  <w:noWrap w:val="0"/>
                  <w:vAlign w:val="center"/>
                </w:tcPr>
                <w:p w14:paraId="2E537B0A">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《关于印发河南省“两高”项目管理目录(2023年修订)的通知》(豫发改环资〔2023〕38号)</w:t>
                  </w:r>
                </w:p>
              </w:tc>
              <w:tc>
                <w:tcPr>
                  <w:tcW w:w="1965" w:type="pct"/>
                  <w:tcBorders>
                    <w:tl2br w:val="nil"/>
                    <w:tr2bl w:val="nil"/>
                  </w:tcBorders>
                  <w:noWrap w:val="0"/>
                  <w:vAlign w:val="center"/>
                </w:tcPr>
                <w:p w14:paraId="4AABFF27">
                  <w:pPr>
                    <w:jc w:val="both"/>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第一类</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煤电、石化、化工、煤化工、钢铁(不含短流程炼钢项目及钢铁压延加工项目)、焦化、建材(非金属矿物制品，不含耐火材料项目)、有色(不含铜、铅锌、铝、硅等有色金属再生冶炼和原生、再生有色金属压延加工项目)等8个行业年综合能耗量5万吨标准煤(等价值)及以上项目</w:t>
                  </w:r>
                </w:p>
              </w:tc>
              <w:tc>
                <w:tcPr>
                  <w:tcW w:w="1590" w:type="pct"/>
                  <w:tcBorders>
                    <w:tl2br w:val="nil"/>
                    <w:tr2bl w:val="nil"/>
                  </w:tcBorders>
                  <w:noWrap w:val="0"/>
                  <w:vAlign w:val="center"/>
                </w:tcPr>
                <w:p w14:paraId="50BEA8F3">
                  <w:pPr>
                    <w:jc w:val="both"/>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w:t>
                  </w:r>
                  <w:r>
                    <w:rPr>
                      <w:rFonts w:hint="eastAsia" w:eastAsia="宋体" w:cs="Times New Roman"/>
                      <w:lang w:val="en-US" w:eastAsia="zh-CN"/>
                    </w:rPr>
                    <w:t>砂石加工生产</w:t>
                  </w:r>
                  <w:r>
                    <w:rPr>
                      <w:rFonts w:hint="default" w:ascii="Times New Roman" w:hAnsi="Times New Roman" w:eastAsia="宋体" w:cs="Times New Roman"/>
                      <w:lang w:val="en-US" w:eastAsia="zh-CN"/>
                    </w:rPr>
                    <w:t>，属于第一类8个行业中建材行业-非金属矿物制品，</w:t>
                  </w:r>
                  <w:r>
                    <w:rPr>
                      <w:rFonts w:hint="default" w:ascii="Times New Roman" w:hAnsi="Times New Roman" w:eastAsia="宋体" w:cs="Times New Roman"/>
                      <w:highlight w:val="none"/>
                      <w:lang w:val="en-US" w:eastAsia="zh-CN"/>
                    </w:rPr>
                    <w:t>根据</w:t>
                  </w:r>
                  <w:r>
                    <w:rPr>
                      <w:rFonts w:hint="eastAsia" w:ascii="Times New Roman" w:hAnsi="Times New Roman" w:eastAsia="宋体" w:cs="Times New Roman"/>
                      <w:highlight w:val="none"/>
                      <w:lang w:val="en-US" w:eastAsia="zh-CN"/>
                    </w:rPr>
                    <w:t>《</w:t>
                  </w:r>
                  <w:r>
                    <w:rPr>
                      <w:rFonts w:hint="default" w:ascii="Times New Roman" w:hAnsi="Times New Roman" w:eastAsia="宋体" w:cs="Times New Roman"/>
                      <w:highlight w:val="none"/>
                      <w:lang w:val="en-US" w:eastAsia="zh-CN"/>
                    </w:rPr>
                    <w:t>综合能耗计算通则</w:t>
                  </w:r>
                  <w:r>
                    <w:rPr>
                      <w:rFonts w:hint="eastAsia" w:ascii="Times New Roman" w:hAnsi="Times New Roman" w:eastAsia="宋体" w:cs="Times New Roman"/>
                      <w:highlight w:val="none"/>
                      <w:lang w:val="en-US" w:eastAsia="zh-CN"/>
                    </w:rPr>
                    <w:t>》</w:t>
                  </w:r>
                  <w:r>
                    <w:rPr>
                      <w:rFonts w:hint="default" w:ascii="Times New Roman" w:hAnsi="Times New Roman" w:eastAsia="宋体" w:cs="Times New Roman"/>
                      <w:highlight w:val="none"/>
                      <w:lang w:val="en-US" w:eastAsia="zh-CN"/>
                    </w:rPr>
                    <w:t>GB/T 2589-2020</w:t>
                  </w:r>
                  <w:r>
                    <w:rPr>
                      <w:rFonts w:hint="eastAsia" w:ascii="Times New Roman" w:hAnsi="Times New Roman" w:eastAsia="宋体" w:cs="Times New Roman"/>
                      <w:highlight w:val="none"/>
                      <w:lang w:val="en-US" w:eastAsia="zh-CN"/>
                    </w:rPr>
                    <w:t>计算得出，</w:t>
                  </w:r>
                  <w:r>
                    <w:rPr>
                      <w:rFonts w:hint="default" w:ascii="Times New Roman" w:hAnsi="Times New Roman" w:eastAsia="宋体" w:cs="Times New Roman"/>
                      <w:highlight w:val="none"/>
                      <w:lang w:val="en-US" w:eastAsia="zh-CN"/>
                    </w:rPr>
                    <w:t>本项目年耗能折算标准煤量约</w:t>
                  </w:r>
                  <w:r>
                    <w:rPr>
                      <w:rFonts w:hint="eastAsia" w:cs="Times New Roman"/>
                      <w:highlight w:val="none"/>
                      <w:lang w:val="en-US" w:eastAsia="zh-CN"/>
                    </w:rPr>
                    <w:t>86.6</w:t>
                  </w:r>
                  <w:r>
                    <w:rPr>
                      <w:rFonts w:hint="default" w:ascii="Times New Roman" w:hAnsi="Times New Roman" w:eastAsia="宋体" w:cs="Times New Roman"/>
                      <w:highlight w:val="none"/>
                      <w:lang w:val="en-US" w:eastAsia="zh-CN"/>
                    </w:rPr>
                    <w:t>吨，低于5万吨标准煤，</w:t>
                  </w:r>
                  <w:r>
                    <w:rPr>
                      <w:rFonts w:hint="default" w:ascii="Times New Roman" w:hAnsi="Times New Roman" w:eastAsia="宋体" w:cs="Times New Roman"/>
                      <w:lang w:val="en-US" w:eastAsia="zh-CN"/>
                    </w:rPr>
                    <w:t>因此本项目不属于“两高”项目</w:t>
                  </w:r>
                  <w:r>
                    <w:rPr>
                      <w:rFonts w:hint="eastAsia" w:cs="Times New Roman"/>
                      <w:lang w:val="en-US" w:eastAsia="zh-CN"/>
                    </w:rPr>
                    <w:t>.</w:t>
                  </w:r>
                </w:p>
              </w:tc>
              <w:tc>
                <w:tcPr>
                  <w:tcW w:w="464" w:type="pct"/>
                  <w:tcBorders>
                    <w:tl2br w:val="nil"/>
                    <w:tr2bl w:val="nil"/>
                  </w:tcBorders>
                  <w:noWrap w:val="0"/>
                  <w:vAlign w:val="center"/>
                </w:tcPr>
                <w:p w14:paraId="2DD39211">
                  <w:pPr>
                    <w:jc w:val="both"/>
                    <w:rPr>
                      <w:rFonts w:hint="default" w:ascii="Times New Roman" w:hAnsi="Times New Roman" w:eastAsia="宋体" w:cs="Times New Roman"/>
                      <w:highlight w:val="none"/>
                      <w:lang w:val="en-US" w:eastAsia="zh-CN"/>
                    </w:rPr>
                  </w:pPr>
                  <w:r>
                    <w:rPr>
                      <w:rFonts w:hint="eastAsia" w:cs="Times New Roman"/>
                      <w:highlight w:val="none"/>
                      <w:lang w:val="en-US" w:eastAsia="zh-CN"/>
                    </w:rPr>
                    <w:t>符合</w:t>
                  </w:r>
                </w:p>
              </w:tc>
            </w:tr>
          </w:tbl>
          <w:p w14:paraId="2B44C32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Times New Roman" w:hAnsi="Times New Roman" w:eastAsia="宋体" w:cs="Times New Roman"/>
                <w:b w:val="0"/>
                <w:bCs/>
                <w:color w:val="auto"/>
                <w:sz w:val="24"/>
                <w:szCs w:val="24"/>
                <w:u w:val="none"/>
                <w:lang w:val="en-US" w:eastAsia="zh-CN"/>
              </w:rPr>
            </w:pPr>
            <w:r>
              <w:rPr>
                <w:rFonts w:hint="eastAsia" w:ascii="Times New Roman" w:hAnsi="Times New Roman" w:eastAsia="宋体" w:cs="Times New Roman"/>
                <w:b w:val="0"/>
                <w:bCs/>
                <w:color w:val="auto"/>
                <w:sz w:val="24"/>
                <w:szCs w:val="24"/>
                <w:u w:val="none"/>
                <w:lang w:val="en-US" w:eastAsia="zh-CN"/>
              </w:rPr>
              <w:t>综上所述，本项目符合《关于印发河南省“两高”项目管理目录(2023年修订)的通知》(豫发改环资(2023)38号)中相关要求。</w:t>
            </w:r>
          </w:p>
          <w:p w14:paraId="5E32E2FB">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2" w:firstLineChars="200"/>
              <w:textAlignment w:val="auto"/>
              <w:rPr>
                <w:rFonts w:hint="eastAsia" w:ascii="Times New Roman" w:hAnsi="Times New Roman" w:eastAsia="宋体" w:cs="Times New Roman"/>
                <w:b/>
                <w:bCs w:val="0"/>
                <w:color w:val="auto"/>
                <w:sz w:val="24"/>
                <w:szCs w:val="24"/>
                <w:u w:val="none"/>
                <w:lang w:val="en-US" w:eastAsia="zh-CN"/>
              </w:rPr>
            </w:pPr>
            <w:r>
              <w:rPr>
                <w:rFonts w:hint="eastAsia" w:ascii="Times New Roman" w:hAnsi="Times New Roman" w:eastAsia="宋体" w:cs="Times New Roman"/>
                <w:b/>
                <w:bCs w:val="0"/>
                <w:color w:val="auto"/>
                <w:kern w:val="2"/>
                <w:sz w:val="24"/>
                <w:szCs w:val="24"/>
                <w:lang w:val="en-US" w:eastAsia="zh-CN" w:bidi="ar-SA"/>
              </w:rPr>
              <w:t>1</w:t>
            </w:r>
            <w:r>
              <w:rPr>
                <w:rFonts w:hint="eastAsia" w:cs="Times New Roman"/>
                <w:b/>
                <w:bCs w:val="0"/>
                <w:color w:val="auto"/>
                <w:kern w:val="2"/>
                <w:sz w:val="24"/>
                <w:szCs w:val="24"/>
                <w:lang w:val="en-US" w:eastAsia="zh-CN" w:bidi="ar-SA"/>
              </w:rPr>
              <w:t>7</w:t>
            </w:r>
            <w:r>
              <w:rPr>
                <w:rFonts w:hint="eastAsia" w:ascii="Times New Roman" w:hAnsi="Times New Roman" w:eastAsia="宋体" w:cs="Times New Roman"/>
                <w:b/>
                <w:bCs w:val="0"/>
                <w:color w:val="auto"/>
                <w:kern w:val="2"/>
                <w:sz w:val="24"/>
                <w:szCs w:val="24"/>
                <w:lang w:val="en-US" w:eastAsia="zh-CN" w:bidi="ar-SA"/>
              </w:rPr>
              <w:t>、</w:t>
            </w:r>
            <w:r>
              <w:rPr>
                <w:rFonts w:hint="eastAsia" w:ascii="Times New Roman" w:hAnsi="Times New Roman" w:eastAsia="宋体" w:cs="Times New Roman"/>
                <w:b/>
                <w:bCs w:val="0"/>
                <w:color w:val="auto"/>
                <w:sz w:val="24"/>
                <w:szCs w:val="24"/>
                <w:u w:val="none"/>
                <w:lang w:val="en-US" w:eastAsia="zh-CN"/>
              </w:rPr>
              <w:t>与《河南省生态环境厅关于印发河南省工业大气污染防治6个专项方案的通知[2019]84号》附件2《河南省2019年工业企业无组织排放治理方案》相符性分析</w:t>
            </w:r>
          </w:p>
          <w:p w14:paraId="746667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val="0"/>
                <w:color w:val="auto"/>
                <w:sz w:val="24"/>
                <w:szCs w:val="24"/>
                <w:u w:val="none"/>
                <w:lang w:val="en-US" w:eastAsia="zh-CN"/>
              </w:rPr>
            </w:pPr>
            <w:r>
              <w:rPr>
                <w:rFonts w:hint="default" w:ascii="Times New Roman" w:hAnsi="Times New Roman" w:eastAsia="宋体" w:cs="Times New Roman"/>
                <w:b/>
                <w:bCs w:val="0"/>
                <w:color w:val="auto"/>
                <w:sz w:val="24"/>
                <w:szCs w:val="24"/>
                <w:u w:val="none"/>
                <w:lang w:eastAsia="zh-CN"/>
              </w:rPr>
              <w:t>表</w:t>
            </w:r>
            <w:r>
              <w:rPr>
                <w:rFonts w:hint="eastAsia" w:eastAsia="宋体" w:cs="Times New Roman"/>
                <w:b/>
                <w:bCs w:val="0"/>
                <w:color w:val="auto"/>
                <w:sz w:val="24"/>
                <w:szCs w:val="24"/>
                <w:u w:val="none"/>
                <w:lang w:val="en-US" w:eastAsia="zh-CN"/>
              </w:rPr>
              <w:t>1-1</w:t>
            </w:r>
            <w:r>
              <w:rPr>
                <w:rFonts w:hint="eastAsia" w:cs="Times New Roman"/>
                <w:b/>
                <w:bCs w:val="0"/>
                <w:color w:val="auto"/>
                <w:sz w:val="24"/>
                <w:szCs w:val="24"/>
                <w:u w:val="none"/>
                <w:lang w:val="en-US" w:eastAsia="zh-CN"/>
              </w:rPr>
              <w:t>1</w:t>
            </w:r>
            <w:r>
              <w:rPr>
                <w:rFonts w:hint="default" w:ascii="Times New Roman" w:hAnsi="Times New Roman" w:eastAsia="宋体" w:cs="Times New Roman"/>
                <w:b/>
                <w:bCs w:val="0"/>
                <w:color w:val="auto"/>
                <w:sz w:val="24"/>
                <w:szCs w:val="24"/>
                <w:u w:val="none"/>
                <w:lang w:val="en-US" w:eastAsia="zh-CN"/>
              </w:rPr>
              <w:t xml:space="preserve"> </w:t>
            </w:r>
            <w:r>
              <w:rPr>
                <w:rFonts w:hint="default" w:ascii="Times New Roman" w:hAnsi="Times New Roman" w:cs="Times New Roman" w:eastAsiaTheme="minorEastAsia"/>
                <w:b/>
                <w:bCs w:val="0"/>
                <w:color w:val="auto"/>
                <w:sz w:val="24"/>
                <w:szCs w:val="24"/>
                <w:lang w:val="en-US" w:eastAsia="zh-CN" w:bidi="ar"/>
              </w:rPr>
              <w:t>本项目建设内容与上述文件符合性分析一览表</w:t>
            </w:r>
          </w:p>
          <w:tbl>
            <w:tblPr>
              <w:tblStyle w:val="23"/>
              <w:tblW w:w="4998" w:type="pct"/>
              <w:tblInd w:w="-7" w:type="dxa"/>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Layout w:type="fixed"/>
              <w:tblCellMar>
                <w:top w:w="0" w:type="dxa"/>
                <w:left w:w="108" w:type="dxa"/>
                <w:bottom w:w="0" w:type="dxa"/>
                <w:right w:w="108" w:type="dxa"/>
              </w:tblCellMar>
            </w:tblPr>
            <w:tblGrid>
              <w:gridCol w:w="1467"/>
              <w:gridCol w:w="2941"/>
              <w:gridCol w:w="2381"/>
              <w:gridCol w:w="696"/>
            </w:tblGrid>
            <w:tr w14:paraId="746753B0">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tcBorders>
                    <w:tl2br w:val="nil"/>
                    <w:tr2bl w:val="nil"/>
                  </w:tcBorders>
                  <w:noWrap w:val="0"/>
                  <w:vAlign w:val="center"/>
                </w:tcPr>
                <w:p w14:paraId="498ABB4A">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文件</w:t>
                  </w:r>
                </w:p>
              </w:tc>
              <w:tc>
                <w:tcPr>
                  <w:tcW w:w="1964" w:type="pct"/>
                  <w:tcBorders>
                    <w:tl2br w:val="nil"/>
                    <w:tr2bl w:val="nil"/>
                  </w:tcBorders>
                  <w:noWrap w:val="0"/>
                  <w:vAlign w:val="center"/>
                </w:tcPr>
                <w:p w14:paraId="2946B702">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其它行业无组织排放治理标准</w:t>
                  </w:r>
                  <w:r>
                    <w:rPr>
                      <w:rFonts w:hint="eastAsia" w:ascii="Times New Roman" w:hAnsi="Times New Roman" w:eastAsia="宋体" w:cs="Times New Roman"/>
                      <w:b/>
                      <w:bCs/>
                      <w:color w:val="auto"/>
                      <w:sz w:val="21"/>
                      <w:szCs w:val="21"/>
                      <w:u w:val="none"/>
                      <w:lang w:val="en-US" w:eastAsia="zh-CN"/>
                    </w:rPr>
                    <w:t>要求</w:t>
                  </w:r>
                </w:p>
              </w:tc>
              <w:tc>
                <w:tcPr>
                  <w:tcW w:w="1590" w:type="pct"/>
                  <w:tcBorders>
                    <w:tl2br w:val="nil"/>
                    <w:tr2bl w:val="nil"/>
                  </w:tcBorders>
                  <w:noWrap w:val="0"/>
                  <w:vAlign w:val="center"/>
                </w:tcPr>
                <w:p w14:paraId="40CD8AE7">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本项目情况</w:t>
                  </w:r>
                </w:p>
              </w:tc>
              <w:tc>
                <w:tcPr>
                  <w:tcW w:w="465" w:type="pct"/>
                  <w:tcBorders>
                    <w:tl2br w:val="nil"/>
                    <w:tr2bl w:val="nil"/>
                  </w:tcBorders>
                  <w:noWrap w:val="0"/>
                  <w:vAlign w:val="center"/>
                </w:tcPr>
                <w:p w14:paraId="27C260B6">
                  <w:pPr>
                    <w:jc w:val="center"/>
                    <w:rPr>
                      <w:rFonts w:hint="default" w:ascii="Times New Roman" w:hAnsi="Times New Roman" w:eastAsia="宋体" w:cs="Times New Roman"/>
                      <w:b/>
                      <w:bCs/>
                      <w:color w:val="auto"/>
                      <w:sz w:val="21"/>
                      <w:szCs w:val="21"/>
                      <w:u w:val="none"/>
                    </w:rPr>
                  </w:pPr>
                  <w:r>
                    <w:rPr>
                      <w:rFonts w:hint="eastAsia" w:ascii="Times New Roman" w:hAnsi="Times New Roman" w:eastAsia="宋体" w:cs="Times New Roman"/>
                      <w:b/>
                      <w:bCs/>
                      <w:color w:val="auto"/>
                      <w:sz w:val="21"/>
                      <w:szCs w:val="21"/>
                      <w:u w:val="none"/>
                      <w:lang w:val="en-US" w:eastAsia="zh-CN"/>
                    </w:rPr>
                    <w:t>符合</w:t>
                  </w:r>
                  <w:r>
                    <w:rPr>
                      <w:rFonts w:hint="default" w:ascii="Times New Roman" w:hAnsi="Times New Roman" w:eastAsia="宋体" w:cs="Times New Roman"/>
                      <w:b/>
                      <w:bCs/>
                      <w:color w:val="auto"/>
                      <w:sz w:val="21"/>
                      <w:szCs w:val="21"/>
                      <w:u w:val="none"/>
                    </w:rPr>
                    <w:t>性</w:t>
                  </w:r>
                </w:p>
              </w:tc>
            </w:tr>
            <w:tr w14:paraId="0ACE57B3">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restart"/>
                  <w:tcBorders>
                    <w:tl2br w:val="nil"/>
                    <w:tr2bl w:val="nil"/>
                  </w:tcBorders>
                  <w:noWrap w:val="0"/>
                  <w:vAlign w:val="center"/>
                </w:tcPr>
                <w:p w14:paraId="77B12001">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《河南省生态环境厅关于印发河南省工业大气污染防治6个专项方案的通知[2019]84号》中《河南省2019年工业企业无组织排放治理方案》</w:t>
                  </w:r>
                </w:p>
              </w:tc>
              <w:tc>
                <w:tcPr>
                  <w:tcW w:w="1964" w:type="pct"/>
                  <w:tcBorders>
                    <w:tl2br w:val="nil"/>
                    <w:tr2bl w:val="nil"/>
                  </w:tcBorders>
                  <w:noWrap w:val="0"/>
                  <w:vAlign w:val="center"/>
                </w:tcPr>
                <w:p w14:paraId="07A51158">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料场密闭治理：</w:t>
                  </w:r>
                </w:p>
                <w:p w14:paraId="6CF93320">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1.所有物料（包括原辅料、半成品、成品）进库存放，厂界内无露天堆放物料。料场安装喷干雾抑尘设施。</w:t>
                  </w:r>
                </w:p>
                <w:p w14:paraId="0CE96673">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2.密闭料场必须覆盖所有堆场料区（堆放区、工作区和主通道区）。</w:t>
                  </w:r>
                </w:p>
                <w:p w14:paraId="1D9A3F9C">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3.车间、料库四面密闭，通道口安装卷帘门、推拉门等封闭性良好且便于开 关的硬质门，在无车辆出入时将门关闭，保证空气合理流动不产生湍流。</w:t>
                  </w:r>
                </w:p>
                <w:p w14:paraId="176D4956">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4.所有地面完成硬化，并保证除物料堆放区域外没有明显积尘。</w:t>
                  </w:r>
                </w:p>
                <w:p w14:paraId="1034448B">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5.每个下料口设置独立集气罩，配套的除尘设施不与其他工序混用。</w:t>
                  </w:r>
                </w:p>
                <w:p w14:paraId="7B892557">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6.厂房车间各生产工序须功能区化，各功能区安装固定的喷干雾抑尘装置。</w:t>
                  </w:r>
                </w:p>
                <w:p w14:paraId="2C720C4D">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7.厂区出口应安装车辆冲洗装置，保证出场车辆车轮车身干净、运行不起尘。</w:t>
                  </w:r>
                </w:p>
              </w:tc>
              <w:tc>
                <w:tcPr>
                  <w:tcW w:w="1590" w:type="pct"/>
                  <w:tcBorders>
                    <w:tl2br w:val="nil"/>
                    <w:tr2bl w:val="nil"/>
                  </w:tcBorders>
                  <w:noWrap w:val="0"/>
                  <w:vAlign w:val="center"/>
                </w:tcPr>
                <w:p w14:paraId="77706775">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1.所有物料（包括原辅料、半成品、成品）进库存放，厂界内无露天堆放物料</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原料库</w:t>
                  </w:r>
                  <w:r>
                    <w:rPr>
                      <w:rFonts w:hint="default" w:ascii="Times New Roman" w:hAnsi="Times New Roman" w:eastAsia="宋体" w:cs="Times New Roman"/>
                      <w:lang w:val="en-US" w:eastAsia="zh-CN"/>
                    </w:rPr>
                    <w:t>内安装</w:t>
                  </w:r>
                  <w:r>
                    <w:rPr>
                      <w:rFonts w:hint="eastAsia" w:ascii="Times New Roman" w:hAnsi="Times New Roman" w:eastAsia="宋体" w:cs="Times New Roman"/>
                      <w:lang w:val="en-US" w:eastAsia="zh-CN"/>
                    </w:rPr>
                    <w:t>喷雾抑尘设施。</w:t>
                  </w:r>
                </w:p>
                <w:p w14:paraId="2B7F06D7">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2.密闭料场，覆盖所有堆场料区（</w:t>
                  </w:r>
                  <w:r>
                    <w:rPr>
                      <w:rFonts w:hint="eastAsia" w:cs="Times New Roman"/>
                      <w:lang w:val="en-US" w:eastAsia="zh-CN"/>
                    </w:rPr>
                    <w:t>存放</w:t>
                  </w:r>
                  <w:r>
                    <w:rPr>
                      <w:rFonts w:hint="eastAsia" w:ascii="Times New Roman" w:hAnsi="Times New Roman" w:eastAsia="宋体" w:cs="Times New Roman"/>
                      <w:lang w:val="en-US" w:eastAsia="zh-CN"/>
                    </w:rPr>
                    <w:t>区、工作区和主通道区）。</w:t>
                  </w:r>
                </w:p>
                <w:p w14:paraId="16A2EED4">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3.全封闭生产车间，通道口安装推拉门，在无车辆出入时将门关闭。</w:t>
                  </w:r>
                </w:p>
                <w:p w14:paraId="7C4D7299">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4.厂房地面硬化，定期清扫。</w:t>
                  </w:r>
                </w:p>
                <w:p w14:paraId="4C28DDFF">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5.下料口（给料口）设置集气罩，下料（给料）</w:t>
                  </w:r>
                  <w:r>
                    <w:rPr>
                      <w:rFonts w:hint="eastAsia" w:cs="Times New Roman"/>
                      <w:lang w:val="en-US" w:eastAsia="zh-CN"/>
                    </w:rPr>
                    <w:t>颗粒物</w:t>
                  </w:r>
                  <w:r>
                    <w:rPr>
                      <w:rFonts w:hint="eastAsia" w:ascii="Times New Roman" w:hAnsi="Times New Roman" w:eastAsia="宋体" w:cs="Times New Roman"/>
                      <w:lang w:val="en-US" w:eastAsia="zh-CN"/>
                    </w:rPr>
                    <w:t>引至1套除尘设施。</w:t>
                  </w:r>
                </w:p>
                <w:p w14:paraId="3DFCCCF1">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6.厂房车间各生产工序功能区化，安装集尘装置及配备除尘系统，可以满足除尘要求。</w:t>
                  </w:r>
                </w:p>
                <w:p w14:paraId="1C1BB2A6">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7.厂区出口安装车辆冲洗装置。</w:t>
                  </w:r>
                </w:p>
                <w:p w14:paraId="3A9290D3">
                  <w:pPr>
                    <w:jc w:val="both"/>
                    <w:rPr>
                      <w:rFonts w:hint="default" w:ascii="Times New Roman" w:hAnsi="Times New Roman" w:eastAsia="宋体" w:cs="Times New Roman"/>
                      <w:lang w:val="en-US" w:eastAsia="zh-CN"/>
                    </w:rPr>
                  </w:pPr>
                </w:p>
              </w:tc>
              <w:tc>
                <w:tcPr>
                  <w:tcW w:w="465" w:type="pct"/>
                  <w:tcBorders>
                    <w:tl2br w:val="nil"/>
                    <w:tr2bl w:val="nil"/>
                  </w:tcBorders>
                  <w:noWrap w:val="0"/>
                  <w:vAlign w:val="center"/>
                </w:tcPr>
                <w:p w14:paraId="302B329E">
                  <w:pPr>
                    <w:jc w:val="both"/>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符合</w:t>
                  </w:r>
                </w:p>
              </w:tc>
            </w:tr>
            <w:tr w14:paraId="4B975222">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continue"/>
                  <w:tcBorders>
                    <w:tl2br w:val="nil"/>
                    <w:tr2bl w:val="nil"/>
                  </w:tcBorders>
                  <w:noWrap w:val="0"/>
                  <w:vAlign w:val="center"/>
                </w:tcPr>
                <w:p w14:paraId="1752C8CD">
                  <w:pPr>
                    <w:jc w:val="both"/>
                    <w:rPr>
                      <w:rFonts w:hint="eastAsia" w:ascii="Times New Roman" w:hAnsi="Times New Roman" w:eastAsia="宋体" w:cs="Times New Roman"/>
                      <w:lang w:val="en-US" w:eastAsia="zh-CN"/>
                    </w:rPr>
                  </w:pPr>
                </w:p>
              </w:tc>
              <w:tc>
                <w:tcPr>
                  <w:tcW w:w="1964" w:type="pct"/>
                  <w:tcBorders>
                    <w:tl2br w:val="nil"/>
                    <w:tr2bl w:val="nil"/>
                  </w:tcBorders>
                  <w:noWrap w:val="0"/>
                  <w:vAlign w:val="center"/>
                </w:tcPr>
                <w:p w14:paraId="605F4706">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物料输送环节治理：</w:t>
                  </w:r>
                </w:p>
                <w:p w14:paraId="1A7E73A3">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1.散状物料采用封闭式输送方式，皮带输送机受料点、卸料点应设置密闭罩，并配备除尘设施。</w:t>
                  </w:r>
                </w:p>
                <w:p w14:paraId="2F14E16A">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2.皮带输送机或物料提升机需在密闭廊道内运行，并在所有落料位置设置集尘装置及配备除尘系统。</w:t>
                  </w:r>
                </w:p>
                <w:p w14:paraId="3B6B80F2">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3.运输车辆装载高度最高点不得超过车辆槽帮上沿</w:t>
                  </w:r>
                  <w:r>
                    <w:rPr>
                      <w:rFonts w:hint="default" w:ascii="Times New Roman" w:hAnsi="Times New Roman" w:eastAsia="宋体" w:cs="Times New Roman"/>
                      <w:lang w:val="en-US" w:eastAsia="zh-CN"/>
                    </w:rPr>
                    <w:t>40</w:t>
                  </w:r>
                  <w:r>
                    <w:rPr>
                      <w:rFonts w:hint="eastAsia" w:ascii="Times New Roman" w:hAnsi="Times New Roman" w:eastAsia="宋体" w:cs="Times New Roman"/>
                      <w:lang w:val="en-US" w:eastAsia="zh-CN"/>
                    </w:rPr>
                    <w:t>厘米，两侧边缘应当低于槽帮上缘</w:t>
                  </w:r>
                  <w:r>
                    <w:rPr>
                      <w:rFonts w:hint="default" w:ascii="Times New Roman" w:hAnsi="Times New Roman" w:eastAsia="宋体" w:cs="Times New Roman"/>
                      <w:lang w:val="en-US" w:eastAsia="zh-CN"/>
                    </w:rPr>
                    <w:t>10</w:t>
                  </w:r>
                  <w:r>
                    <w:rPr>
                      <w:rFonts w:hint="eastAsia" w:ascii="Times New Roman" w:hAnsi="Times New Roman" w:eastAsia="宋体" w:cs="Times New Roman"/>
                      <w:lang w:val="en-US" w:eastAsia="zh-CN"/>
                    </w:rPr>
                    <w:t>厘米，车斗应采用苫布覆盖，苫布边缘至少要遮住槽帮上沿以下</w:t>
                  </w:r>
                  <w:r>
                    <w:rPr>
                      <w:rFonts w:hint="default" w:ascii="Times New Roman" w:hAnsi="Times New Roman" w:eastAsia="宋体" w:cs="Times New Roman"/>
                      <w:lang w:val="en-US" w:eastAsia="zh-CN"/>
                    </w:rPr>
                    <w:t>15</w:t>
                  </w:r>
                  <w:r>
                    <w:rPr>
                      <w:rFonts w:hint="eastAsia" w:ascii="Times New Roman" w:hAnsi="Times New Roman" w:eastAsia="宋体" w:cs="Times New Roman"/>
                      <w:lang w:val="en-US" w:eastAsia="zh-CN"/>
                    </w:rPr>
                    <w:t>厘米，禁止厂内露天转运散状物料。</w:t>
                  </w:r>
                </w:p>
                <w:p w14:paraId="6B200A61">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4.除尘器卸灰不直接卸落到地面，卸灰区封闭。除尘灰采用气力输送、罐车等密闭方式运输；采用非密闭方式运输的，车辆应苫盖，装卸车时应采取加湿等措施抑尘。</w:t>
                  </w:r>
                </w:p>
              </w:tc>
              <w:tc>
                <w:tcPr>
                  <w:tcW w:w="1590" w:type="pct"/>
                  <w:tcBorders>
                    <w:tl2br w:val="nil"/>
                    <w:tr2bl w:val="nil"/>
                  </w:tcBorders>
                  <w:noWrap w:val="0"/>
                  <w:vAlign w:val="center"/>
                </w:tcPr>
                <w:p w14:paraId="7DEB063C">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w:t>
                  </w:r>
                  <w:r>
                    <w:rPr>
                      <w:rFonts w:hint="default" w:ascii="Times New Roman" w:hAnsi="Times New Roman" w:eastAsia="宋体" w:cs="Times New Roman"/>
                      <w:lang w:val="en-US" w:eastAsia="zh-CN"/>
                    </w:rPr>
                    <w:t>传送带二次封闭，</w:t>
                  </w:r>
                  <w:r>
                    <w:rPr>
                      <w:rFonts w:hint="eastAsia" w:cs="Times New Roman"/>
                      <w:lang w:val="en-US" w:eastAsia="zh-CN"/>
                    </w:rPr>
                    <w:t>产尘点</w:t>
                  </w:r>
                  <w:r>
                    <w:rPr>
                      <w:rFonts w:hint="eastAsia" w:ascii="Times New Roman" w:hAnsi="Times New Roman" w:eastAsia="宋体" w:cs="Times New Roman"/>
                      <w:lang w:val="en-US" w:eastAsia="zh-CN"/>
                    </w:rPr>
                    <w:t>位置设置集尘罩，</w:t>
                  </w:r>
                  <w:r>
                    <w:rPr>
                      <w:rFonts w:hint="eastAsia" w:cs="Times New Roman"/>
                      <w:lang w:val="en-US" w:eastAsia="zh-CN"/>
                    </w:rPr>
                    <w:t>颗粒物</w:t>
                  </w:r>
                  <w:r>
                    <w:rPr>
                      <w:rFonts w:hint="eastAsia" w:ascii="Times New Roman" w:hAnsi="Times New Roman" w:eastAsia="宋体" w:cs="Times New Roman"/>
                      <w:lang w:val="en-US" w:eastAsia="zh-CN"/>
                    </w:rPr>
                    <w:t>引至袋式除尘器。</w:t>
                  </w:r>
                </w:p>
                <w:p w14:paraId="6A4C8A8D">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2.传送带二次封闭，所有</w:t>
                  </w:r>
                  <w:r>
                    <w:rPr>
                      <w:rFonts w:hint="eastAsia" w:cs="Times New Roman"/>
                      <w:lang w:val="en-US" w:eastAsia="zh-CN"/>
                    </w:rPr>
                    <w:t>产尘点</w:t>
                  </w:r>
                  <w:r>
                    <w:rPr>
                      <w:rFonts w:hint="eastAsia" w:ascii="Times New Roman" w:hAnsi="Times New Roman" w:eastAsia="宋体" w:cs="Times New Roman"/>
                      <w:lang w:val="en-US" w:eastAsia="zh-CN"/>
                    </w:rPr>
                    <w:t>位置设置集尘罩，</w:t>
                  </w:r>
                  <w:r>
                    <w:rPr>
                      <w:rFonts w:hint="eastAsia" w:cs="Times New Roman"/>
                      <w:lang w:val="en-US" w:eastAsia="zh-CN"/>
                    </w:rPr>
                    <w:t>颗粒物</w:t>
                  </w:r>
                  <w:r>
                    <w:rPr>
                      <w:rFonts w:hint="eastAsia" w:ascii="Times New Roman" w:hAnsi="Times New Roman" w:eastAsia="宋体" w:cs="Times New Roman"/>
                      <w:lang w:val="en-US" w:eastAsia="zh-CN"/>
                    </w:rPr>
                    <w:t>引至袋式除尘器。</w:t>
                  </w:r>
                </w:p>
                <w:p w14:paraId="4E49BB0E">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3.运输车辆装载高度最高点不超过车辆槽帮上沿40厘米，两侧边缘低于槽帮上缘10厘米，车斗采用苫布覆盖，苦布边缘遮住槽帮上沿以下15厘米，不在厂内露天转运物料。</w:t>
                  </w:r>
                </w:p>
                <w:p w14:paraId="401334AF">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4.除尘器卸灰进入收集桶内，</w:t>
                  </w:r>
                  <w:r>
                    <w:rPr>
                      <w:rFonts w:hint="eastAsia" w:cs="Times New Roman"/>
                      <w:lang w:val="en-US" w:eastAsia="zh-CN"/>
                    </w:rPr>
                    <w:t>不直接卸落到地面</w:t>
                  </w:r>
                  <w:r>
                    <w:rPr>
                      <w:rFonts w:hint="eastAsia" w:ascii="Times New Roman" w:hAnsi="Times New Roman" w:eastAsia="宋体" w:cs="Times New Roman"/>
                      <w:lang w:val="en-US" w:eastAsia="zh-CN"/>
                    </w:rPr>
                    <w:t>。除尘器收集的颗粒物外售运输车辆苫盖，装卸车时采取加湿措施抑尘。</w:t>
                  </w:r>
                </w:p>
              </w:tc>
              <w:tc>
                <w:tcPr>
                  <w:tcW w:w="465" w:type="pct"/>
                  <w:tcBorders>
                    <w:tl2br w:val="nil"/>
                    <w:tr2bl w:val="nil"/>
                  </w:tcBorders>
                  <w:noWrap w:val="0"/>
                  <w:vAlign w:val="center"/>
                </w:tcPr>
                <w:p w14:paraId="37FCD9F3">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符合</w:t>
                  </w:r>
                </w:p>
              </w:tc>
            </w:tr>
            <w:tr w14:paraId="780EC755">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continue"/>
                  <w:tcBorders>
                    <w:tl2br w:val="nil"/>
                    <w:tr2bl w:val="nil"/>
                  </w:tcBorders>
                  <w:noWrap w:val="0"/>
                  <w:vAlign w:val="center"/>
                </w:tcPr>
                <w:p w14:paraId="7363DBFC">
                  <w:pPr>
                    <w:jc w:val="both"/>
                    <w:rPr>
                      <w:rFonts w:hint="eastAsia" w:ascii="Times New Roman" w:hAnsi="Times New Roman" w:eastAsia="宋体" w:cs="Times New Roman"/>
                      <w:b w:val="0"/>
                      <w:bCs/>
                      <w:color w:val="auto"/>
                      <w:sz w:val="24"/>
                      <w:szCs w:val="24"/>
                      <w:u w:val="none"/>
                      <w:lang w:val="en-US" w:eastAsia="zh-CN"/>
                    </w:rPr>
                  </w:pPr>
                </w:p>
              </w:tc>
              <w:tc>
                <w:tcPr>
                  <w:tcW w:w="1964" w:type="pct"/>
                  <w:tcBorders>
                    <w:tl2br w:val="nil"/>
                    <w:tr2bl w:val="nil"/>
                  </w:tcBorders>
                  <w:noWrap w:val="0"/>
                  <w:vAlign w:val="center"/>
                </w:tcPr>
                <w:p w14:paraId="4BF4FA57">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生产环节治理：</w:t>
                  </w:r>
                </w:p>
                <w:p w14:paraId="5BE6155F">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1.物料上料、破碎、筛分、混料等生产过程中的产尘点应在封闭的厂房内进行二次封闭，并安装集气设施和除尘设施。</w:t>
                  </w:r>
                </w:p>
                <w:p w14:paraId="5E9019F8">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2.在生产过程中的产生</w:t>
                  </w:r>
                  <w:r>
                    <w:rPr>
                      <w:rFonts w:hint="default" w:ascii="Times New Roman" w:hAnsi="Times New Roman" w:eastAsia="宋体" w:cs="Times New Roman"/>
                      <w:lang w:val="en-US" w:eastAsia="zh-CN"/>
                    </w:rPr>
                    <w:t>VOCS</w:t>
                  </w:r>
                  <w:r>
                    <w:rPr>
                      <w:rFonts w:hint="eastAsia" w:ascii="Times New Roman" w:hAnsi="Times New Roman" w:eastAsia="宋体" w:cs="Times New Roman"/>
                      <w:lang w:val="en-US" w:eastAsia="zh-CN"/>
                    </w:rPr>
                    <w:t>的工序应在封闭的厂房内进行二次封闭，并安装集气设施和</w:t>
                  </w:r>
                  <w:r>
                    <w:rPr>
                      <w:rFonts w:hint="default" w:ascii="Times New Roman" w:hAnsi="Times New Roman" w:eastAsia="宋体" w:cs="Times New Roman"/>
                      <w:lang w:val="en-US" w:eastAsia="zh-CN"/>
                    </w:rPr>
                    <w:t>VOCS</w:t>
                  </w:r>
                  <w:r>
                    <w:rPr>
                      <w:rFonts w:hint="eastAsia" w:ascii="Times New Roman" w:hAnsi="Times New Roman" w:eastAsia="宋体" w:cs="Times New Roman"/>
                      <w:lang w:val="en-US" w:eastAsia="zh-CN"/>
                    </w:rPr>
                    <w:t>处理设施。</w:t>
                  </w:r>
                </w:p>
                <w:p w14:paraId="213552B7">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3.其他方面：禁止生产车间内散放原料，需采用全封闭式</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地下料仓，并配备完备的废气收集和处理系统，生产环节必须在密闭良好的车间内运行。</w:t>
                  </w:r>
                </w:p>
              </w:tc>
              <w:tc>
                <w:tcPr>
                  <w:tcW w:w="1590" w:type="pct"/>
                  <w:tcBorders>
                    <w:tl2br w:val="nil"/>
                    <w:tr2bl w:val="nil"/>
                  </w:tcBorders>
                  <w:noWrap w:val="0"/>
                  <w:vAlign w:val="center"/>
                </w:tcPr>
                <w:p w14:paraId="2C48823B">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1.物料</w:t>
                  </w:r>
                  <w:r>
                    <w:rPr>
                      <w:rFonts w:hint="eastAsia" w:cs="Times New Roman"/>
                      <w:lang w:val="en-US" w:eastAsia="zh-CN"/>
                    </w:rPr>
                    <w:t>给料</w:t>
                  </w:r>
                  <w:r>
                    <w:rPr>
                      <w:rFonts w:hint="eastAsia" w:ascii="Times New Roman" w:hAnsi="Times New Roman" w:eastAsia="宋体" w:cs="Times New Roman"/>
                      <w:lang w:val="en-US" w:eastAsia="zh-CN"/>
                    </w:rPr>
                    <w:t>、</w:t>
                  </w:r>
                  <w:r>
                    <w:rPr>
                      <w:rFonts w:hint="eastAsia" w:cs="Times New Roman"/>
                      <w:lang w:val="en-US" w:eastAsia="zh-CN"/>
                    </w:rPr>
                    <w:t>颚破</w:t>
                  </w:r>
                  <w:r>
                    <w:rPr>
                      <w:rFonts w:hint="eastAsia" w:ascii="Times New Roman" w:hAnsi="Times New Roman" w:eastAsia="宋体" w:cs="Times New Roman"/>
                      <w:lang w:val="en-US" w:eastAsia="zh-CN"/>
                    </w:rPr>
                    <w:t>生产过程中的产尘点应在封闭的厂房内安装集气设施和除尘设施。</w:t>
                  </w:r>
                </w:p>
                <w:p w14:paraId="5D197944">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w:t>
                  </w:r>
                  <w:r>
                    <w:rPr>
                      <w:rFonts w:hint="eastAsia" w:cs="Times New Roman"/>
                      <w:lang w:val="en-US" w:eastAsia="zh-CN"/>
                    </w:rPr>
                    <w:t>本项目</w:t>
                  </w:r>
                  <w:r>
                    <w:rPr>
                      <w:rFonts w:hint="eastAsia" w:ascii="Times New Roman" w:hAnsi="Times New Roman" w:eastAsia="宋体" w:cs="Times New Roman"/>
                      <w:lang w:val="en-US" w:eastAsia="zh-CN"/>
                    </w:rPr>
                    <w:t>无VOCs产生。</w:t>
                  </w:r>
                </w:p>
                <w:p w14:paraId="3293EAB0">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3.禁止生产车间内散放原料，采用全封闭式料仓，并配备完备的废气收集和处理系统，生产环节在密闭车间内运行。</w:t>
                  </w:r>
                </w:p>
              </w:tc>
              <w:tc>
                <w:tcPr>
                  <w:tcW w:w="465" w:type="pct"/>
                  <w:tcBorders>
                    <w:tl2br w:val="nil"/>
                    <w:tr2bl w:val="nil"/>
                  </w:tcBorders>
                  <w:noWrap w:val="0"/>
                  <w:vAlign w:val="center"/>
                </w:tcPr>
                <w:p w14:paraId="048F74A2">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符合</w:t>
                  </w:r>
                </w:p>
              </w:tc>
            </w:tr>
            <w:tr w14:paraId="6B883DA9">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continue"/>
                  <w:tcBorders>
                    <w:tl2br w:val="nil"/>
                    <w:tr2bl w:val="nil"/>
                  </w:tcBorders>
                  <w:noWrap w:val="0"/>
                  <w:vAlign w:val="center"/>
                </w:tcPr>
                <w:p w14:paraId="02E48A6C">
                  <w:pPr>
                    <w:jc w:val="both"/>
                    <w:rPr>
                      <w:rFonts w:hint="eastAsia" w:ascii="Times New Roman" w:hAnsi="Times New Roman" w:eastAsia="宋体" w:cs="Times New Roman"/>
                      <w:b w:val="0"/>
                      <w:bCs/>
                      <w:color w:val="auto"/>
                      <w:sz w:val="24"/>
                      <w:szCs w:val="24"/>
                      <w:u w:val="none"/>
                      <w:lang w:val="en-US" w:eastAsia="zh-CN"/>
                    </w:rPr>
                  </w:pPr>
                </w:p>
              </w:tc>
              <w:tc>
                <w:tcPr>
                  <w:tcW w:w="1964" w:type="pct"/>
                  <w:tcBorders>
                    <w:tl2br w:val="nil"/>
                    <w:tr2bl w:val="nil"/>
                  </w:tcBorders>
                  <w:noWrap w:val="0"/>
                  <w:vAlign w:val="center"/>
                </w:tcPr>
                <w:p w14:paraId="4C6402FD">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厂区、车辆治理：</w:t>
                  </w:r>
                </w:p>
                <w:p w14:paraId="243DC9EC">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1.厂区道路硬化，平整无破损，无积尘，厂区无裸露空地，闲置裸露空地绿化。</w:t>
                  </w:r>
                </w:p>
                <w:p w14:paraId="34DF7298">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2.对厂区道路定期洒水清扫。</w:t>
                  </w:r>
                </w:p>
                <w:p w14:paraId="71016E16">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3.企业出厂口处配备高压清洗装置对所有车辆车轮、底盘进行冲洗，严禁带泥上路。洗车平台四周应设置洗车废水收集防治设施。</w:t>
                  </w:r>
                </w:p>
              </w:tc>
              <w:tc>
                <w:tcPr>
                  <w:tcW w:w="1590" w:type="pct"/>
                  <w:tcBorders>
                    <w:tl2br w:val="nil"/>
                    <w:tr2bl w:val="nil"/>
                  </w:tcBorders>
                  <w:noWrap w:val="0"/>
                  <w:vAlign w:val="center"/>
                </w:tcPr>
                <w:p w14:paraId="418C96F6">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1.厂区内道路硬化，闲置裸露空地绿化。</w:t>
                  </w:r>
                </w:p>
                <w:p w14:paraId="33DFB62F">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2.厂区定期酒水清扫。</w:t>
                  </w:r>
                </w:p>
                <w:p w14:paraId="20879CD0">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3.厂区出口配备车辆冲洗装置，并配套建设1座沉淀池收集洗车废水后回用。</w:t>
                  </w:r>
                </w:p>
              </w:tc>
              <w:tc>
                <w:tcPr>
                  <w:tcW w:w="465" w:type="pct"/>
                  <w:tcBorders>
                    <w:tl2br w:val="nil"/>
                    <w:tr2bl w:val="nil"/>
                  </w:tcBorders>
                  <w:noWrap w:val="0"/>
                  <w:vAlign w:val="center"/>
                </w:tcPr>
                <w:p w14:paraId="0A45931F">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符合</w:t>
                  </w:r>
                </w:p>
              </w:tc>
            </w:tr>
            <w:tr w14:paraId="178F1FA9">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continue"/>
                  <w:tcBorders>
                    <w:tl2br w:val="nil"/>
                    <w:tr2bl w:val="nil"/>
                  </w:tcBorders>
                  <w:noWrap w:val="0"/>
                  <w:vAlign w:val="center"/>
                </w:tcPr>
                <w:p w14:paraId="1BB1D803">
                  <w:pPr>
                    <w:jc w:val="both"/>
                    <w:rPr>
                      <w:rFonts w:hint="eastAsia" w:ascii="Times New Roman" w:hAnsi="Times New Roman" w:eastAsia="宋体" w:cs="Times New Roman"/>
                      <w:b w:val="0"/>
                      <w:bCs/>
                      <w:color w:val="auto"/>
                      <w:sz w:val="24"/>
                      <w:szCs w:val="24"/>
                      <w:u w:val="none"/>
                      <w:lang w:val="en-US" w:eastAsia="zh-CN"/>
                    </w:rPr>
                  </w:pPr>
                </w:p>
              </w:tc>
              <w:tc>
                <w:tcPr>
                  <w:tcW w:w="1964" w:type="pct"/>
                  <w:tcBorders>
                    <w:tl2br w:val="nil"/>
                    <w:tr2bl w:val="nil"/>
                  </w:tcBorders>
                  <w:noWrap w:val="0"/>
                  <w:vAlign w:val="center"/>
                </w:tcPr>
                <w:p w14:paraId="2F57B781">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建设完善监测系统：</w:t>
                  </w:r>
                </w:p>
                <w:p w14:paraId="4792C890">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1.因企制宜安装视频、空气微站、降尘缸、TSP（总悬浮颗粒物）等监控设施。</w:t>
                  </w:r>
                </w:p>
                <w:p w14:paraId="710A2BDA">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2.安装在线监测、监控和空气质量监测等综合监控信息平台，主要排放数据等应在企业显眼位置随时公开。</w:t>
                  </w:r>
                </w:p>
              </w:tc>
              <w:tc>
                <w:tcPr>
                  <w:tcW w:w="1590" w:type="pct"/>
                  <w:tcBorders>
                    <w:tl2br w:val="nil"/>
                    <w:tr2bl w:val="nil"/>
                  </w:tcBorders>
                  <w:noWrap w:val="0"/>
                  <w:vAlign w:val="center"/>
                </w:tcPr>
                <w:p w14:paraId="292CE629">
                  <w:pPr>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1.本项目在主要投料口和生产设备处安装视频监控设施。</w:t>
                  </w:r>
                </w:p>
                <w:p w14:paraId="6EAEA1E7">
                  <w:pPr>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w:t>
                  </w:r>
                  <w:r>
                    <w:rPr>
                      <w:rFonts w:hint="eastAsia" w:cs="Times New Roman"/>
                      <w:lang w:val="en-US" w:eastAsia="zh-CN"/>
                    </w:rPr>
                    <w:t>企业根据需求</w:t>
                  </w:r>
                  <w:r>
                    <w:rPr>
                      <w:rFonts w:hint="eastAsia" w:ascii="Times New Roman" w:hAnsi="Times New Roman" w:eastAsia="宋体" w:cs="Times New Roman"/>
                      <w:lang w:val="en-US" w:eastAsia="zh-CN"/>
                    </w:rPr>
                    <w:t>安装在线监测、监控和空气质量监测等综合监控信息平台，主要排放数据等应在企业显眼位置随时公开。</w:t>
                  </w:r>
                </w:p>
              </w:tc>
              <w:tc>
                <w:tcPr>
                  <w:tcW w:w="465" w:type="pct"/>
                  <w:tcBorders>
                    <w:tl2br w:val="nil"/>
                    <w:tr2bl w:val="nil"/>
                  </w:tcBorders>
                  <w:noWrap w:val="0"/>
                  <w:vAlign w:val="center"/>
                </w:tcPr>
                <w:p w14:paraId="09756BF5">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符合</w:t>
                  </w:r>
                </w:p>
              </w:tc>
            </w:tr>
          </w:tbl>
          <w:p w14:paraId="5B3AC2CA">
            <w:pPr>
              <w:pStyle w:val="30"/>
              <w:keepNext w:val="0"/>
              <w:keepLines w:val="0"/>
              <w:pageBreakBefore w:val="0"/>
              <w:widowControl w:val="0"/>
              <w:suppressLineNumbers w:val="0"/>
              <w:kinsoku/>
              <w:wordWrap/>
              <w:overflowPunct/>
              <w:topLinePunct w:val="0"/>
              <w:bidi w:val="0"/>
              <w:spacing w:before="0" w:beforeAutospacing="0" w:after="0" w:afterAutospacing="0" w:line="500" w:lineRule="exact"/>
              <w:ind w:left="0" w:right="0" w:firstLine="480" w:firstLineChars="200"/>
              <w:textAlignment w:val="auto"/>
              <w:rPr>
                <w:rFonts w:hint="eastAsia" w:ascii="Times New Roman" w:hAnsi="Times New Roman" w:eastAsia="宋体" w:cs="Times New Roman"/>
                <w:b w:val="0"/>
                <w:bCs/>
                <w:color w:val="auto"/>
                <w:sz w:val="24"/>
                <w:szCs w:val="24"/>
                <w:highlight w:val="none"/>
                <w:u w:val="none"/>
                <w:lang w:val="en-US" w:eastAsia="zh-CN"/>
              </w:rPr>
            </w:pPr>
            <w:r>
              <w:rPr>
                <w:rFonts w:hint="eastAsia" w:ascii="Times New Roman" w:hAnsi="Times New Roman" w:eastAsia="宋体" w:cs="Times New Roman"/>
                <w:b w:val="0"/>
                <w:bCs/>
                <w:color w:val="auto"/>
                <w:sz w:val="24"/>
                <w:szCs w:val="24"/>
                <w:highlight w:val="none"/>
                <w:u w:val="none"/>
                <w:lang w:val="en-US" w:eastAsia="zh-CN"/>
              </w:rPr>
              <w:t>综上所述，本项目符合《河南省生态环境厅关于印发河南省工业大气污染防治6个专项方案的通知[2019]84号》附件2《河南省2019年工业企业无组织排放治理方案》中相关要求。</w:t>
            </w:r>
          </w:p>
          <w:p w14:paraId="3923C020">
            <w:pPr>
              <w:pStyle w:val="2"/>
              <w:keepNext/>
              <w:keepLines/>
              <w:pageBreakBefore w:val="0"/>
              <w:widowControl w:val="0"/>
              <w:kinsoku/>
              <w:wordWrap/>
              <w:overflowPunct/>
              <w:topLinePunct w:val="0"/>
              <w:autoSpaceDE/>
              <w:autoSpaceDN/>
              <w:bidi w:val="0"/>
              <w:adjustRightInd/>
              <w:snapToGrid/>
              <w:spacing w:before="0" w:after="0" w:line="500" w:lineRule="exact"/>
              <w:textAlignment w:val="auto"/>
              <w:rPr>
                <w:rFonts w:hint="default"/>
                <w:highlight w:val="none"/>
              </w:rPr>
            </w:pPr>
          </w:p>
        </w:tc>
      </w:tr>
    </w:tbl>
    <w:p w14:paraId="009F5FB1">
      <w:pPr>
        <w:pStyle w:val="20"/>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243"/>
      </w:tblGrid>
      <w:tr w14:paraId="772478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61" w:hRule="atLeast"/>
          <w:jc w:val="center"/>
        </w:trPr>
        <w:tc>
          <w:tcPr>
            <w:tcW w:w="817" w:type="dxa"/>
            <w:noWrap w:val="0"/>
            <w:vAlign w:val="center"/>
          </w:tcPr>
          <w:p w14:paraId="6525398A">
            <w:pPr>
              <w:pStyle w:val="20"/>
              <w:adjustRightInd w:val="0"/>
              <w:snapToGrid w:val="0"/>
              <w:spacing w:before="0" w:beforeAutospacing="0" w:after="0" w:afterAutospacing="0"/>
              <w:jc w:val="center"/>
              <w:rPr>
                <w:rFonts w:hint="default" w:ascii="Times New Roman" w:hAnsi="Times New Roman" w:cs="Times New Roman"/>
                <w:b/>
                <w:szCs w:val="24"/>
                <w:highlight w:val="none"/>
                <w:lang w:val="en-US" w:eastAsia="zh-CN"/>
              </w:rPr>
            </w:pPr>
            <w:r>
              <w:rPr>
                <w:rFonts w:hint="default" w:ascii="Times New Roman" w:hAnsi="Times New Roman" w:cs="Times New Roman"/>
                <w:b/>
                <w:szCs w:val="24"/>
                <w:highlight w:val="none"/>
                <w:lang w:val="en-US" w:eastAsia="zh-CN"/>
              </w:rPr>
              <w:t>建设内容</w:t>
            </w:r>
          </w:p>
        </w:tc>
        <w:tc>
          <w:tcPr>
            <w:tcW w:w="8243" w:type="dxa"/>
            <w:noWrap w:val="0"/>
            <w:vAlign w:val="top"/>
          </w:tcPr>
          <w:p w14:paraId="30C04A96">
            <w:pPr>
              <w:pStyle w:val="35"/>
              <w:keepNext w:val="0"/>
              <w:keepLines w:val="0"/>
              <w:pageBreakBefore w:val="0"/>
              <w:widowControl w:val="0"/>
              <w:kinsoku/>
              <w:wordWrap/>
              <w:overflowPunct/>
              <w:topLinePunct w:val="0"/>
              <w:bidi w:val="0"/>
              <w:snapToGrid/>
              <w:spacing w:line="500" w:lineRule="exact"/>
              <w:textAlignment w:val="auto"/>
              <w:rPr>
                <w:rFonts w:hint="default" w:ascii="Times New Roman" w:hAnsi="Times New Roman" w:cs="Times New Roman"/>
                <w:b/>
                <w:bCs/>
                <w:highlight w:val="none"/>
              </w:rPr>
            </w:pPr>
            <w:r>
              <w:rPr>
                <w:rFonts w:hint="default" w:ascii="Times New Roman" w:hAnsi="Times New Roman" w:cs="Times New Roman"/>
                <w:b/>
                <w:bCs/>
                <w:highlight w:val="none"/>
              </w:rPr>
              <w:t>1、项目由来</w:t>
            </w:r>
          </w:p>
          <w:p w14:paraId="7D54E783">
            <w:pPr>
              <w:keepNext w:val="0"/>
              <w:keepLines w:val="0"/>
              <w:pageBreakBefore w:val="0"/>
              <w:widowControl w:val="0"/>
              <w:kinsoku/>
              <w:wordWrap/>
              <w:overflowPunct/>
              <w:topLinePunct w:val="0"/>
              <w:autoSpaceDE w:val="0"/>
              <w:autoSpaceDN w:val="0"/>
              <w:bidi w:val="0"/>
              <w:adjustRightInd w:val="0"/>
              <w:snapToGrid/>
              <w:spacing w:line="500" w:lineRule="exact"/>
              <w:ind w:firstLine="480" w:firstLineChars="200"/>
              <w:textAlignment w:val="auto"/>
              <w:rPr>
                <w:rFonts w:hint="default" w:ascii="Times New Roman" w:hAnsi="Times New Roman" w:cs="Times New Roman"/>
                <w:color w:val="auto"/>
                <w:kern w:val="0"/>
                <w:sz w:val="24"/>
                <w:highlight w:val="none"/>
                <w:lang w:val="zh-CN"/>
              </w:rPr>
            </w:pPr>
            <w:r>
              <w:rPr>
                <w:rFonts w:hint="default" w:ascii="Times New Roman" w:hAnsi="Times New Roman" w:cs="Times New Roman"/>
                <w:color w:val="auto"/>
                <w:sz w:val="24"/>
                <w:highlight w:val="none"/>
                <w:lang w:val="en-US" w:eastAsia="zh-CN"/>
              </w:rPr>
              <w:t>近年来，</w:t>
            </w:r>
            <w:r>
              <w:rPr>
                <w:rFonts w:hint="eastAsia" w:cs="Times New Roman"/>
                <w:color w:val="auto"/>
                <w:sz w:val="24"/>
                <w:highlight w:val="none"/>
                <w:lang w:val="en-US" w:eastAsia="zh-CN"/>
              </w:rPr>
              <w:t>国内</w:t>
            </w:r>
            <w:r>
              <w:rPr>
                <w:rFonts w:hint="default" w:ascii="Times New Roman" w:hAnsi="Times New Roman" w:cs="Times New Roman"/>
                <w:color w:val="auto"/>
                <w:sz w:val="24"/>
                <w:highlight w:val="none"/>
                <w:lang w:val="en-US" w:eastAsia="zh-CN"/>
              </w:rPr>
              <w:t>砂石需求量保持递增趋势，河南昆仲工程有限责任公司就利用废矿</w:t>
            </w:r>
            <w:r>
              <w:rPr>
                <w:rFonts w:hint="eastAsia" w:cs="Times New Roman"/>
                <w:color w:val="auto"/>
                <w:sz w:val="24"/>
                <w:highlight w:val="none"/>
                <w:lang w:val="en-US" w:eastAsia="zh-CN"/>
              </w:rPr>
              <w:t>石</w:t>
            </w:r>
            <w:r>
              <w:rPr>
                <w:rFonts w:hint="default" w:ascii="Times New Roman" w:hAnsi="Times New Roman" w:cs="Times New Roman"/>
                <w:color w:val="auto"/>
                <w:sz w:val="24"/>
                <w:highlight w:val="none"/>
                <w:lang w:val="en-US" w:eastAsia="zh-CN"/>
              </w:rPr>
              <w:t>和建筑垃圾</w:t>
            </w:r>
            <w:r>
              <w:rPr>
                <w:rFonts w:hint="eastAsia" w:cs="Times New Roman"/>
                <w:color w:val="auto"/>
                <w:sz w:val="24"/>
                <w:highlight w:val="none"/>
                <w:lang w:val="en-US" w:eastAsia="zh-CN"/>
              </w:rPr>
              <w:t>（民用类型建筑垃圾）</w:t>
            </w:r>
            <w:r>
              <w:rPr>
                <w:rFonts w:hint="default" w:ascii="Times New Roman" w:hAnsi="Times New Roman" w:cs="Times New Roman"/>
                <w:color w:val="auto"/>
                <w:sz w:val="24"/>
                <w:highlight w:val="none"/>
                <w:lang w:val="en-US" w:eastAsia="zh-CN"/>
              </w:rPr>
              <w:t>等原材料来生产砂石，为了充分满足市场需求，另外通过购买石子、沙、水泥、石粉等原材料来生产水泥稳定土，因此本项目共有两条生产线。河南昆仲工程有限责任公司计划投资1000万元，利用叶县人民政府已批复舟鲁线（G329）北侧叶县廉村镇湾张村WZ-01地块来建设厂区和生产使用，本项目</w:t>
            </w:r>
            <w:r>
              <w:rPr>
                <w:rFonts w:hint="default" w:ascii="Times New Roman" w:hAnsi="Times New Roman" w:cs="Times New Roman"/>
                <w:color w:val="auto"/>
                <w:kern w:val="0"/>
                <w:sz w:val="24"/>
                <w:highlight w:val="none"/>
                <w:lang w:val="zh-CN"/>
              </w:rPr>
              <w:t>不涉及废矿石的填埋和开采。</w:t>
            </w:r>
          </w:p>
          <w:p w14:paraId="0C4B6400">
            <w:pPr>
              <w:keepNext w:val="0"/>
              <w:keepLines w:val="0"/>
              <w:pageBreakBefore w:val="0"/>
              <w:widowControl w:val="0"/>
              <w:kinsoku/>
              <w:wordWrap/>
              <w:overflowPunct/>
              <w:topLinePunct w:val="0"/>
              <w:bidi w:val="0"/>
              <w:snapToGrid/>
              <w:spacing w:line="500" w:lineRule="exact"/>
              <w:ind w:firstLine="480"/>
              <w:textAlignment w:val="auto"/>
              <w:rPr>
                <w:rFonts w:hint="default" w:ascii="Times New Roman" w:hAnsi="Times New Roman" w:eastAsia="宋体" w:cs="Times New Roman"/>
                <w:b w:val="0"/>
                <w:bCs w:val="0"/>
                <w:sz w:val="24"/>
                <w:highlight w:val="none"/>
                <w:u w:val="none"/>
                <w:lang w:eastAsia="zh-CN"/>
              </w:rPr>
            </w:pPr>
            <w:r>
              <w:rPr>
                <w:rFonts w:hint="default" w:ascii="Times New Roman" w:hAnsi="Times New Roman" w:cs="Times New Roman"/>
                <w:sz w:val="24"/>
                <w:highlight w:val="none"/>
              </w:rPr>
              <w:t>受</w:t>
            </w:r>
            <w:r>
              <w:rPr>
                <w:rFonts w:hint="default" w:ascii="Times New Roman" w:hAnsi="Times New Roman" w:cs="Times New Roman"/>
                <w:sz w:val="24"/>
                <w:highlight w:val="none"/>
                <w:lang w:val="en-US" w:eastAsia="zh-CN"/>
              </w:rPr>
              <w:t>河南昆仲工程有限责任公司</w:t>
            </w:r>
            <w:r>
              <w:rPr>
                <w:rFonts w:hint="default" w:ascii="Times New Roman" w:hAnsi="Times New Roman" w:cs="Times New Roman"/>
                <w:sz w:val="24"/>
                <w:highlight w:val="none"/>
              </w:rPr>
              <w:t>的委托，我公司承担了该项目环境影响报告表的编制工作，委托书见附件</w:t>
            </w:r>
            <w:r>
              <w:rPr>
                <w:rFonts w:hint="eastAsia" w:cs="Times New Roman"/>
                <w:sz w:val="24"/>
                <w:highlight w:val="none"/>
                <w:lang w:val="en-US" w:eastAsia="zh-CN"/>
              </w:rPr>
              <w:t>2</w:t>
            </w:r>
            <w:r>
              <w:rPr>
                <w:rFonts w:hint="default" w:ascii="Times New Roman" w:hAnsi="Times New Roman" w:cs="Times New Roman"/>
                <w:sz w:val="24"/>
                <w:highlight w:val="none"/>
              </w:rPr>
              <w:t>。接受委托后，我单位评价人员在对项目建设现场勘察及收集有关资料进行分析的基础上，依据国家有关法规和环境影响评价技术导则，编制了该项目环境影响报告表。</w:t>
            </w:r>
          </w:p>
          <w:p w14:paraId="5CDA7419">
            <w:pPr>
              <w:pStyle w:val="35"/>
              <w:keepNext w:val="0"/>
              <w:keepLines w:val="0"/>
              <w:pageBreakBefore w:val="0"/>
              <w:widowControl w:val="0"/>
              <w:kinsoku/>
              <w:wordWrap/>
              <w:overflowPunct/>
              <w:topLinePunct w:val="0"/>
              <w:bidi w:val="0"/>
              <w:snapToGrid/>
              <w:spacing w:line="500" w:lineRule="exact"/>
              <w:textAlignment w:val="auto"/>
              <w:rPr>
                <w:rFonts w:hint="default" w:ascii="Times New Roman" w:hAnsi="Times New Roman" w:cs="Times New Roman"/>
                <w:b/>
                <w:bCs/>
                <w:highlight w:val="none"/>
              </w:rPr>
            </w:pPr>
            <w:r>
              <w:rPr>
                <w:rFonts w:hint="default" w:ascii="Times New Roman" w:hAnsi="Times New Roman" w:cs="Times New Roman"/>
                <w:b/>
                <w:bCs/>
                <w:highlight w:val="none"/>
              </w:rPr>
              <w:t>2、</w:t>
            </w:r>
            <w:r>
              <w:rPr>
                <w:rFonts w:hint="default" w:ascii="Times New Roman" w:hAnsi="Times New Roman" w:cs="Times New Roman"/>
                <w:b/>
                <w:bCs/>
                <w:highlight w:val="none"/>
                <w:lang w:val="en-US" w:eastAsia="zh-CN"/>
              </w:rPr>
              <w:t>项目组成及建设</w:t>
            </w:r>
            <w:r>
              <w:rPr>
                <w:rFonts w:hint="default" w:ascii="Times New Roman" w:hAnsi="Times New Roman" w:cs="Times New Roman"/>
                <w:b/>
                <w:bCs/>
                <w:highlight w:val="none"/>
              </w:rPr>
              <w:t>内容</w:t>
            </w:r>
          </w:p>
          <w:p w14:paraId="1B8519C2">
            <w:pPr>
              <w:keepNext w:val="0"/>
              <w:keepLines w:val="0"/>
              <w:pageBreakBefore w:val="0"/>
              <w:widowControl w:val="0"/>
              <w:kinsoku/>
              <w:wordWrap/>
              <w:overflowPunct/>
              <w:topLinePunct w:val="0"/>
              <w:bidi w:val="0"/>
              <w:snapToGrid/>
              <w:spacing w:line="500" w:lineRule="exact"/>
              <w:ind w:firstLine="480" w:firstLineChars="200"/>
              <w:textAlignment w:val="auto"/>
              <w:rPr>
                <w:rFonts w:hint="default" w:ascii="Times New Roman" w:hAnsi="Times New Roman" w:eastAsia="黑体" w:cs="Times New Roman"/>
                <w:sz w:val="24"/>
                <w:highlight w:val="none"/>
              </w:rPr>
            </w:pPr>
            <w:r>
              <w:rPr>
                <w:rFonts w:hint="default" w:ascii="Times New Roman" w:hAnsi="Times New Roman" w:cs="Times New Roman"/>
                <w:sz w:val="24"/>
                <w:highlight w:val="none"/>
              </w:rPr>
              <w:t>本项目为新建项目，本项目主要建设内容见表2-1。</w:t>
            </w:r>
          </w:p>
          <w:p w14:paraId="29BE39F8">
            <w:pPr>
              <w:keepNext w:val="0"/>
              <w:keepLines w:val="0"/>
              <w:pageBreakBefore w:val="0"/>
              <w:widowControl w:val="0"/>
              <w:kinsoku/>
              <w:wordWrap/>
              <w:overflowPunct/>
              <w:topLinePunct w:val="0"/>
              <w:bidi w:val="0"/>
              <w:snapToGrid/>
              <w:spacing w:line="500" w:lineRule="exact"/>
              <w:jc w:val="center"/>
              <w:textAlignment w:val="auto"/>
              <w:rPr>
                <w:rFonts w:hint="default" w:ascii="Times New Roman" w:hAnsi="Times New Roman" w:eastAsia="黑体" w:cs="Times New Roman"/>
                <w:sz w:val="24"/>
                <w:highlight w:val="none"/>
              </w:rPr>
            </w:pPr>
            <w:r>
              <w:rPr>
                <w:rFonts w:hint="default" w:ascii="Times New Roman" w:hAnsi="Times New Roman" w:eastAsia="黑体" w:cs="Times New Roman"/>
                <w:sz w:val="24"/>
                <w:highlight w:val="none"/>
              </w:rPr>
              <w:t>表</w:t>
            </w:r>
            <w:r>
              <w:rPr>
                <w:rFonts w:hint="default" w:ascii="Times New Roman" w:hAnsi="Times New Roman" w:eastAsia="黑体" w:cs="Times New Roman"/>
                <w:sz w:val="24"/>
                <w:highlight w:val="none"/>
                <w:lang w:val="en-US" w:eastAsia="zh-CN"/>
              </w:rPr>
              <w:t>2-1</w:t>
            </w:r>
            <w:r>
              <w:rPr>
                <w:rFonts w:hint="default" w:ascii="Times New Roman" w:hAnsi="Times New Roman" w:eastAsia="黑体" w:cs="Times New Roman"/>
                <w:sz w:val="24"/>
                <w:highlight w:val="none"/>
              </w:rPr>
              <w:t xml:space="preserve">  项目</w:t>
            </w:r>
            <w:r>
              <w:rPr>
                <w:rFonts w:hint="default" w:ascii="Times New Roman" w:hAnsi="Times New Roman" w:eastAsia="黑体" w:cs="Times New Roman"/>
                <w:sz w:val="24"/>
                <w:highlight w:val="none"/>
                <w:lang w:val="en-US" w:eastAsia="zh-CN"/>
              </w:rPr>
              <w:t>组成及建设内容</w:t>
            </w:r>
            <w:r>
              <w:rPr>
                <w:rFonts w:hint="default" w:ascii="Times New Roman" w:hAnsi="Times New Roman" w:eastAsia="黑体" w:cs="Times New Roman"/>
                <w:sz w:val="24"/>
                <w:highlight w:val="none"/>
              </w:rPr>
              <w:t>一览表</w:t>
            </w:r>
          </w:p>
          <w:tbl>
            <w:tblPr>
              <w:tblStyle w:val="23"/>
              <w:tblW w:w="795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85"/>
              <w:gridCol w:w="1195"/>
              <w:gridCol w:w="4857"/>
              <w:gridCol w:w="721"/>
            </w:tblGrid>
            <w:tr w14:paraId="530D40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4" w:hRule="atLeast"/>
                <w:jc w:val="center"/>
              </w:trPr>
              <w:tc>
                <w:tcPr>
                  <w:tcW w:w="1185" w:type="dxa"/>
                  <w:tcBorders>
                    <w:tl2br w:val="nil"/>
                    <w:tr2bl w:val="nil"/>
                  </w:tcBorders>
                  <w:noWrap w:val="0"/>
                  <w:vAlign w:val="center"/>
                </w:tcPr>
                <w:p w14:paraId="1F2A8F47">
                  <w:pPr>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项目</w:t>
                  </w:r>
                  <w:r>
                    <w:rPr>
                      <w:rFonts w:hint="default" w:ascii="Times New Roman" w:hAnsi="Times New Roman" w:cs="Times New Roman"/>
                      <w:highlight w:val="none"/>
                    </w:rPr>
                    <w:t>组成</w:t>
                  </w:r>
                </w:p>
              </w:tc>
              <w:tc>
                <w:tcPr>
                  <w:tcW w:w="1195" w:type="dxa"/>
                  <w:tcBorders>
                    <w:tl2br w:val="nil"/>
                    <w:tr2bl w:val="nil"/>
                  </w:tcBorders>
                  <w:noWrap w:val="0"/>
                  <w:vAlign w:val="center"/>
                </w:tcPr>
                <w:p w14:paraId="1498F513">
                  <w:pPr>
                    <w:jc w:val="center"/>
                    <w:rPr>
                      <w:rFonts w:hint="default" w:ascii="Times New Roman" w:hAnsi="Times New Roman" w:cs="Times New Roman"/>
                      <w:highlight w:val="none"/>
                    </w:rPr>
                  </w:pPr>
                  <w:r>
                    <w:rPr>
                      <w:rFonts w:hint="default" w:ascii="Times New Roman" w:hAnsi="Times New Roman" w:cs="Times New Roman"/>
                      <w:highlight w:val="none"/>
                    </w:rPr>
                    <w:t>工程名称</w:t>
                  </w:r>
                </w:p>
              </w:tc>
              <w:tc>
                <w:tcPr>
                  <w:tcW w:w="4857" w:type="dxa"/>
                  <w:tcBorders>
                    <w:tl2br w:val="nil"/>
                    <w:tr2bl w:val="nil"/>
                  </w:tcBorders>
                  <w:noWrap w:val="0"/>
                  <w:vAlign w:val="center"/>
                </w:tcPr>
                <w:p w14:paraId="076ECB12">
                  <w:pPr>
                    <w:jc w:val="center"/>
                    <w:rPr>
                      <w:rFonts w:hint="default" w:ascii="Times New Roman" w:hAnsi="Times New Roman" w:cs="Times New Roman"/>
                      <w:highlight w:val="none"/>
                    </w:rPr>
                  </w:pPr>
                  <w:r>
                    <w:rPr>
                      <w:rFonts w:hint="default" w:ascii="Times New Roman" w:hAnsi="Times New Roman" w:cs="Times New Roman"/>
                      <w:highlight w:val="none"/>
                    </w:rPr>
                    <w:t>建设内容</w:t>
                  </w:r>
                </w:p>
              </w:tc>
              <w:tc>
                <w:tcPr>
                  <w:tcW w:w="721" w:type="dxa"/>
                  <w:tcBorders>
                    <w:tl2br w:val="nil"/>
                    <w:tr2bl w:val="nil"/>
                  </w:tcBorders>
                  <w:noWrap w:val="0"/>
                  <w:vAlign w:val="center"/>
                </w:tcPr>
                <w:p w14:paraId="68526DC2">
                  <w:pPr>
                    <w:jc w:val="center"/>
                    <w:rPr>
                      <w:rFonts w:hint="default" w:ascii="Times New Roman" w:hAnsi="Times New Roman" w:cs="Times New Roman"/>
                      <w:highlight w:val="none"/>
                    </w:rPr>
                  </w:pPr>
                  <w:r>
                    <w:rPr>
                      <w:rFonts w:hint="default" w:ascii="Times New Roman" w:hAnsi="Times New Roman" w:cs="Times New Roman"/>
                      <w:highlight w:val="none"/>
                    </w:rPr>
                    <w:t>备注</w:t>
                  </w:r>
                </w:p>
              </w:tc>
            </w:tr>
            <w:tr w14:paraId="72B145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20" w:hRule="atLeast"/>
                <w:jc w:val="center"/>
              </w:trPr>
              <w:tc>
                <w:tcPr>
                  <w:tcW w:w="1185" w:type="dxa"/>
                  <w:tcBorders>
                    <w:tl2br w:val="nil"/>
                    <w:tr2bl w:val="nil"/>
                  </w:tcBorders>
                  <w:noWrap w:val="0"/>
                  <w:vAlign w:val="center"/>
                </w:tcPr>
                <w:p w14:paraId="73DA681C">
                  <w:pPr>
                    <w:jc w:val="center"/>
                    <w:rPr>
                      <w:rFonts w:hint="default" w:ascii="Times New Roman" w:hAnsi="Times New Roman" w:cs="Times New Roman"/>
                      <w:highlight w:val="none"/>
                    </w:rPr>
                  </w:pPr>
                  <w:r>
                    <w:rPr>
                      <w:rFonts w:hint="default" w:ascii="Times New Roman" w:hAnsi="Times New Roman" w:cs="Times New Roman"/>
                      <w:highlight w:val="none"/>
                    </w:rPr>
                    <w:t>主体工程</w:t>
                  </w:r>
                </w:p>
              </w:tc>
              <w:tc>
                <w:tcPr>
                  <w:tcW w:w="1195" w:type="dxa"/>
                  <w:tcBorders>
                    <w:tl2br w:val="nil"/>
                    <w:tr2bl w:val="nil"/>
                  </w:tcBorders>
                  <w:noWrap w:val="0"/>
                  <w:vAlign w:val="center"/>
                </w:tcPr>
                <w:p w14:paraId="70AB9B9A">
                  <w:pPr>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生产</w:t>
                  </w:r>
                  <w:r>
                    <w:rPr>
                      <w:rFonts w:hint="default" w:ascii="Times New Roman" w:hAnsi="Times New Roman" w:cs="Times New Roman"/>
                      <w:highlight w:val="none"/>
                    </w:rPr>
                    <w:t>车间</w:t>
                  </w:r>
                </w:p>
              </w:tc>
              <w:tc>
                <w:tcPr>
                  <w:tcW w:w="4857" w:type="dxa"/>
                  <w:tcBorders>
                    <w:tl2br w:val="nil"/>
                    <w:tr2bl w:val="nil"/>
                  </w:tcBorders>
                  <w:noWrap w:val="0"/>
                  <w:vAlign w:val="center"/>
                </w:tcPr>
                <w:p w14:paraId="7DF08F78">
                  <w:pPr>
                    <w:jc w:val="center"/>
                    <w:rPr>
                      <w:rFonts w:hint="default" w:ascii="Times New Roman" w:hAnsi="Times New Roman" w:cs="Times New Roman"/>
                      <w:highlight w:val="none"/>
                    </w:rPr>
                  </w:pPr>
                  <w:r>
                    <w:rPr>
                      <w:rFonts w:hint="eastAsia" w:cs="Times New Roman"/>
                      <w:color w:val="auto"/>
                      <w:szCs w:val="21"/>
                      <w:highlight w:val="none"/>
                      <w:lang w:val="en-US" w:eastAsia="zh-CN"/>
                    </w:rPr>
                    <w:t>1栋</w:t>
                  </w:r>
                  <w:r>
                    <w:rPr>
                      <w:rFonts w:hint="default" w:ascii="Times New Roman" w:hAnsi="Times New Roman" w:cs="Times New Roman"/>
                      <w:color w:val="auto"/>
                      <w:szCs w:val="21"/>
                      <w:highlight w:val="none"/>
                      <w:lang w:val="en-US" w:eastAsia="zh-CN"/>
                    </w:rPr>
                    <w:t>1层，</w:t>
                  </w:r>
                  <w:r>
                    <w:rPr>
                      <w:rFonts w:hint="default" w:ascii="Times New Roman" w:hAnsi="Times New Roman" w:cs="Times New Roman"/>
                      <w:highlight w:val="none"/>
                      <w:lang w:val="en-US" w:eastAsia="zh-CN"/>
                    </w:rPr>
                    <w:t>钢架结构，内部布局有砂石生产区、水泥稳定土生产区，</w:t>
                  </w:r>
                  <w:r>
                    <w:rPr>
                      <w:rFonts w:hint="eastAsia" w:cs="Times New Roman"/>
                      <w:highlight w:val="none"/>
                      <w:lang w:val="en-US" w:eastAsia="zh-CN"/>
                    </w:rPr>
                    <w:t>厂房</w:t>
                  </w:r>
                  <w:r>
                    <w:rPr>
                      <w:rFonts w:hint="default" w:ascii="Times New Roman" w:hAnsi="Times New Roman" w:cs="Times New Roman"/>
                      <w:highlight w:val="none"/>
                    </w:rPr>
                    <w:t>建筑面积约</w:t>
                  </w:r>
                  <w:r>
                    <w:rPr>
                      <w:rFonts w:hint="eastAsia" w:cs="Times New Roman"/>
                      <w:highlight w:val="none"/>
                      <w:lang w:val="en-US" w:eastAsia="zh-CN"/>
                    </w:rPr>
                    <w:t>4000</w:t>
                  </w:r>
                  <w:r>
                    <w:rPr>
                      <w:rFonts w:hint="default" w:ascii="Times New Roman" w:hAnsi="Times New Roman" w:cs="Times New Roman"/>
                      <w:highlight w:val="none"/>
                    </w:rPr>
                    <w:t>m</w:t>
                  </w:r>
                  <w:r>
                    <w:rPr>
                      <w:rFonts w:hint="default" w:ascii="Times New Roman" w:hAnsi="Times New Roman" w:cs="Times New Roman"/>
                      <w:highlight w:val="none"/>
                      <w:vertAlign w:val="superscript"/>
                    </w:rPr>
                    <w:t>2</w:t>
                  </w:r>
                </w:p>
              </w:tc>
              <w:tc>
                <w:tcPr>
                  <w:tcW w:w="721" w:type="dxa"/>
                  <w:tcBorders>
                    <w:tl2br w:val="nil"/>
                    <w:tr2bl w:val="nil"/>
                  </w:tcBorders>
                  <w:noWrap w:val="0"/>
                  <w:vAlign w:val="center"/>
                </w:tcPr>
                <w:p w14:paraId="567053B1">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新建</w:t>
                  </w:r>
                </w:p>
              </w:tc>
            </w:tr>
            <w:tr w14:paraId="60AF14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76" w:hRule="atLeast"/>
                <w:jc w:val="center"/>
              </w:trPr>
              <w:tc>
                <w:tcPr>
                  <w:tcW w:w="1185" w:type="dxa"/>
                  <w:vMerge w:val="restart"/>
                  <w:tcBorders>
                    <w:tl2br w:val="nil"/>
                    <w:tr2bl w:val="nil"/>
                  </w:tcBorders>
                  <w:noWrap w:val="0"/>
                  <w:vAlign w:val="center"/>
                </w:tcPr>
                <w:p w14:paraId="3D71279D">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储运工程</w:t>
                  </w:r>
                </w:p>
              </w:tc>
              <w:tc>
                <w:tcPr>
                  <w:tcW w:w="1195" w:type="dxa"/>
                  <w:tcBorders>
                    <w:tl2br w:val="nil"/>
                    <w:tr2bl w:val="nil"/>
                  </w:tcBorders>
                  <w:noWrap w:val="0"/>
                  <w:vAlign w:val="center"/>
                </w:tcPr>
                <w:p w14:paraId="4E6C10ED">
                  <w:pPr>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成品</w:t>
                  </w:r>
                </w:p>
                <w:p w14:paraId="21D8A115">
                  <w:pPr>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存放区</w:t>
                  </w:r>
                </w:p>
              </w:tc>
              <w:tc>
                <w:tcPr>
                  <w:tcW w:w="4857" w:type="dxa"/>
                  <w:tcBorders>
                    <w:tl2br w:val="nil"/>
                    <w:tr2bl w:val="nil"/>
                  </w:tcBorders>
                  <w:noWrap w:val="0"/>
                  <w:vAlign w:val="center"/>
                </w:tcPr>
                <w:p w14:paraId="1D4D724F">
                  <w:pPr>
                    <w:jc w:val="center"/>
                    <w:rPr>
                      <w:rFonts w:hint="default" w:ascii="Times New Roman" w:hAnsi="Times New Roman" w:cs="Times New Roman"/>
                      <w:highlight w:val="none"/>
                    </w:rPr>
                  </w:pPr>
                  <w:r>
                    <w:rPr>
                      <w:rFonts w:hint="default" w:ascii="Times New Roman" w:hAnsi="Times New Roman" w:cs="Times New Roman"/>
                      <w:color w:val="auto"/>
                      <w:szCs w:val="21"/>
                      <w:highlight w:val="none"/>
                      <w:lang w:val="en-US" w:eastAsia="zh-CN"/>
                    </w:rPr>
                    <w:t>位于生产车间内，</w:t>
                  </w:r>
                  <w:r>
                    <w:rPr>
                      <w:rFonts w:hint="eastAsia" w:cs="Times New Roman"/>
                      <w:color w:val="auto"/>
                      <w:szCs w:val="21"/>
                      <w:highlight w:val="none"/>
                      <w:lang w:val="en-US" w:eastAsia="zh-CN"/>
                    </w:rPr>
                    <w:t>在</w:t>
                  </w:r>
                  <w:r>
                    <w:rPr>
                      <w:rFonts w:hint="default" w:ascii="Times New Roman" w:hAnsi="Times New Roman" w:eastAsia="宋体" w:cs="Times New Roman"/>
                      <w:color w:val="auto"/>
                      <w:kern w:val="2"/>
                      <w:sz w:val="21"/>
                      <w:highlight w:val="none"/>
                      <w:lang w:val="en-US" w:eastAsia="zh-CN" w:bidi="ar-SA"/>
                    </w:rPr>
                    <w:t>厂房</w:t>
                  </w:r>
                  <w:r>
                    <w:rPr>
                      <w:rFonts w:hint="eastAsia" w:cs="Times New Roman"/>
                      <w:color w:val="auto"/>
                      <w:kern w:val="2"/>
                      <w:sz w:val="21"/>
                      <w:highlight w:val="none"/>
                      <w:lang w:val="en-US" w:eastAsia="zh-CN" w:bidi="ar-SA"/>
                    </w:rPr>
                    <w:t>东侧和南</w:t>
                  </w:r>
                  <w:r>
                    <w:rPr>
                      <w:rFonts w:hint="default" w:ascii="Times New Roman" w:hAnsi="Times New Roman" w:eastAsia="宋体" w:cs="Times New Roman"/>
                      <w:color w:val="auto"/>
                      <w:kern w:val="2"/>
                      <w:sz w:val="21"/>
                      <w:highlight w:val="none"/>
                      <w:lang w:val="en-US" w:eastAsia="zh-CN" w:bidi="ar-SA"/>
                    </w:rPr>
                    <w:t>侧区域，用于存放砂石、水泥稳定土，</w:t>
                  </w:r>
                  <w:r>
                    <w:rPr>
                      <w:rFonts w:hint="default" w:ascii="Times New Roman" w:hAnsi="Times New Roman" w:cs="Times New Roman"/>
                      <w:highlight w:val="none"/>
                    </w:rPr>
                    <w:t>面积约</w:t>
                  </w:r>
                  <w:r>
                    <w:rPr>
                      <w:rFonts w:hint="eastAsia" w:cs="Times New Roman"/>
                      <w:highlight w:val="none"/>
                      <w:lang w:val="en-US" w:eastAsia="zh-CN"/>
                    </w:rPr>
                    <w:t>1000</w:t>
                  </w:r>
                  <w:r>
                    <w:rPr>
                      <w:rFonts w:hint="default" w:ascii="Times New Roman" w:hAnsi="Times New Roman" w:cs="Times New Roman"/>
                      <w:highlight w:val="none"/>
                    </w:rPr>
                    <w:t>m</w:t>
                  </w:r>
                  <w:r>
                    <w:rPr>
                      <w:rFonts w:hint="default" w:ascii="Times New Roman" w:hAnsi="Times New Roman" w:cs="Times New Roman"/>
                      <w:highlight w:val="none"/>
                      <w:vertAlign w:val="superscript"/>
                    </w:rPr>
                    <w:t>2</w:t>
                  </w:r>
                </w:p>
              </w:tc>
              <w:tc>
                <w:tcPr>
                  <w:tcW w:w="721" w:type="dxa"/>
                  <w:tcBorders>
                    <w:tl2br w:val="nil"/>
                    <w:tr2bl w:val="nil"/>
                  </w:tcBorders>
                  <w:noWrap w:val="0"/>
                  <w:vAlign w:val="center"/>
                </w:tcPr>
                <w:p w14:paraId="35DCEE9C">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新建</w:t>
                  </w:r>
                </w:p>
              </w:tc>
            </w:tr>
            <w:tr w14:paraId="4D62F3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29" w:hRule="atLeast"/>
                <w:jc w:val="center"/>
              </w:trPr>
              <w:tc>
                <w:tcPr>
                  <w:tcW w:w="1185" w:type="dxa"/>
                  <w:vMerge w:val="continue"/>
                  <w:tcBorders>
                    <w:tl2br w:val="nil"/>
                    <w:tr2bl w:val="nil"/>
                  </w:tcBorders>
                  <w:noWrap w:val="0"/>
                  <w:vAlign w:val="center"/>
                </w:tcPr>
                <w:p w14:paraId="052F480B">
                  <w:pPr>
                    <w:jc w:val="center"/>
                    <w:rPr>
                      <w:rFonts w:hint="default" w:ascii="Times New Roman" w:hAnsi="Times New Roman" w:cs="Times New Roman"/>
                      <w:highlight w:val="none"/>
                    </w:rPr>
                  </w:pPr>
                </w:p>
              </w:tc>
              <w:tc>
                <w:tcPr>
                  <w:tcW w:w="1195" w:type="dxa"/>
                  <w:tcBorders>
                    <w:tl2br w:val="nil"/>
                    <w:tr2bl w:val="nil"/>
                  </w:tcBorders>
                  <w:noWrap w:val="0"/>
                  <w:vAlign w:val="center"/>
                </w:tcPr>
                <w:p w14:paraId="5134B646">
                  <w:pPr>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原材料</w:t>
                  </w:r>
                </w:p>
                <w:p w14:paraId="600577D0">
                  <w:pPr>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存放区</w:t>
                  </w:r>
                </w:p>
              </w:tc>
              <w:tc>
                <w:tcPr>
                  <w:tcW w:w="4857" w:type="dxa"/>
                  <w:tcBorders>
                    <w:tl2br w:val="nil"/>
                    <w:tr2bl w:val="nil"/>
                  </w:tcBorders>
                  <w:noWrap w:val="0"/>
                  <w:vAlign w:val="center"/>
                </w:tcPr>
                <w:p w14:paraId="3D7ACDF1">
                  <w:pPr>
                    <w:jc w:val="center"/>
                    <w:rPr>
                      <w:rFonts w:hint="default" w:ascii="Times New Roman" w:hAnsi="Times New Roman" w:eastAsia="宋体" w:cs="Times New Roman"/>
                      <w:highlight w:val="none"/>
                      <w:lang w:eastAsia="zh-CN"/>
                    </w:rPr>
                  </w:pPr>
                  <w:r>
                    <w:rPr>
                      <w:rFonts w:hint="default" w:ascii="Times New Roman" w:hAnsi="Times New Roman" w:cs="Times New Roman"/>
                      <w:color w:val="auto"/>
                      <w:szCs w:val="21"/>
                      <w:highlight w:val="none"/>
                      <w:lang w:val="en-US" w:eastAsia="zh-CN"/>
                    </w:rPr>
                    <w:t>位于生产车间内，</w:t>
                  </w:r>
                  <w:r>
                    <w:rPr>
                      <w:rFonts w:hint="eastAsia" w:cs="Times New Roman"/>
                      <w:color w:val="auto"/>
                      <w:szCs w:val="21"/>
                      <w:highlight w:val="none"/>
                      <w:lang w:val="en-US" w:eastAsia="zh-CN"/>
                    </w:rPr>
                    <w:t>在</w:t>
                  </w:r>
                  <w:r>
                    <w:rPr>
                      <w:rFonts w:hint="default" w:ascii="Times New Roman" w:hAnsi="Times New Roman" w:eastAsia="宋体" w:cs="Times New Roman"/>
                      <w:color w:val="auto"/>
                      <w:kern w:val="2"/>
                      <w:sz w:val="21"/>
                      <w:highlight w:val="none"/>
                      <w:lang w:val="en-US" w:eastAsia="zh-CN" w:bidi="ar-SA"/>
                    </w:rPr>
                    <w:t>厂房</w:t>
                  </w:r>
                  <w:r>
                    <w:rPr>
                      <w:rFonts w:hint="eastAsia" w:cs="Times New Roman"/>
                      <w:color w:val="auto"/>
                      <w:kern w:val="2"/>
                      <w:sz w:val="21"/>
                      <w:highlight w:val="none"/>
                      <w:lang w:val="en-US" w:eastAsia="zh-CN" w:bidi="ar-SA"/>
                    </w:rPr>
                    <w:t>中</w:t>
                  </w:r>
                  <w:r>
                    <w:rPr>
                      <w:rFonts w:hint="default" w:ascii="Times New Roman" w:hAnsi="Times New Roman" w:eastAsia="宋体" w:cs="Times New Roman"/>
                      <w:color w:val="auto"/>
                      <w:kern w:val="2"/>
                      <w:sz w:val="21"/>
                      <w:highlight w:val="none"/>
                      <w:lang w:val="en-US" w:eastAsia="zh-CN" w:bidi="ar-SA"/>
                    </w:rPr>
                    <w:t>北</w:t>
                  </w:r>
                  <w:r>
                    <w:rPr>
                      <w:rFonts w:hint="eastAsia" w:cs="Times New Roman"/>
                      <w:color w:val="auto"/>
                      <w:kern w:val="2"/>
                      <w:sz w:val="21"/>
                      <w:highlight w:val="none"/>
                      <w:lang w:val="en-US" w:eastAsia="zh-CN" w:bidi="ar-SA"/>
                    </w:rPr>
                    <w:t>部和西</w:t>
                  </w:r>
                  <w:r>
                    <w:rPr>
                      <w:rFonts w:hint="default" w:ascii="Times New Roman" w:hAnsi="Times New Roman" w:eastAsia="宋体" w:cs="Times New Roman"/>
                      <w:color w:val="auto"/>
                      <w:kern w:val="2"/>
                      <w:sz w:val="21"/>
                      <w:highlight w:val="none"/>
                      <w:lang w:val="en-US" w:eastAsia="zh-CN" w:bidi="ar-SA"/>
                    </w:rPr>
                    <w:t>侧区域，用于存放废矿</w:t>
                  </w:r>
                  <w:r>
                    <w:rPr>
                      <w:rFonts w:hint="eastAsia" w:cs="Times New Roman"/>
                      <w:color w:val="auto"/>
                      <w:kern w:val="2"/>
                      <w:sz w:val="21"/>
                      <w:highlight w:val="none"/>
                      <w:lang w:val="en-US" w:eastAsia="zh-CN" w:bidi="ar-SA"/>
                    </w:rPr>
                    <w:t>石、建筑垃圾</w:t>
                  </w:r>
                  <w:r>
                    <w:rPr>
                      <w:rFonts w:hint="default" w:ascii="Times New Roman" w:hAnsi="Times New Roman" w:eastAsia="宋体" w:cs="Times New Roman"/>
                      <w:color w:val="auto"/>
                      <w:kern w:val="2"/>
                      <w:sz w:val="21"/>
                      <w:highlight w:val="none"/>
                      <w:lang w:val="en-US" w:eastAsia="zh-CN" w:bidi="ar-SA"/>
                    </w:rPr>
                    <w:t>、</w:t>
                  </w:r>
                  <w:r>
                    <w:rPr>
                      <w:rFonts w:hint="eastAsia" w:cs="Times New Roman"/>
                      <w:color w:val="auto"/>
                      <w:kern w:val="2"/>
                      <w:sz w:val="21"/>
                      <w:highlight w:val="none"/>
                      <w:lang w:val="en-US" w:eastAsia="zh-CN" w:bidi="ar-SA"/>
                    </w:rPr>
                    <w:t>沙子、石粉、水泥</w:t>
                  </w:r>
                  <w:r>
                    <w:rPr>
                      <w:rFonts w:hint="default" w:ascii="Times New Roman" w:hAnsi="Times New Roman" w:eastAsia="宋体" w:cs="Times New Roman"/>
                      <w:color w:val="auto"/>
                      <w:kern w:val="2"/>
                      <w:sz w:val="21"/>
                      <w:highlight w:val="none"/>
                      <w:lang w:val="en-US" w:eastAsia="zh-CN" w:bidi="ar-SA"/>
                    </w:rPr>
                    <w:t>等原材料，</w:t>
                  </w:r>
                  <w:r>
                    <w:rPr>
                      <w:rFonts w:hint="default" w:ascii="Times New Roman" w:hAnsi="Times New Roman" w:cs="Times New Roman"/>
                      <w:highlight w:val="none"/>
                    </w:rPr>
                    <w:t>面积约</w:t>
                  </w:r>
                  <w:r>
                    <w:rPr>
                      <w:rFonts w:hint="eastAsia" w:cs="Times New Roman"/>
                      <w:highlight w:val="none"/>
                      <w:lang w:val="en-US" w:eastAsia="zh-CN"/>
                    </w:rPr>
                    <w:t>100</w:t>
                  </w:r>
                  <w:r>
                    <w:rPr>
                      <w:rFonts w:hint="default" w:ascii="Times New Roman" w:hAnsi="Times New Roman" w:cs="Times New Roman"/>
                      <w:highlight w:val="none"/>
                      <w:lang w:val="en-US" w:eastAsia="zh-CN"/>
                    </w:rPr>
                    <w:t>0</w:t>
                  </w:r>
                  <w:r>
                    <w:rPr>
                      <w:rFonts w:hint="default" w:ascii="Times New Roman" w:hAnsi="Times New Roman" w:cs="Times New Roman"/>
                      <w:highlight w:val="none"/>
                    </w:rPr>
                    <w:t>m</w:t>
                  </w:r>
                  <w:r>
                    <w:rPr>
                      <w:rFonts w:hint="default" w:ascii="Times New Roman" w:hAnsi="Times New Roman" w:cs="Times New Roman"/>
                      <w:highlight w:val="none"/>
                      <w:vertAlign w:val="superscript"/>
                    </w:rPr>
                    <w:t>2</w:t>
                  </w:r>
                </w:p>
              </w:tc>
              <w:tc>
                <w:tcPr>
                  <w:tcW w:w="721" w:type="dxa"/>
                  <w:tcBorders>
                    <w:tl2br w:val="nil"/>
                    <w:tr2bl w:val="nil"/>
                  </w:tcBorders>
                  <w:noWrap w:val="0"/>
                  <w:vAlign w:val="center"/>
                </w:tcPr>
                <w:p w14:paraId="1734CF0E">
                  <w:pPr>
                    <w:jc w:val="center"/>
                    <w:rPr>
                      <w:rFonts w:hint="default" w:ascii="Times New Roman" w:hAnsi="Times New Roman" w:eastAsia="宋体" w:cs="Times New Roman"/>
                      <w:highlight w:val="none"/>
                      <w:lang w:eastAsia="zh-CN"/>
                    </w:rPr>
                  </w:pPr>
                  <w:r>
                    <w:rPr>
                      <w:rFonts w:hint="default" w:ascii="Times New Roman" w:hAnsi="Times New Roman" w:cs="Times New Roman"/>
                      <w:highlight w:val="none"/>
                      <w:lang w:val="en-US" w:eastAsia="zh-CN"/>
                    </w:rPr>
                    <w:t>新建</w:t>
                  </w:r>
                </w:p>
              </w:tc>
            </w:tr>
            <w:tr w14:paraId="13A414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65" w:hRule="atLeast"/>
                <w:jc w:val="center"/>
              </w:trPr>
              <w:tc>
                <w:tcPr>
                  <w:tcW w:w="1185" w:type="dxa"/>
                  <w:vMerge w:val="continue"/>
                  <w:tcBorders>
                    <w:tl2br w:val="nil"/>
                    <w:tr2bl w:val="nil"/>
                  </w:tcBorders>
                  <w:noWrap w:val="0"/>
                  <w:vAlign w:val="center"/>
                </w:tcPr>
                <w:p w14:paraId="0F91343E">
                  <w:pPr>
                    <w:jc w:val="center"/>
                    <w:rPr>
                      <w:rFonts w:hint="default" w:ascii="Times New Roman" w:hAnsi="Times New Roman" w:cs="Times New Roman"/>
                      <w:highlight w:val="none"/>
                    </w:rPr>
                  </w:pPr>
                </w:p>
              </w:tc>
              <w:tc>
                <w:tcPr>
                  <w:tcW w:w="1195" w:type="dxa"/>
                  <w:tcBorders>
                    <w:tl2br w:val="nil"/>
                    <w:tr2bl w:val="nil"/>
                  </w:tcBorders>
                  <w:noWrap w:val="0"/>
                  <w:vAlign w:val="center"/>
                </w:tcPr>
                <w:p w14:paraId="7397CE8E">
                  <w:pPr>
                    <w:jc w:val="center"/>
                    <w:rPr>
                      <w:rFonts w:hint="eastAsia" w:cs="Times New Roman"/>
                      <w:highlight w:val="none"/>
                      <w:lang w:val="en-US" w:eastAsia="zh-CN"/>
                    </w:rPr>
                  </w:pPr>
                  <w:r>
                    <w:rPr>
                      <w:rFonts w:hint="eastAsia" w:cs="Times New Roman"/>
                      <w:highlight w:val="none"/>
                      <w:lang w:val="en-US" w:eastAsia="zh-CN"/>
                    </w:rPr>
                    <w:t>原辅料</w:t>
                  </w:r>
                </w:p>
                <w:p w14:paraId="09D0875A">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仓库区</w:t>
                  </w:r>
                </w:p>
              </w:tc>
              <w:tc>
                <w:tcPr>
                  <w:tcW w:w="4857" w:type="dxa"/>
                  <w:tcBorders>
                    <w:tl2br w:val="nil"/>
                    <w:tr2bl w:val="nil"/>
                  </w:tcBorders>
                  <w:noWrap w:val="0"/>
                  <w:vAlign w:val="center"/>
                </w:tcPr>
                <w:p w14:paraId="39137FDC">
                  <w:pPr>
                    <w:jc w:val="center"/>
                    <w:rPr>
                      <w:rFonts w:hint="default" w:ascii="Times New Roman" w:hAnsi="Times New Roman" w:cs="Times New Roman"/>
                      <w:highlight w:val="none"/>
                    </w:rPr>
                  </w:pPr>
                  <w:r>
                    <w:rPr>
                      <w:rFonts w:hint="default" w:ascii="Times New Roman" w:hAnsi="Times New Roman" w:cs="Times New Roman"/>
                      <w:color w:val="auto"/>
                      <w:szCs w:val="21"/>
                      <w:highlight w:val="none"/>
                      <w:lang w:val="en-US" w:eastAsia="zh-CN"/>
                    </w:rPr>
                    <w:t>位于生产车间</w:t>
                  </w:r>
                  <w:r>
                    <w:rPr>
                      <w:rFonts w:hint="eastAsia" w:cs="Times New Roman"/>
                      <w:color w:val="auto"/>
                      <w:szCs w:val="21"/>
                      <w:highlight w:val="none"/>
                      <w:lang w:val="en-US" w:eastAsia="zh-CN"/>
                    </w:rPr>
                    <w:t>外</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kern w:val="2"/>
                      <w:sz w:val="21"/>
                      <w:highlight w:val="none"/>
                      <w:lang w:val="en-US" w:eastAsia="zh-CN" w:bidi="ar-SA"/>
                    </w:rPr>
                    <w:t>位于厂房</w:t>
                  </w:r>
                  <w:r>
                    <w:rPr>
                      <w:rFonts w:hint="eastAsia" w:cs="Times New Roman"/>
                      <w:color w:val="auto"/>
                      <w:kern w:val="2"/>
                      <w:sz w:val="21"/>
                      <w:highlight w:val="none"/>
                      <w:lang w:val="en-US" w:eastAsia="zh-CN" w:bidi="ar-SA"/>
                    </w:rPr>
                    <w:t>西</w:t>
                  </w:r>
                  <w:r>
                    <w:rPr>
                      <w:rFonts w:hint="default" w:ascii="Times New Roman" w:hAnsi="Times New Roman" w:eastAsia="宋体" w:cs="Times New Roman"/>
                      <w:color w:val="auto"/>
                      <w:kern w:val="2"/>
                      <w:sz w:val="21"/>
                      <w:highlight w:val="none"/>
                      <w:lang w:val="en-US" w:eastAsia="zh-CN" w:bidi="ar-SA"/>
                    </w:rPr>
                    <w:t>侧区域，用于存放</w:t>
                  </w:r>
                  <w:r>
                    <w:rPr>
                      <w:rFonts w:hint="eastAsia" w:cs="Times New Roman"/>
                      <w:color w:val="auto"/>
                      <w:kern w:val="2"/>
                      <w:sz w:val="21"/>
                      <w:highlight w:val="none"/>
                      <w:lang w:val="en-US" w:eastAsia="zh-CN" w:bidi="ar-SA"/>
                    </w:rPr>
                    <w:t>润滑油和絮凝剂</w:t>
                  </w:r>
                  <w:r>
                    <w:rPr>
                      <w:rFonts w:hint="default" w:ascii="Times New Roman" w:hAnsi="Times New Roman" w:eastAsia="宋体" w:cs="Times New Roman"/>
                      <w:color w:val="auto"/>
                      <w:kern w:val="2"/>
                      <w:sz w:val="21"/>
                      <w:highlight w:val="none"/>
                      <w:lang w:val="en-US" w:eastAsia="zh-CN" w:bidi="ar-SA"/>
                    </w:rPr>
                    <w:t>等原</w:t>
                  </w:r>
                  <w:r>
                    <w:rPr>
                      <w:rFonts w:hint="eastAsia" w:cs="Times New Roman"/>
                      <w:color w:val="auto"/>
                      <w:kern w:val="2"/>
                      <w:sz w:val="21"/>
                      <w:highlight w:val="none"/>
                      <w:lang w:val="en-US" w:eastAsia="zh-CN" w:bidi="ar-SA"/>
                    </w:rPr>
                    <w:t>辅料</w:t>
                  </w:r>
                  <w:r>
                    <w:rPr>
                      <w:rFonts w:hint="default" w:ascii="Times New Roman" w:hAnsi="Times New Roman" w:eastAsia="宋体" w:cs="Times New Roman"/>
                      <w:color w:val="auto"/>
                      <w:kern w:val="2"/>
                      <w:sz w:val="21"/>
                      <w:highlight w:val="none"/>
                      <w:lang w:val="en-US" w:eastAsia="zh-CN" w:bidi="ar-SA"/>
                    </w:rPr>
                    <w:t>，</w:t>
                  </w:r>
                  <w:r>
                    <w:rPr>
                      <w:rFonts w:hint="default" w:ascii="Times New Roman" w:hAnsi="Times New Roman" w:cs="Times New Roman"/>
                      <w:highlight w:val="none"/>
                    </w:rPr>
                    <w:t>面积约</w:t>
                  </w:r>
                  <w:r>
                    <w:rPr>
                      <w:rFonts w:hint="eastAsia" w:cs="Times New Roman"/>
                      <w:highlight w:val="none"/>
                      <w:lang w:val="en-US" w:eastAsia="zh-CN"/>
                    </w:rPr>
                    <w:t>1</w:t>
                  </w:r>
                  <w:r>
                    <w:rPr>
                      <w:rFonts w:hint="default" w:ascii="Times New Roman" w:hAnsi="Times New Roman" w:cs="Times New Roman"/>
                      <w:highlight w:val="none"/>
                      <w:lang w:val="en-US" w:eastAsia="zh-CN"/>
                    </w:rPr>
                    <w:t>0</w:t>
                  </w:r>
                  <w:r>
                    <w:rPr>
                      <w:rFonts w:hint="default" w:ascii="Times New Roman" w:hAnsi="Times New Roman" w:cs="Times New Roman"/>
                      <w:highlight w:val="none"/>
                    </w:rPr>
                    <w:t>m</w:t>
                  </w:r>
                  <w:r>
                    <w:rPr>
                      <w:rFonts w:hint="default" w:ascii="Times New Roman" w:hAnsi="Times New Roman" w:cs="Times New Roman"/>
                      <w:highlight w:val="none"/>
                      <w:vertAlign w:val="superscript"/>
                    </w:rPr>
                    <w:t>2</w:t>
                  </w:r>
                </w:p>
              </w:tc>
              <w:tc>
                <w:tcPr>
                  <w:tcW w:w="721" w:type="dxa"/>
                  <w:tcBorders>
                    <w:tl2br w:val="nil"/>
                    <w:tr2bl w:val="nil"/>
                  </w:tcBorders>
                  <w:noWrap w:val="0"/>
                  <w:vAlign w:val="center"/>
                </w:tcPr>
                <w:p w14:paraId="61E6FDFD">
                  <w:pPr>
                    <w:jc w:val="center"/>
                    <w:rPr>
                      <w:rFonts w:hint="default" w:ascii="Times New Roman" w:hAnsi="Times New Roman" w:eastAsia="宋体" w:cs="Times New Roman"/>
                      <w:highlight w:val="none"/>
                      <w:lang w:eastAsia="zh-CN"/>
                    </w:rPr>
                  </w:pPr>
                  <w:r>
                    <w:rPr>
                      <w:rFonts w:hint="default" w:ascii="Times New Roman" w:hAnsi="Times New Roman" w:cs="Times New Roman"/>
                      <w:highlight w:val="none"/>
                      <w:lang w:val="en-US" w:eastAsia="zh-CN"/>
                    </w:rPr>
                    <w:t>新建</w:t>
                  </w:r>
                </w:p>
              </w:tc>
            </w:tr>
            <w:tr w14:paraId="0B8EA1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79" w:hRule="atLeast"/>
                <w:jc w:val="center"/>
              </w:trPr>
              <w:tc>
                <w:tcPr>
                  <w:tcW w:w="1185" w:type="dxa"/>
                  <w:vMerge w:val="restart"/>
                  <w:tcBorders>
                    <w:tl2br w:val="nil"/>
                    <w:tr2bl w:val="nil"/>
                  </w:tcBorders>
                  <w:noWrap w:val="0"/>
                  <w:vAlign w:val="center"/>
                </w:tcPr>
                <w:p w14:paraId="11A101CC">
                  <w:pPr>
                    <w:jc w:val="center"/>
                    <w:rPr>
                      <w:rFonts w:hint="default" w:ascii="Times New Roman" w:hAnsi="Times New Roman" w:cs="Times New Roman"/>
                      <w:highlight w:val="none"/>
                    </w:rPr>
                  </w:pPr>
                  <w:r>
                    <w:rPr>
                      <w:rFonts w:hint="default" w:ascii="Times New Roman" w:hAnsi="Times New Roman" w:cs="Times New Roman"/>
                      <w:highlight w:val="none"/>
                    </w:rPr>
                    <w:t>辅助工程</w:t>
                  </w:r>
                </w:p>
              </w:tc>
              <w:tc>
                <w:tcPr>
                  <w:tcW w:w="1195" w:type="dxa"/>
                  <w:tcBorders>
                    <w:tl2br w:val="nil"/>
                    <w:tr2bl w:val="nil"/>
                  </w:tcBorders>
                  <w:noWrap w:val="0"/>
                  <w:vAlign w:val="center"/>
                </w:tcPr>
                <w:p w14:paraId="58D26BCC">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地磅区</w:t>
                  </w:r>
                </w:p>
              </w:tc>
              <w:tc>
                <w:tcPr>
                  <w:tcW w:w="4857" w:type="dxa"/>
                  <w:tcBorders>
                    <w:tl2br w:val="nil"/>
                    <w:tr2bl w:val="nil"/>
                  </w:tcBorders>
                  <w:noWrap w:val="0"/>
                  <w:vAlign w:val="center"/>
                </w:tcPr>
                <w:p w14:paraId="3120B172">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位于生产车间</w:t>
                  </w:r>
                  <w:r>
                    <w:rPr>
                      <w:rFonts w:hint="eastAsia" w:cs="Times New Roman"/>
                      <w:color w:val="auto"/>
                      <w:szCs w:val="21"/>
                      <w:highlight w:val="none"/>
                      <w:lang w:val="en-US" w:eastAsia="zh-CN"/>
                    </w:rPr>
                    <w:t>外</w:t>
                  </w:r>
                  <w:r>
                    <w:rPr>
                      <w:rFonts w:hint="default" w:ascii="Times New Roman" w:hAnsi="Times New Roman" w:cs="Times New Roman"/>
                      <w:color w:val="auto"/>
                      <w:szCs w:val="21"/>
                      <w:highlight w:val="none"/>
                      <w:lang w:val="en-US" w:eastAsia="zh-CN"/>
                    </w:rPr>
                    <w:t>，位于厂房</w:t>
                  </w:r>
                  <w:r>
                    <w:rPr>
                      <w:rFonts w:hint="eastAsia" w:cs="Times New Roman"/>
                      <w:color w:val="auto"/>
                      <w:szCs w:val="21"/>
                      <w:highlight w:val="none"/>
                      <w:lang w:val="en-US" w:eastAsia="zh-CN"/>
                    </w:rPr>
                    <w:t>西</w:t>
                  </w:r>
                  <w:r>
                    <w:rPr>
                      <w:rFonts w:hint="default" w:ascii="Times New Roman" w:hAnsi="Times New Roman" w:cs="Times New Roman"/>
                      <w:color w:val="auto"/>
                      <w:szCs w:val="21"/>
                      <w:highlight w:val="none"/>
                      <w:lang w:val="en-US" w:eastAsia="zh-CN"/>
                    </w:rPr>
                    <w:t>侧区域，</w:t>
                  </w:r>
                  <w:r>
                    <w:rPr>
                      <w:rFonts w:hint="default" w:ascii="Times New Roman" w:hAnsi="Times New Roman" w:cs="Times New Roman"/>
                      <w:highlight w:val="none"/>
                    </w:rPr>
                    <w:t>面积约</w:t>
                  </w:r>
                  <w:r>
                    <w:rPr>
                      <w:rFonts w:hint="eastAsia" w:cs="Times New Roman"/>
                      <w:highlight w:val="none"/>
                      <w:lang w:val="en-US" w:eastAsia="zh-CN"/>
                    </w:rPr>
                    <w:t>5</w:t>
                  </w:r>
                  <w:r>
                    <w:rPr>
                      <w:rFonts w:hint="default" w:ascii="Times New Roman" w:hAnsi="Times New Roman" w:cs="Times New Roman"/>
                      <w:highlight w:val="none"/>
                      <w:lang w:val="en-US" w:eastAsia="zh-CN"/>
                    </w:rPr>
                    <w:t>0</w:t>
                  </w:r>
                  <w:r>
                    <w:rPr>
                      <w:rFonts w:hint="default" w:ascii="Times New Roman" w:hAnsi="Times New Roman" w:cs="Times New Roman"/>
                      <w:highlight w:val="none"/>
                    </w:rPr>
                    <w:t>m</w:t>
                  </w:r>
                  <w:r>
                    <w:rPr>
                      <w:rFonts w:hint="default" w:ascii="Times New Roman" w:hAnsi="Times New Roman" w:cs="Times New Roman"/>
                      <w:highlight w:val="none"/>
                      <w:vertAlign w:val="superscript"/>
                    </w:rPr>
                    <w:t>2</w:t>
                  </w:r>
                </w:p>
              </w:tc>
              <w:tc>
                <w:tcPr>
                  <w:tcW w:w="721" w:type="dxa"/>
                  <w:vMerge w:val="restart"/>
                  <w:tcBorders>
                    <w:tl2br w:val="nil"/>
                    <w:tr2bl w:val="nil"/>
                  </w:tcBorders>
                  <w:noWrap w:val="0"/>
                  <w:vAlign w:val="center"/>
                </w:tcPr>
                <w:p w14:paraId="1E9831C0">
                  <w:pPr>
                    <w:jc w:val="center"/>
                    <w:rPr>
                      <w:rFonts w:hint="default" w:ascii="Times New Roman" w:hAnsi="Times New Roman" w:eastAsia="宋体" w:cs="Times New Roman"/>
                      <w:highlight w:val="none"/>
                      <w:lang w:eastAsia="zh-CN"/>
                    </w:rPr>
                  </w:pPr>
                  <w:r>
                    <w:rPr>
                      <w:rFonts w:hint="default" w:ascii="Times New Roman" w:hAnsi="Times New Roman" w:cs="Times New Roman"/>
                      <w:highlight w:val="none"/>
                      <w:lang w:val="en-US" w:eastAsia="zh-CN"/>
                    </w:rPr>
                    <w:t>新建</w:t>
                  </w:r>
                </w:p>
              </w:tc>
            </w:tr>
            <w:tr w14:paraId="536F36C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3" w:hRule="atLeast"/>
                <w:jc w:val="center"/>
              </w:trPr>
              <w:tc>
                <w:tcPr>
                  <w:tcW w:w="1185" w:type="dxa"/>
                  <w:vMerge w:val="continue"/>
                  <w:tcBorders>
                    <w:tl2br w:val="nil"/>
                    <w:tr2bl w:val="nil"/>
                  </w:tcBorders>
                  <w:noWrap w:val="0"/>
                  <w:vAlign w:val="center"/>
                </w:tcPr>
                <w:p w14:paraId="768565B1">
                  <w:pPr>
                    <w:jc w:val="center"/>
                    <w:rPr>
                      <w:rFonts w:hint="default" w:ascii="Times New Roman" w:hAnsi="Times New Roman" w:cs="Times New Roman"/>
                      <w:highlight w:val="none"/>
                    </w:rPr>
                  </w:pPr>
                </w:p>
              </w:tc>
              <w:tc>
                <w:tcPr>
                  <w:tcW w:w="1195" w:type="dxa"/>
                  <w:tcBorders>
                    <w:tl2br w:val="nil"/>
                    <w:tr2bl w:val="nil"/>
                  </w:tcBorders>
                  <w:noWrap w:val="0"/>
                  <w:vAlign w:val="center"/>
                </w:tcPr>
                <w:p w14:paraId="5A39716C">
                  <w:pPr>
                    <w:jc w:val="center"/>
                    <w:rPr>
                      <w:rFonts w:hint="default" w:ascii="Times New Roman" w:hAnsi="Times New Roman" w:cs="Times New Roman"/>
                      <w:kern w:val="2"/>
                      <w:sz w:val="21"/>
                      <w:szCs w:val="21"/>
                      <w:highlight w:val="none"/>
                      <w:lang w:val="en-US" w:eastAsia="zh-CN" w:bidi="ar-SA"/>
                    </w:rPr>
                  </w:pPr>
                  <w:r>
                    <w:rPr>
                      <w:rFonts w:hint="eastAsia" w:cs="Times New Roman"/>
                      <w:kern w:val="2"/>
                      <w:sz w:val="21"/>
                      <w:szCs w:val="21"/>
                      <w:highlight w:val="none"/>
                      <w:lang w:val="en-US" w:eastAsia="zh-CN" w:bidi="ar-SA"/>
                    </w:rPr>
                    <w:t>卫生间</w:t>
                  </w:r>
                </w:p>
              </w:tc>
              <w:tc>
                <w:tcPr>
                  <w:tcW w:w="4857" w:type="dxa"/>
                  <w:tcBorders>
                    <w:tl2br w:val="nil"/>
                    <w:tr2bl w:val="nil"/>
                  </w:tcBorders>
                  <w:noWrap w:val="0"/>
                  <w:vAlign w:val="center"/>
                </w:tcPr>
                <w:p w14:paraId="477846B2">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位于生产车间</w:t>
                  </w:r>
                  <w:r>
                    <w:rPr>
                      <w:rFonts w:hint="eastAsia" w:cs="Times New Roman"/>
                      <w:color w:val="auto"/>
                      <w:szCs w:val="21"/>
                      <w:highlight w:val="none"/>
                      <w:lang w:val="en-US" w:eastAsia="zh-CN"/>
                    </w:rPr>
                    <w:t>外</w:t>
                  </w:r>
                  <w:r>
                    <w:rPr>
                      <w:rFonts w:hint="default" w:ascii="Times New Roman" w:hAnsi="Times New Roman" w:cs="Times New Roman"/>
                      <w:color w:val="auto"/>
                      <w:szCs w:val="21"/>
                      <w:highlight w:val="none"/>
                      <w:lang w:val="en-US" w:eastAsia="zh-CN"/>
                    </w:rPr>
                    <w:t>，位于厂房</w:t>
                  </w:r>
                  <w:r>
                    <w:rPr>
                      <w:rFonts w:hint="eastAsia" w:cs="Times New Roman"/>
                      <w:color w:val="auto"/>
                      <w:szCs w:val="21"/>
                      <w:highlight w:val="none"/>
                      <w:lang w:val="en-US" w:eastAsia="zh-CN"/>
                    </w:rPr>
                    <w:t>西</w:t>
                  </w:r>
                  <w:r>
                    <w:rPr>
                      <w:rFonts w:hint="default" w:ascii="Times New Roman" w:hAnsi="Times New Roman" w:cs="Times New Roman"/>
                      <w:color w:val="auto"/>
                      <w:szCs w:val="21"/>
                      <w:highlight w:val="none"/>
                      <w:lang w:val="en-US" w:eastAsia="zh-CN"/>
                    </w:rPr>
                    <w:t>侧区域，</w:t>
                  </w:r>
                  <w:r>
                    <w:rPr>
                      <w:rFonts w:hint="default" w:ascii="Times New Roman" w:hAnsi="Times New Roman" w:cs="Times New Roman"/>
                      <w:highlight w:val="none"/>
                    </w:rPr>
                    <w:t>面积约</w:t>
                  </w:r>
                  <w:r>
                    <w:rPr>
                      <w:rFonts w:hint="eastAsia" w:cs="Times New Roman"/>
                      <w:highlight w:val="none"/>
                      <w:lang w:val="en-US" w:eastAsia="zh-CN"/>
                    </w:rPr>
                    <w:t>2</w:t>
                  </w:r>
                  <w:r>
                    <w:rPr>
                      <w:rFonts w:hint="default" w:ascii="Times New Roman" w:hAnsi="Times New Roman" w:cs="Times New Roman"/>
                      <w:highlight w:val="none"/>
                      <w:lang w:val="en-US" w:eastAsia="zh-CN"/>
                    </w:rPr>
                    <w:t>0</w:t>
                  </w:r>
                  <w:r>
                    <w:rPr>
                      <w:rFonts w:hint="default" w:ascii="Times New Roman" w:hAnsi="Times New Roman" w:cs="Times New Roman"/>
                      <w:highlight w:val="none"/>
                    </w:rPr>
                    <w:t>m</w:t>
                  </w:r>
                  <w:r>
                    <w:rPr>
                      <w:rFonts w:hint="default" w:ascii="Times New Roman" w:hAnsi="Times New Roman" w:cs="Times New Roman"/>
                      <w:highlight w:val="none"/>
                      <w:vertAlign w:val="superscript"/>
                    </w:rPr>
                    <w:t>2</w:t>
                  </w:r>
                </w:p>
              </w:tc>
              <w:tc>
                <w:tcPr>
                  <w:tcW w:w="721" w:type="dxa"/>
                  <w:vMerge w:val="continue"/>
                  <w:tcBorders>
                    <w:tl2br w:val="nil"/>
                    <w:tr2bl w:val="nil"/>
                  </w:tcBorders>
                  <w:noWrap w:val="0"/>
                  <w:vAlign w:val="center"/>
                </w:tcPr>
                <w:p w14:paraId="5A49F1AD">
                  <w:pPr>
                    <w:jc w:val="center"/>
                    <w:rPr>
                      <w:rFonts w:hint="default" w:ascii="Times New Roman" w:hAnsi="Times New Roman" w:cs="Times New Roman"/>
                      <w:highlight w:val="none"/>
                      <w:lang w:val="en-US" w:eastAsia="zh-CN"/>
                    </w:rPr>
                  </w:pPr>
                </w:p>
              </w:tc>
            </w:tr>
            <w:tr w14:paraId="35B9E11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4" w:hRule="atLeast"/>
                <w:jc w:val="center"/>
              </w:trPr>
              <w:tc>
                <w:tcPr>
                  <w:tcW w:w="1185" w:type="dxa"/>
                  <w:vMerge w:val="restart"/>
                  <w:tcBorders>
                    <w:tl2br w:val="nil"/>
                    <w:tr2bl w:val="nil"/>
                  </w:tcBorders>
                  <w:noWrap w:val="0"/>
                  <w:vAlign w:val="center"/>
                </w:tcPr>
                <w:p w14:paraId="306214A2">
                  <w:pPr>
                    <w:jc w:val="center"/>
                    <w:rPr>
                      <w:rFonts w:hint="default" w:ascii="Times New Roman" w:hAnsi="Times New Roman" w:cs="Times New Roman"/>
                      <w:highlight w:val="none"/>
                    </w:rPr>
                  </w:pPr>
                  <w:r>
                    <w:rPr>
                      <w:rFonts w:hint="default" w:ascii="Times New Roman" w:hAnsi="Times New Roman" w:cs="Times New Roman"/>
                      <w:highlight w:val="none"/>
                    </w:rPr>
                    <w:t>公用工程</w:t>
                  </w:r>
                </w:p>
              </w:tc>
              <w:tc>
                <w:tcPr>
                  <w:tcW w:w="1195" w:type="dxa"/>
                  <w:tcBorders>
                    <w:tl2br w:val="nil"/>
                    <w:tr2bl w:val="nil"/>
                  </w:tcBorders>
                  <w:noWrap w:val="0"/>
                  <w:vAlign w:val="center"/>
                </w:tcPr>
                <w:p w14:paraId="0A1189E8">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供水系统</w:t>
                  </w:r>
                </w:p>
              </w:tc>
              <w:tc>
                <w:tcPr>
                  <w:tcW w:w="4857" w:type="dxa"/>
                  <w:tcBorders>
                    <w:tl2br w:val="nil"/>
                    <w:tr2bl w:val="nil"/>
                  </w:tcBorders>
                  <w:noWrap w:val="0"/>
                  <w:vAlign w:val="center"/>
                </w:tcPr>
                <w:p w14:paraId="5A9EB17F">
                  <w:pPr>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bCs/>
                      <w:color w:val="auto"/>
                      <w:szCs w:val="21"/>
                      <w:highlight w:val="none"/>
                    </w:rPr>
                    <w:t>由</w:t>
                  </w:r>
                  <w:r>
                    <w:rPr>
                      <w:rFonts w:hint="eastAsia" w:cs="Times New Roman"/>
                      <w:bCs/>
                      <w:color w:val="auto"/>
                      <w:szCs w:val="21"/>
                      <w:highlight w:val="none"/>
                      <w:lang w:val="en-US" w:eastAsia="zh-CN"/>
                    </w:rPr>
                    <w:t>厂区自备水井供给</w:t>
                  </w:r>
                </w:p>
              </w:tc>
              <w:tc>
                <w:tcPr>
                  <w:tcW w:w="721" w:type="dxa"/>
                  <w:tcBorders>
                    <w:tl2br w:val="nil"/>
                    <w:tr2bl w:val="nil"/>
                  </w:tcBorders>
                  <w:noWrap w:val="0"/>
                  <w:vAlign w:val="center"/>
                </w:tcPr>
                <w:p w14:paraId="5615EBB6">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5152BC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2" w:hRule="atLeast"/>
                <w:jc w:val="center"/>
              </w:trPr>
              <w:tc>
                <w:tcPr>
                  <w:tcW w:w="1185" w:type="dxa"/>
                  <w:vMerge w:val="continue"/>
                  <w:tcBorders>
                    <w:tl2br w:val="nil"/>
                    <w:tr2bl w:val="nil"/>
                  </w:tcBorders>
                  <w:noWrap w:val="0"/>
                  <w:vAlign w:val="center"/>
                </w:tcPr>
                <w:p w14:paraId="5CC24C61">
                  <w:pPr>
                    <w:jc w:val="center"/>
                    <w:rPr>
                      <w:rFonts w:hint="default" w:ascii="Times New Roman" w:hAnsi="Times New Roman" w:cs="Times New Roman"/>
                      <w:highlight w:val="none"/>
                    </w:rPr>
                  </w:pPr>
                </w:p>
              </w:tc>
              <w:tc>
                <w:tcPr>
                  <w:tcW w:w="1195" w:type="dxa"/>
                  <w:tcBorders>
                    <w:tl2br w:val="nil"/>
                    <w:tr2bl w:val="nil"/>
                  </w:tcBorders>
                  <w:noWrap w:val="0"/>
                  <w:vAlign w:val="center"/>
                </w:tcPr>
                <w:p w14:paraId="03875239">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供电系统</w:t>
                  </w:r>
                </w:p>
              </w:tc>
              <w:tc>
                <w:tcPr>
                  <w:tcW w:w="4857" w:type="dxa"/>
                  <w:tcBorders>
                    <w:tl2br w:val="nil"/>
                    <w:tr2bl w:val="nil"/>
                  </w:tcBorders>
                  <w:noWrap w:val="0"/>
                  <w:vAlign w:val="center"/>
                </w:tcPr>
                <w:p w14:paraId="22318D59">
                  <w:pPr>
                    <w:jc w:val="center"/>
                    <w:rPr>
                      <w:rFonts w:hint="default" w:ascii="Times New Roman" w:hAnsi="Times New Roman" w:cs="Times New Roman"/>
                      <w:highlight w:val="none"/>
                    </w:rPr>
                  </w:pPr>
                  <w:r>
                    <w:rPr>
                      <w:rFonts w:hint="default" w:ascii="Times New Roman" w:hAnsi="Times New Roman" w:eastAsia="宋体" w:cs="Times New Roman"/>
                      <w:bCs/>
                      <w:color w:val="auto"/>
                      <w:szCs w:val="21"/>
                      <w:highlight w:val="none"/>
                    </w:rPr>
                    <w:t>由</w:t>
                  </w:r>
                  <w:r>
                    <w:rPr>
                      <w:rFonts w:hint="eastAsia" w:cs="Times New Roman"/>
                      <w:bCs/>
                      <w:color w:val="auto"/>
                      <w:szCs w:val="21"/>
                      <w:highlight w:val="none"/>
                      <w:lang w:val="en-US" w:eastAsia="zh-CN"/>
                    </w:rPr>
                    <w:t>叶县廉村镇供电</w:t>
                  </w:r>
                  <w:r>
                    <w:rPr>
                      <w:rFonts w:hint="default" w:ascii="Times New Roman" w:hAnsi="Times New Roman" w:eastAsia="宋体" w:cs="Times New Roman"/>
                      <w:bCs/>
                      <w:color w:val="auto"/>
                      <w:szCs w:val="21"/>
                      <w:highlight w:val="none"/>
                    </w:rPr>
                    <w:t>电网</w:t>
                  </w:r>
                </w:p>
              </w:tc>
              <w:tc>
                <w:tcPr>
                  <w:tcW w:w="721" w:type="dxa"/>
                  <w:tcBorders>
                    <w:tl2br w:val="nil"/>
                    <w:tr2bl w:val="nil"/>
                  </w:tcBorders>
                  <w:noWrap w:val="0"/>
                  <w:vAlign w:val="center"/>
                </w:tcPr>
                <w:p w14:paraId="2530A04F">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46C30C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0" w:hRule="atLeast"/>
                <w:jc w:val="center"/>
              </w:trPr>
              <w:tc>
                <w:tcPr>
                  <w:tcW w:w="1185" w:type="dxa"/>
                  <w:vMerge w:val="continue"/>
                  <w:tcBorders>
                    <w:tl2br w:val="nil"/>
                    <w:tr2bl w:val="nil"/>
                  </w:tcBorders>
                  <w:noWrap w:val="0"/>
                  <w:vAlign w:val="center"/>
                </w:tcPr>
                <w:p w14:paraId="0C295D34">
                  <w:pPr>
                    <w:jc w:val="center"/>
                    <w:rPr>
                      <w:rFonts w:hint="default" w:ascii="Times New Roman" w:hAnsi="Times New Roman" w:cs="Times New Roman"/>
                      <w:highlight w:val="none"/>
                    </w:rPr>
                  </w:pPr>
                </w:p>
              </w:tc>
              <w:tc>
                <w:tcPr>
                  <w:tcW w:w="1195" w:type="dxa"/>
                  <w:vMerge w:val="restart"/>
                  <w:tcBorders>
                    <w:tl2br w:val="nil"/>
                    <w:tr2bl w:val="nil"/>
                  </w:tcBorders>
                  <w:noWrap w:val="0"/>
                  <w:vAlign w:val="center"/>
                </w:tcPr>
                <w:p w14:paraId="50AED9CA">
                  <w:pPr>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排水</w:t>
                  </w:r>
                </w:p>
              </w:tc>
              <w:tc>
                <w:tcPr>
                  <w:tcW w:w="4857" w:type="dxa"/>
                  <w:tcBorders>
                    <w:tl2br w:val="nil"/>
                    <w:tr2bl w:val="nil"/>
                  </w:tcBorders>
                  <w:noWrap w:val="0"/>
                  <w:vAlign w:val="center"/>
                </w:tcPr>
                <w:p w14:paraId="349C96FC">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kern w:val="2"/>
                      <w:sz w:val="21"/>
                      <w:szCs w:val="21"/>
                      <w:highlight w:val="none"/>
                      <w:u w:val="none"/>
                      <w:lang w:val="en-US" w:eastAsia="zh-CN" w:bidi="ar-SA"/>
                    </w:rPr>
                    <w:t>运营过程中生产废水</w:t>
                  </w:r>
                  <w:r>
                    <w:rPr>
                      <w:rFonts w:hint="eastAsia" w:cs="Times New Roman"/>
                      <w:color w:val="auto"/>
                      <w:kern w:val="2"/>
                      <w:sz w:val="21"/>
                      <w:szCs w:val="21"/>
                      <w:highlight w:val="none"/>
                      <w:u w:val="none"/>
                      <w:lang w:val="en-US" w:eastAsia="zh-CN" w:bidi="ar-SA"/>
                    </w:rPr>
                    <w:t>经过污水池</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10</w:t>
                  </w:r>
                  <w:r>
                    <w:rPr>
                      <w:rFonts w:hint="default" w:ascii="Times New Roman" w:hAnsi="Times New Roman" w:eastAsia="宋体" w:cs="Times New Roman"/>
                      <w:color w:val="auto"/>
                      <w:kern w:val="2"/>
                      <w:sz w:val="21"/>
                      <w:szCs w:val="21"/>
                      <w:highlight w:val="none"/>
                      <w:u w:val="none"/>
                      <w:lang w:val="en-US" w:eastAsia="zh-CN" w:bidi="ar-SA"/>
                    </w:rPr>
                    <w:t>m</w:t>
                  </w:r>
                  <w:r>
                    <w:rPr>
                      <w:rFonts w:hint="default" w:ascii="Times New Roman" w:hAnsi="Times New Roman" w:eastAsia="宋体" w:cs="Times New Roman"/>
                      <w:color w:val="auto"/>
                      <w:kern w:val="2"/>
                      <w:sz w:val="21"/>
                      <w:szCs w:val="21"/>
                      <w:highlight w:val="none"/>
                      <w:u w:val="none"/>
                      <w:vertAlign w:val="superscript"/>
                      <w:lang w:val="en-US" w:eastAsia="zh-CN" w:bidi="ar-SA"/>
                    </w:rPr>
                    <w:t>3</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+沉降浓缩罐</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300</w:t>
                  </w:r>
                  <w:r>
                    <w:rPr>
                      <w:rFonts w:hint="default" w:ascii="Times New Roman" w:hAnsi="Times New Roman" w:eastAsia="宋体" w:cs="Times New Roman"/>
                      <w:color w:val="auto"/>
                      <w:kern w:val="2"/>
                      <w:sz w:val="21"/>
                      <w:szCs w:val="21"/>
                      <w:highlight w:val="none"/>
                      <w:u w:val="none"/>
                      <w:lang w:val="en-US" w:eastAsia="zh-CN" w:bidi="ar-SA"/>
                    </w:rPr>
                    <w:t>m</w:t>
                  </w:r>
                  <w:r>
                    <w:rPr>
                      <w:rFonts w:hint="default" w:ascii="Times New Roman" w:hAnsi="Times New Roman" w:eastAsia="宋体" w:cs="Times New Roman"/>
                      <w:color w:val="auto"/>
                      <w:kern w:val="2"/>
                      <w:sz w:val="21"/>
                      <w:szCs w:val="21"/>
                      <w:highlight w:val="none"/>
                      <w:u w:val="none"/>
                      <w:vertAlign w:val="superscript"/>
                      <w:lang w:val="en-US" w:eastAsia="zh-CN" w:bidi="ar-SA"/>
                    </w:rPr>
                    <w:t>3</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+清水池</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80</w:t>
                  </w:r>
                  <w:r>
                    <w:rPr>
                      <w:rFonts w:hint="default" w:ascii="Times New Roman" w:hAnsi="Times New Roman" w:eastAsia="宋体" w:cs="Times New Roman"/>
                      <w:color w:val="auto"/>
                      <w:kern w:val="2"/>
                      <w:sz w:val="21"/>
                      <w:szCs w:val="21"/>
                      <w:highlight w:val="none"/>
                      <w:u w:val="none"/>
                      <w:lang w:val="en-US" w:eastAsia="zh-CN" w:bidi="ar-SA"/>
                    </w:rPr>
                    <w:t>m</w:t>
                  </w:r>
                  <w:r>
                    <w:rPr>
                      <w:rFonts w:hint="default" w:ascii="Times New Roman" w:hAnsi="Times New Roman" w:eastAsia="宋体" w:cs="Times New Roman"/>
                      <w:color w:val="auto"/>
                      <w:kern w:val="2"/>
                      <w:sz w:val="21"/>
                      <w:szCs w:val="21"/>
                      <w:highlight w:val="none"/>
                      <w:u w:val="none"/>
                      <w:vertAlign w:val="superscript"/>
                      <w:lang w:val="en-US" w:eastAsia="zh-CN" w:bidi="ar-SA"/>
                    </w:rPr>
                    <w:t>3</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+板框压滤机处理后</w:t>
                  </w:r>
                  <w:r>
                    <w:rPr>
                      <w:rFonts w:hint="default" w:ascii="Times New Roman" w:hAnsi="Times New Roman" w:eastAsia="宋体" w:cs="Times New Roman"/>
                      <w:color w:val="auto"/>
                      <w:kern w:val="2"/>
                      <w:sz w:val="21"/>
                      <w:szCs w:val="21"/>
                      <w:highlight w:val="none"/>
                      <w:u w:val="none"/>
                      <w:lang w:val="en-US" w:eastAsia="zh-CN" w:bidi="ar-SA"/>
                    </w:rPr>
                    <w:t>循环</w:t>
                  </w:r>
                  <w:r>
                    <w:rPr>
                      <w:rFonts w:hint="eastAsia" w:cs="Times New Roman"/>
                      <w:color w:val="auto"/>
                      <w:kern w:val="2"/>
                      <w:sz w:val="21"/>
                      <w:szCs w:val="21"/>
                      <w:highlight w:val="none"/>
                      <w:u w:val="none"/>
                      <w:lang w:val="en-US" w:eastAsia="zh-CN" w:bidi="ar-SA"/>
                    </w:rPr>
                    <w:t>回用</w:t>
                  </w:r>
                  <w:r>
                    <w:rPr>
                      <w:rFonts w:hint="default" w:ascii="Times New Roman" w:hAnsi="Times New Roman" w:eastAsia="宋体" w:cs="Times New Roman"/>
                      <w:color w:val="auto"/>
                      <w:kern w:val="2"/>
                      <w:sz w:val="21"/>
                      <w:szCs w:val="21"/>
                      <w:highlight w:val="none"/>
                      <w:u w:val="none"/>
                      <w:lang w:val="en-US" w:eastAsia="zh-CN" w:bidi="ar-SA"/>
                    </w:rPr>
                    <w:t>，不外排</w:t>
                  </w:r>
                  <w:r>
                    <w:rPr>
                      <w:rFonts w:hint="eastAsia" w:cs="Times New Roman"/>
                      <w:color w:val="auto"/>
                      <w:kern w:val="2"/>
                      <w:sz w:val="21"/>
                      <w:szCs w:val="21"/>
                      <w:highlight w:val="none"/>
                      <w:u w:val="none"/>
                      <w:lang w:val="en-US" w:eastAsia="zh-CN" w:bidi="ar-SA"/>
                    </w:rPr>
                    <w:t>。</w:t>
                  </w:r>
                </w:p>
              </w:tc>
              <w:tc>
                <w:tcPr>
                  <w:tcW w:w="721" w:type="dxa"/>
                  <w:tcBorders>
                    <w:tl2br w:val="nil"/>
                    <w:tr2bl w:val="nil"/>
                  </w:tcBorders>
                  <w:noWrap w:val="0"/>
                  <w:vAlign w:val="center"/>
                </w:tcPr>
                <w:p w14:paraId="04AEDD42">
                  <w:pPr>
                    <w:jc w:val="center"/>
                    <w:rPr>
                      <w:rFonts w:hint="default" w:ascii="Times New Roman" w:hAnsi="Times New Roman" w:eastAsia="宋体" w:cs="Times New Roman"/>
                      <w:highlight w:val="none"/>
                      <w:lang w:eastAsia="zh-CN"/>
                    </w:rPr>
                  </w:pPr>
                  <w:r>
                    <w:rPr>
                      <w:rFonts w:hint="default" w:ascii="Times New Roman" w:hAnsi="Times New Roman" w:cs="Times New Roman"/>
                      <w:highlight w:val="none"/>
                      <w:lang w:val="en-US" w:eastAsia="zh-CN"/>
                    </w:rPr>
                    <w:t>新建</w:t>
                  </w:r>
                </w:p>
              </w:tc>
            </w:tr>
            <w:tr w14:paraId="4247B33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38" w:hRule="atLeast"/>
                <w:jc w:val="center"/>
              </w:trPr>
              <w:tc>
                <w:tcPr>
                  <w:tcW w:w="1185" w:type="dxa"/>
                  <w:vMerge w:val="continue"/>
                  <w:tcBorders>
                    <w:tl2br w:val="nil"/>
                    <w:tr2bl w:val="nil"/>
                  </w:tcBorders>
                  <w:noWrap w:val="0"/>
                  <w:vAlign w:val="center"/>
                </w:tcPr>
                <w:p w14:paraId="6D3F2F44">
                  <w:pPr>
                    <w:jc w:val="center"/>
                    <w:rPr>
                      <w:rFonts w:hint="default" w:ascii="Times New Roman" w:hAnsi="Times New Roman" w:cs="Times New Roman"/>
                      <w:highlight w:val="none"/>
                    </w:rPr>
                  </w:pPr>
                </w:p>
              </w:tc>
              <w:tc>
                <w:tcPr>
                  <w:tcW w:w="1195" w:type="dxa"/>
                  <w:vMerge w:val="continue"/>
                  <w:tcBorders>
                    <w:tl2br w:val="nil"/>
                    <w:tr2bl w:val="nil"/>
                  </w:tcBorders>
                  <w:noWrap w:val="0"/>
                  <w:vAlign w:val="center"/>
                </w:tcPr>
                <w:p w14:paraId="5D5B72AE">
                  <w:pPr>
                    <w:jc w:val="center"/>
                    <w:rPr>
                      <w:rFonts w:hint="default" w:ascii="Times New Roman" w:hAnsi="Times New Roman" w:cs="Times New Roman"/>
                      <w:sz w:val="21"/>
                      <w:szCs w:val="21"/>
                      <w:highlight w:val="none"/>
                      <w:lang w:val="en-US" w:eastAsia="zh-CN"/>
                    </w:rPr>
                  </w:pPr>
                </w:p>
              </w:tc>
              <w:tc>
                <w:tcPr>
                  <w:tcW w:w="4857" w:type="dxa"/>
                  <w:tcBorders>
                    <w:tl2br w:val="nil"/>
                    <w:tr2bl w:val="nil"/>
                  </w:tcBorders>
                  <w:noWrap w:val="0"/>
                  <w:vAlign w:val="center"/>
                </w:tcPr>
                <w:p w14:paraId="464024B5">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车辆冲洗废水经过沉淀池</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5</w:t>
                  </w:r>
                  <w:r>
                    <w:rPr>
                      <w:rFonts w:hint="default" w:ascii="Times New Roman" w:hAnsi="Times New Roman" w:eastAsia="宋体" w:cs="Times New Roman"/>
                      <w:color w:val="auto"/>
                      <w:kern w:val="2"/>
                      <w:sz w:val="21"/>
                      <w:szCs w:val="21"/>
                      <w:highlight w:val="none"/>
                      <w:u w:val="none"/>
                      <w:lang w:val="en-US" w:eastAsia="zh-CN" w:bidi="ar-SA"/>
                    </w:rPr>
                    <w:t>m</w:t>
                  </w:r>
                  <w:r>
                    <w:rPr>
                      <w:rFonts w:hint="default" w:ascii="Times New Roman" w:hAnsi="Times New Roman" w:eastAsia="宋体" w:cs="Times New Roman"/>
                      <w:color w:val="auto"/>
                      <w:kern w:val="2"/>
                      <w:sz w:val="21"/>
                      <w:szCs w:val="21"/>
                      <w:highlight w:val="none"/>
                      <w:u w:val="none"/>
                      <w:vertAlign w:val="superscript"/>
                      <w:lang w:val="en-US" w:eastAsia="zh-CN" w:bidi="ar-SA"/>
                    </w:rPr>
                    <w:t>3</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沉淀后回用，不外排。</w:t>
                  </w:r>
                </w:p>
              </w:tc>
              <w:tc>
                <w:tcPr>
                  <w:tcW w:w="721" w:type="dxa"/>
                  <w:tcBorders>
                    <w:tl2br w:val="nil"/>
                    <w:tr2bl w:val="nil"/>
                  </w:tcBorders>
                  <w:noWrap w:val="0"/>
                  <w:vAlign w:val="center"/>
                </w:tcPr>
                <w:p w14:paraId="399851C5">
                  <w:pPr>
                    <w:jc w:val="center"/>
                    <w:rPr>
                      <w:rFonts w:hint="default" w:ascii="Times New Roman" w:hAnsi="Times New Roman" w:cs="Times New Roman"/>
                      <w:highlight w:val="none"/>
                      <w:lang w:val="en-US" w:eastAsia="zh-CN"/>
                    </w:rPr>
                  </w:pPr>
                  <w:r>
                    <w:rPr>
                      <w:rFonts w:hint="eastAsia" w:cs="Times New Roman"/>
                      <w:highlight w:val="none"/>
                      <w:lang w:val="en-US" w:eastAsia="zh-CN"/>
                    </w:rPr>
                    <w:t>新建</w:t>
                  </w:r>
                </w:p>
              </w:tc>
            </w:tr>
            <w:tr w14:paraId="10574D7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79" w:hRule="atLeast"/>
                <w:jc w:val="center"/>
              </w:trPr>
              <w:tc>
                <w:tcPr>
                  <w:tcW w:w="1185" w:type="dxa"/>
                  <w:vMerge w:val="continue"/>
                  <w:tcBorders>
                    <w:tl2br w:val="nil"/>
                    <w:tr2bl w:val="nil"/>
                  </w:tcBorders>
                  <w:noWrap w:val="0"/>
                  <w:vAlign w:val="center"/>
                </w:tcPr>
                <w:p w14:paraId="75E115C7">
                  <w:pPr>
                    <w:jc w:val="center"/>
                    <w:rPr>
                      <w:rFonts w:hint="default" w:ascii="Times New Roman" w:hAnsi="Times New Roman" w:cs="Times New Roman"/>
                      <w:highlight w:val="none"/>
                    </w:rPr>
                  </w:pPr>
                </w:p>
              </w:tc>
              <w:tc>
                <w:tcPr>
                  <w:tcW w:w="1195" w:type="dxa"/>
                  <w:vMerge w:val="continue"/>
                  <w:tcBorders>
                    <w:tl2br w:val="nil"/>
                    <w:tr2bl w:val="nil"/>
                  </w:tcBorders>
                  <w:noWrap w:val="0"/>
                  <w:vAlign w:val="center"/>
                </w:tcPr>
                <w:p w14:paraId="20AF94F0">
                  <w:pPr>
                    <w:jc w:val="center"/>
                    <w:rPr>
                      <w:rFonts w:hint="default" w:ascii="Times New Roman" w:hAnsi="Times New Roman" w:cs="Times New Roman"/>
                      <w:sz w:val="21"/>
                      <w:szCs w:val="21"/>
                      <w:highlight w:val="none"/>
                      <w:lang w:val="en-US" w:eastAsia="zh-CN"/>
                    </w:rPr>
                  </w:pPr>
                </w:p>
              </w:tc>
              <w:tc>
                <w:tcPr>
                  <w:tcW w:w="4857" w:type="dxa"/>
                  <w:tcBorders>
                    <w:tl2br w:val="nil"/>
                    <w:tr2bl w:val="nil"/>
                  </w:tcBorders>
                  <w:noWrap w:val="0"/>
                  <w:vAlign w:val="center"/>
                </w:tcPr>
                <w:p w14:paraId="4C012FD0">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kern w:val="2"/>
                      <w:sz w:val="21"/>
                      <w:szCs w:val="21"/>
                      <w:highlight w:val="none"/>
                      <w:u w:val="none"/>
                      <w:lang w:val="en-US" w:eastAsia="zh-CN" w:bidi="ar-SA"/>
                    </w:rPr>
                    <w:t>生活污水经化粪池（1</w:t>
                  </w:r>
                  <w:r>
                    <w:rPr>
                      <w:rFonts w:hint="eastAsia" w:cs="Times New Roman"/>
                      <w:color w:val="auto"/>
                      <w:kern w:val="2"/>
                      <w:sz w:val="21"/>
                      <w:szCs w:val="21"/>
                      <w:highlight w:val="none"/>
                      <w:u w:val="none"/>
                      <w:lang w:val="en-US" w:eastAsia="zh-CN" w:bidi="ar-SA"/>
                    </w:rPr>
                    <w:t>0</w:t>
                  </w:r>
                  <w:r>
                    <w:rPr>
                      <w:rFonts w:hint="default" w:ascii="Times New Roman" w:hAnsi="Times New Roman" w:eastAsia="宋体" w:cs="Times New Roman"/>
                      <w:color w:val="auto"/>
                      <w:kern w:val="2"/>
                      <w:sz w:val="21"/>
                      <w:szCs w:val="21"/>
                      <w:highlight w:val="none"/>
                      <w:u w:val="none"/>
                      <w:lang w:val="en-US" w:eastAsia="zh-CN" w:bidi="ar-SA"/>
                    </w:rPr>
                    <w:t>m</w:t>
                  </w:r>
                  <w:r>
                    <w:rPr>
                      <w:rFonts w:hint="default" w:ascii="Times New Roman" w:hAnsi="Times New Roman" w:eastAsia="宋体" w:cs="Times New Roman"/>
                      <w:color w:val="auto"/>
                      <w:kern w:val="2"/>
                      <w:sz w:val="21"/>
                      <w:szCs w:val="21"/>
                      <w:highlight w:val="none"/>
                      <w:u w:val="none"/>
                      <w:vertAlign w:val="superscript"/>
                      <w:lang w:val="en-US" w:eastAsia="zh-CN" w:bidi="ar-SA"/>
                    </w:rPr>
                    <w:t>3</w:t>
                  </w:r>
                  <w:r>
                    <w:rPr>
                      <w:rFonts w:hint="default" w:ascii="Times New Roman" w:hAnsi="Times New Roman" w:eastAsia="宋体" w:cs="Times New Roman"/>
                      <w:color w:val="auto"/>
                      <w:kern w:val="2"/>
                      <w:sz w:val="21"/>
                      <w:szCs w:val="21"/>
                      <w:highlight w:val="none"/>
                      <w:u w:val="none"/>
                      <w:lang w:val="en-US" w:eastAsia="zh-CN" w:bidi="ar-SA"/>
                    </w:rPr>
                    <w:t>）处理后用于周围农田施肥，资源化利用，不外排。</w:t>
                  </w:r>
                </w:p>
              </w:tc>
              <w:tc>
                <w:tcPr>
                  <w:tcW w:w="721" w:type="dxa"/>
                  <w:tcBorders>
                    <w:tl2br w:val="nil"/>
                    <w:tr2bl w:val="nil"/>
                  </w:tcBorders>
                  <w:noWrap w:val="0"/>
                  <w:vAlign w:val="center"/>
                </w:tcPr>
                <w:p w14:paraId="3DE1D66A">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新建</w:t>
                  </w:r>
                </w:p>
              </w:tc>
            </w:tr>
            <w:tr w14:paraId="5E5868F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88" w:hRule="atLeast"/>
                <w:jc w:val="center"/>
              </w:trPr>
              <w:tc>
                <w:tcPr>
                  <w:tcW w:w="1185" w:type="dxa"/>
                  <w:vMerge w:val="restart"/>
                  <w:tcBorders>
                    <w:tl2br w:val="nil"/>
                    <w:tr2bl w:val="nil"/>
                  </w:tcBorders>
                  <w:noWrap w:val="0"/>
                  <w:vAlign w:val="center"/>
                </w:tcPr>
                <w:p w14:paraId="60F1F8E6">
                  <w:pPr>
                    <w:jc w:val="center"/>
                    <w:rPr>
                      <w:rFonts w:hint="default" w:ascii="Times New Roman" w:hAnsi="Times New Roman" w:cs="Times New Roman"/>
                      <w:highlight w:val="none"/>
                    </w:rPr>
                  </w:pPr>
                  <w:r>
                    <w:rPr>
                      <w:rFonts w:hint="default" w:ascii="Times New Roman" w:hAnsi="Times New Roman" w:cs="Times New Roman"/>
                      <w:highlight w:val="none"/>
                    </w:rPr>
                    <w:t>环保工程</w:t>
                  </w:r>
                </w:p>
              </w:tc>
              <w:tc>
                <w:tcPr>
                  <w:tcW w:w="1195" w:type="dxa"/>
                  <w:tcBorders>
                    <w:tl2br w:val="nil"/>
                    <w:tr2bl w:val="nil"/>
                  </w:tcBorders>
                  <w:noWrap w:val="0"/>
                  <w:vAlign w:val="center"/>
                </w:tcPr>
                <w:p w14:paraId="34AF2273">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无组织</w:t>
                  </w:r>
                  <w:r>
                    <w:rPr>
                      <w:rFonts w:hint="default" w:ascii="Times New Roman" w:hAnsi="Times New Roman" w:cs="Times New Roman"/>
                      <w:highlight w:val="none"/>
                    </w:rPr>
                    <w:t>废气</w:t>
                  </w:r>
                  <w:r>
                    <w:rPr>
                      <w:rFonts w:hint="default" w:ascii="Times New Roman" w:hAnsi="Times New Roman" w:cs="Times New Roman"/>
                      <w:highlight w:val="none"/>
                      <w:lang w:val="en-US" w:eastAsia="zh-CN"/>
                    </w:rPr>
                    <w:t>处理</w:t>
                  </w:r>
                </w:p>
              </w:tc>
              <w:tc>
                <w:tcPr>
                  <w:tcW w:w="4857" w:type="dxa"/>
                  <w:tcBorders>
                    <w:tl2br w:val="nil"/>
                    <w:tr2bl w:val="nil"/>
                  </w:tcBorders>
                  <w:noWrap w:val="0"/>
                  <w:vAlign w:val="center"/>
                </w:tcPr>
                <w:p w14:paraId="448606AF">
                  <w:pPr>
                    <w:pStyle w:val="52"/>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1 \* GB3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①</w:t>
                  </w:r>
                  <w:r>
                    <w:rPr>
                      <w:rFonts w:hint="default" w:ascii="Times New Roman" w:hAnsi="Times New Roman" w:cs="Times New Roman"/>
                      <w:highlight w:val="none"/>
                    </w:rPr>
                    <w:fldChar w:fldCharType="end"/>
                  </w:r>
                  <w:r>
                    <w:rPr>
                      <w:rFonts w:hint="default" w:ascii="Times New Roman" w:hAnsi="Times New Roman" w:cs="Times New Roman"/>
                      <w:highlight w:val="none"/>
                    </w:rPr>
                    <w:t>封闭式生产厂房，厂房安装卷帘门；</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2 \* GB3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②</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原</w:t>
                  </w:r>
                  <w:r>
                    <w:rPr>
                      <w:rFonts w:hint="eastAsia" w:cs="Times New Roman"/>
                      <w:highlight w:val="none"/>
                      <w:lang w:val="en-US" w:eastAsia="zh-CN"/>
                    </w:rPr>
                    <w:t>材料存放</w:t>
                  </w:r>
                  <w:r>
                    <w:rPr>
                      <w:rFonts w:hint="default" w:ascii="Times New Roman" w:hAnsi="Times New Roman" w:cs="Times New Roman"/>
                      <w:highlight w:val="none"/>
                      <w:lang w:val="en-US" w:eastAsia="zh-CN"/>
                    </w:rPr>
                    <w:t>区厂房顶部安装喷雾</w:t>
                  </w:r>
                  <w:r>
                    <w:rPr>
                      <w:rFonts w:hint="eastAsia" w:cs="Times New Roman"/>
                      <w:highlight w:val="none"/>
                      <w:lang w:val="en-US" w:eastAsia="zh-CN"/>
                    </w:rPr>
                    <w:t>降尘</w:t>
                  </w:r>
                  <w:r>
                    <w:rPr>
                      <w:rFonts w:hint="default" w:ascii="Times New Roman" w:hAnsi="Times New Roman" w:cs="Times New Roman"/>
                      <w:highlight w:val="none"/>
                      <w:lang w:val="en-US" w:eastAsia="zh-CN"/>
                    </w:rPr>
                    <w:t>装置；</w:t>
                  </w:r>
                  <w:r>
                    <w:rPr>
                      <w:rFonts w:hint="eastAsia" w:cs="Times New Roman"/>
                      <w:highlight w:val="none"/>
                      <w:lang w:val="en-US" w:eastAsia="zh-CN"/>
                    </w:rPr>
                    <w:t>③</w:t>
                  </w:r>
                  <w:r>
                    <w:rPr>
                      <w:rFonts w:hint="default" w:ascii="Times New Roman" w:hAnsi="Times New Roman" w:cs="Times New Roman"/>
                      <w:highlight w:val="none"/>
                    </w:rPr>
                    <w:t>场区内运输车辆车斗均采用苫布覆盖，不在场区内露天转运，同时安排人员对场区道路定时清扫、洒水等。</w:t>
                  </w:r>
                </w:p>
              </w:tc>
              <w:tc>
                <w:tcPr>
                  <w:tcW w:w="721" w:type="dxa"/>
                  <w:vMerge w:val="restart"/>
                  <w:tcBorders>
                    <w:tl2br w:val="nil"/>
                    <w:tr2bl w:val="nil"/>
                  </w:tcBorders>
                  <w:noWrap w:val="0"/>
                  <w:vAlign w:val="center"/>
                </w:tcPr>
                <w:p w14:paraId="44838D1A">
                  <w:pPr>
                    <w:jc w:val="center"/>
                    <w:rPr>
                      <w:rFonts w:hint="eastAsia" w:ascii="Times New Roman" w:hAnsi="Times New Roman" w:eastAsia="宋体" w:cs="Times New Roman"/>
                      <w:highlight w:val="none"/>
                      <w:lang w:eastAsia="zh-CN"/>
                    </w:rPr>
                  </w:pPr>
                  <w:r>
                    <w:rPr>
                      <w:rFonts w:hint="eastAsia" w:cs="Times New Roman"/>
                      <w:highlight w:val="none"/>
                      <w:lang w:val="en-US" w:eastAsia="zh-CN"/>
                    </w:rPr>
                    <w:t>新建</w:t>
                  </w:r>
                </w:p>
              </w:tc>
            </w:tr>
            <w:tr w14:paraId="15A4D0D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640" w:hRule="atLeast"/>
                <w:jc w:val="center"/>
              </w:trPr>
              <w:tc>
                <w:tcPr>
                  <w:tcW w:w="1185" w:type="dxa"/>
                  <w:vMerge w:val="continue"/>
                  <w:tcBorders>
                    <w:tl2br w:val="nil"/>
                    <w:tr2bl w:val="nil"/>
                  </w:tcBorders>
                  <w:noWrap w:val="0"/>
                  <w:vAlign w:val="center"/>
                </w:tcPr>
                <w:p w14:paraId="2D051D66">
                  <w:pPr>
                    <w:pStyle w:val="52"/>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highlight w:val="none"/>
                    </w:rPr>
                  </w:pPr>
                </w:p>
              </w:tc>
              <w:tc>
                <w:tcPr>
                  <w:tcW w:w="1195" w:type="dxa"/>
                  <w:tcBorders>
                    <w:tl2br w:val="nil"/>
                    <w:tr2bl w:val="nil"/>
                  </w:tcBorders>
                  <w:noWrap w:val="0"/>
                  <w:vAlign w:val="center"/>
                </w:tcPr>
                <w:p w14:paraId="24B49025">
                  <w:pPr>
                    <w:pStyle w:val="52"/>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highlight w:val="none"/>
                    </w:rPr>
                  </w:pPr>
                  <w:r>
                    <w:rPr>
                      <w:rFonts w:hint="eastAsia" w:cs="Times New Roman"/>
                      <w:highlight w:val="none"/>
                      <w:lang w:val="en-US" w:eastAsia="zh-CN"/>
                    </w:rPr>
                    <w:t>有组织</w:t>
                  </w:r>
                  <w:r>
                    <w:rPr>
                      <w:rFonts w:hint="default" w:ascii="Times New Roman" w:hAnsi="Times New Roman" w:cs="Times New Roman"/>
                      <w:highlight w:val="none"/>
                    </w:rPr>
                    <w:t>废气</w:t>
                  </w:r>
                  <w:r>
                    <w:rPr>
                      <w:rFonts w:hint="default" w:ascii="Times New Roman" w:hAnsi="Times New Roman" w:cs="Times New Roman"/>
                      <w:highlight w:val="none"/>
                      <w:lang w:val="en-US" w:eastAsia="zh-CN"/>
                    </w:rPr>
                    <w:t>处理</w:t>
                  </w:r>
                </w:p>
              </w:tc>
              <w:tc>
                <w:tcPr>
                  <w:tcW w:w="4857" w:type="dxa"/>
                  <w:tcBorders>
                    <w:tl2br w:val="nil"/>
                    <w:tr2bl w:val="nil"/>
                  </w:tcBorders>
                  <w:noWrap w:val="0"/>
                  <w:vAlign w:val="center"/>
                </w:tcPr>
                <w:p w14:paraId="5E9508A1">
                  <w:pPr>
                    <w:pStyle w:val="52"/>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eastAsia" w:ascii="Times New Roman" w:hAnsi="Times New Roman" w:eastAsia="宋体" w:cs="Times New Roman"/>
                      <w:highlight w:val="none"/>
                      <w:lang w:eastAsia="zh-CN"/>
                    </w:rPr>
                  </w:pPr>
                  <w:r>
                    <w:rPr>
                      <w:rFonts w:hint="eastAsia" w:ascii="Times New Roman" w:hAnsi="Times New Roman" w:cs="Times New Roman"/>
                      <w:highlight w:val="none"/>
                      <w:lang w:val="en-US" w:eastAsia="zh-CN"/>
                    </w:rPr>
                    <w:t>①</w:t>
                  </w:r>
                  <w:r>
                    <w:rPr>
                      <w:rFonts w:hint="eastAsia" w:cs="Times New Roman"/>
                      <w:highlight w:val="none"/>
                      <w:lang w:val="en-US" w:eastAsia="zh-CN"/>
                    </w:rPr>
                    <w:t>砂石生产线产生的颗粒物经过集气罩收集后通过管道进入</w:t>
                  </w:r>
                  <w:r>
                    <w:rPr>
                      <w:rFonts w:hint="default" w:ascii="Times New Roman" w:hAnsi="Times New Roman" w:cs="Times New Roman"/>
                      <w:color w:val="000000"/>
                      <w:szCs w:val="21"/>
                      <w:highlight w:val="none"/>
                      <w:lang w:val="en-US" w:eastAsia="zh-CN"/>
                    </w:rPr>
                    <w:t>袋式除尘器处理</w:t>
                  </w:r>
                  <w:r>
                    <w:rPr>
                      <w:rFonts w:hint="eastAsia" w:cs="Times New Roman"/>
                      <w:color w:val="000000"/>
                      <w:szCs w:val="21"/>
                      <w:highlight w:val="none"/>
                      <w:lang w:val="en-US" w:eastAsia="zh-CN"/>
                    </w:rPr>
                    <w:t>后</w:t>
                  </w:r>
                  <w:r>
                    <w:rPr>
                      <w:rFonts w:hint="default" w:ascii="Times New Roman" w:hAnsi="Times New Roman" w:cs="Times New Roman"/>
                      <w:color w:val="000000"/>
                      <w:szCs w:val="21"/>
                      <w:highlight w:val="none"/>
                      <w:lang w:val="en-US" w:eastAsia="zh-CN"/>
                    </w:rPr>
                    <w:t>通过15m高的排气筒达标排放</w:t>
                  </w:r>
                  <w:r>
                    <w:rPr>
                      <w:rFonts w:hint="default" w:ascii="Times New Roman" w:hAnsi="Times New Roman" w:cs="Times New Roman"/>
                      <w:color w:val="000000"/>
                      <w:szCs w:val="21"/>
                      <w:highlight w:val="none"/>
                    </w:rPr>
                    <w:t>（DA00</w:t>
                  </w:r>
                  <w:r>
                    <w:rPr>
                      <w:rFonts w:hint="default" w:ascii="Times New Roman" w:hAnsi="Times New Roman" w:cs="Times New Roman"/>
                      <w:color w:val="000000"/>
                      <w:szCs w:val="21"/>
                      <w:highlight w:val="none"/>
                      <w:lang w:val="en-US" w:eastAsia="zh-CN"/>
                    </w:rPr>
                    <w:t>1</w:t>
                  </w:r>
                  <w:r>
                    <w:rPr>
                      <w:rFonts w:hint="default" w:ascii="Times New Roman" w:hAnsi="Times New Roman" w:cs="Times New Roman"/>
                      <w:color w:val="000000"/>
                      <w:szCs w:val="21"/>
                      <w:highlight w:val="none"/>
                    </w:rPr>
                    <w:t>）</w:t>
                  </w:r>
                  <w:r>
                    <w:rPr>
                      <w:rFonts w:hint="default" w:ascii="Times New Roman" w:hAnsi="Times New Roman" w:cs="Times New Roman"/>
                      <w:highlight w:val="none"/>
                    </w:rPr>
                    <w:t>；</w:t>
                  </w:r>
                  <w:r>
                    <w:rPr>
                      <w:rFonts w:hint="eastAsia" w:ascii="Times New Roman" w:hAnsi="Times New Roman" w:cs="Times New Roman"/>
                      <w:highlight w:val="none"/>
                      <w:lang w:val="en-US" w:eastAsia="zh-CN"/>
                    </w:rPr>
                    <w:t>②</w:t>
                  </w:r>
                  <w:r>
                    <w:rPr>
                      <w:rFonts w:hint="eastAsia" w:cs="Times New Roman"/>
                      <w:highlight w:val="none"/>
                      <w:lang w:val="en-US" w:eastAsia="zh-CN"/>
                    </w:rPr>
                    <w:t>水泥稳定土生产线水泥筒仓废气利用配套除尘器处理，给料工序和搅拌工序共用一套除尘器处理，收集处理后</w:t>
                  </w:r>
                  <w:r>
                    <w:rPr>
                      <w:rFonts w:hint="default" w:ascii="Times New Roman" w:hAnsi="Times New Roman" w:cs="Times New Roman"/>
                      <w:color w:val="000000"/>
                      <w:szCs w:val="21"/>
                      <w:highlight w:val="none"/>
                      <w:lang w:val="en-US" w:eastAsia="zh-CN"/>
                    </w:rPr>
                    <w:t>通过15m高的排气筒达标排放</w:t>
                  </w:r>
                  <w:r>
                    <w:rPr>
                      <w:rFonts w:hint="default" w:ascii="Times New Roman" w:hAnsi="Times New Roman" w:cs="Times New Roman"/>
                      <w:color w:val="000000"/>
                      <w:szCs w:val="21"/>
                      <w:highlight w:val="none"/>
                    </w:rPr>
                    <w:t>（DA00</w:t>
                  </w:r>
                  <w:r>
                    <w:rPr>
                      <w:rFonts w:hint="eastAsia" w:ascii="Times New Roman" w:hAnsi="Times New Roman" w:cs="Times New Roman"/>
                      <w:color w:val="000000"/>
                      <w:szCs w:val="21"/>
                      <w:highlight w:val="none"/>
                      <w:lang w:val="en-US" w:eastAsia="zh-CN"/>
                    </w:rPr>
                    <w:t>2</w:t>
                  </w:r>
                  <w:r>
                    <w:rPr>
                      <w:rFonts w:hint="default" w:ascii="Times New Roman" w:hAnsi="Times New Roman" w:cs="Times New Roman"/>
                      <w:color w:val="000000"/>
                      <w:szCs w:val="21"/>
                      <w:highlight w:val="none"/>
                    </w:rPr>
                    <w:t>）</w:t>
                  </w:r>
                  <w:r>
                    <w:rPr>
                      <w:rFonts w:hint="eastAsia" w:cs="Times New Roman"/>
                      <w:color w:val="000000"/>
                      <w:szCs w:val="21"/>
                      <w:highlight w:val="none"/>
                      <w:lang w:eastAsia="zh-CN"/>
                    </w:rPr>
                    <w:t>。</w:t>
                  </w:r>
                </w:p>
              </w:tc>
              <w:tc>
                <w:tcPr>
                  <w:tcW w:w="721" w:type="dxa"/>
                  <w:vMerge w:val="continue"/>
                  <w:tcBorders>
                    <w:tl2br w:val="nil"/>
                    <w:tr2bl w:val="nil"/>
                  </w:tcBorders>
                  <w:noWrap w:val="0"/>
                  <w:vAlign w:val="center"/>
                </w:tcPr>
                <w:p w14:paraId="076BBDF9">
                  <w:pPr>
                    <w:pStyle w:val="52"/>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highlight w:val="none"/>
                    </w:rPr>
                  </w:pPr>
                </w:p>
              </w:tc>
            </w:tr>
            <w:tr w14:paraId="4F25D2A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87" w:hRule="atLeast"/>
                <w:jc w:val="center"/>
              </w:trPr>
              <w:tc>
                <w:tcPr>
                  <w:tcW w:w="1185" w:type="dxa"/>
                  <w:vMerge w:val="continue"/>
                  <w:tcBorders>
                    <w:tl2br w:val="nil"/>
                    <w:tr2bl w:val="nil"/>
                  </w:tcBorders>
                  <w:noWrap w:val="0"/>
                  <w:vAlign w:val="center"/>
                </w:tcPr>
                <w:p w14:paraId="0FB807BA">
                  <w:pPr>
                    <w:jc w:val="center"/>
                    <w:rPr>
                      <w:rFonts w:hint="default" w:ascii="Times New Roman" w:hAnsi="Times New Roman" w:cs="Times New Roman"/>
                      <w:highlight w:val="none"/>
                    </w:rPr>
                  </w:pPr>
                </w:p>
              </w:tc>
              <w:tc>
                <w:tcPr>
                  <w:tcW w:w="1195" w:type="dxa"/>
                  <w:tcBorders>
                    <w:tl2br w:val="nil"/>
                    <w:tr2bl w:val="nil"/>
                  </w:tcBorders>
                  <w:noWrap w:val="0"/>
                  <w:vAlign w:val="center"/>
                </w:tcPr>
                <w:p w14:paraId="0FA05838">
                  <w:pPr>
                    <w:adjustRightInd w:val="0"/>
                    <w:snapToGrid w:val="0"/>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rPr>
                    <w:t>废水</w:t>
                  </w:r>
                  <w:r>
                    <w:rPr>
                      <w:rFonts w:hint="default" w:ascii="Times New Roman" w:hAnsi="Times New Roman" w:cs="Times New Roman"/>
                      <w:highlight w:val="none"/>
                      <w:lang w:val="en-US" w:eastAsia="zh-CN"/>
                    </w:rPr>
                    <w:t>处理</w:t>
                  </w:r>
                </w:p>
              </w:tc>
              <w:tc>
                <w:tcPr>
                  <w:tcW w:w="4857" w:type="dxa"/>
                  <w:tcBorders>
                    <w:tl2br w:val="nil"/>
                    <w:tr2bl w:val="nil"/>
                  </w:tcBorders>
                  <w:noWrap w:val="0"/>
                  <w:vAlign w:val="center"/>
                </w:tcPr>
                <w:p w14:paraId="1B6FE902">
                  <w:pPr>
                    <w:adjustRightInd w:val="0"/>
                    <w:snapToGrid w:val="0"/>
                    <w:spacing w:line="280" w:lineRule="exact"/>
                    <w:ind w:left="42" w:leftChars="20" w:right="42" w:rightChars="20"/>
                    <w:jc w:val="center"/>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rPr>
                    <w:t>项目</w:t>
                  </w:r>
                  <w:r>
                    <w:rPr>
                      <w:rFonts w:hint="eastAsia" w:cs="Times New Roman"/>
                      <w:highlight w:val="none"/>
                      <w:lang w:val="en-US" w:eastAsia="zh-CN"/>
                    </w:rPr>
                    <w:t>的</w:t>
                  </w:r>
                  <w:r>
                    <w:rPr>
                      <w:rFonts w:hint="default" w:ascii="Times New Roman" w:hAnsi="Times New Roman" w:cs="Times New Roman"/>
                      <w:highlight w:val="none"/>
                    </w:rPr>
                    <w:t>生活污水经化粪池处理后，定期清掏，用于周边农田施肥；生产废水</w:t>
                  </w:r>
                  <w:r>
                    <w:rPr>
                      <w:rFonts w:hint="default" w:ascii="Times New Roman" w:hAnsi="Times New Roman" w:cs="Times New Roman"/>
                      <w:highlight w:val="none"/>
                      <w:lang w:val="en-US" w:eastAsia="zh-CN"/>
                    </w:rPr>
                    <w:t>通过导流</w:t>
                  </w:r>
                  <w:r>
                    <w:rPr>
                      <w:rFonts w:hint="eastAsia" w:cs="Times New Roman"/>
                      <w:highlight w:val="none"/>
                      <w:lang w:val="en-US" w:eastAsia="zh-CN"/>
                    </w:rPr>
                    <w:t>管</w:t>
                  </w:r>
                  <w:r>
                    <w:rPr>
                      <w:rFonts w:hint="default" w:ascii="Times New Roman" w:hAnsi="Times New Roman" w:cs="Times New Roman"/>
                      <w:highlight w:val="none"/>
                      <w:lang w:val="en-US" w:eastAsia="zh-CN"/>
                    </w:rPr>
                    <w:t>进入</w:t>
                  </w:r>
                  <w:r>
                    <w:rPr>
                      <w:rFonts w:hint="eastAsia" w:cs="Times New Roman"/>
                      <w:highlight w:val="none"/>
                      <w:lang w:val="en-US" w:eastAsia="zh-CN"/>
                    </w:rPr>
                    <w:t>污水池</w:t>
                  </w:r>
                  <w:r>
                    <w:rPr>
                      <w:rFonts w:hint="default" w:ascii="Times New Roman" w:hAnsi="Times New Roman" w:cs="Times New Roman"/>
                      <w:highlight w:val="none"/>
                      <w:lang w:val="en-US" w:eastAsia="zh-CN"/>
                    </w:rPr>
                    <w:t>，通过提升泵进入</w:t>
                  </w:r>
                  <w:r>
                    <w:rPr>
                      <w:rFonts w:hint="eastAsia" w:cs="Times New Roman"/>
                      <w:highlight w:val="none"/>
                      <w:lang w:val="en-US" w:eastAsia="zh-CN"/>
                    </w:rPr>
                    <w:t>沉淀罐</w:t>
                  </w:r>
                  <w:r>
                    <w:rPr>
                      <w:rFonts w:hint="default" w:ascii="Times New Roman" w:hAnsi="Times New Roman" w:cs="Times New Roman"/>
                      <w:highlight w:val="none"/>
                      <w:lang w:eastAsia="zh-CN"/>
                    </w:rPr>
                    <w:t>浓缩沉淀后，</w:t>
                  </w:r>
                  <w:r>
                    <w:rPr>
                      <w:rFonts w:hint="default" w:ascii="Times New Roman" w:hAnsi="Times New Roman" w:cs="Times New Roman"/>
                      <w:highlight w:val="none"/>
                    </w:rPr>
                    <w:t>上清液流至清水池循环利用，不外排</w:t>
                  </w:r>
                  <w:r>
                    <w:rPr>
                      <w:rFonts w:hint="eastAsia" w:cs="Times New Roman"/>
                      <w:highlight w:val="none"/>
                      <w:lang w:eastAsia="zh-CN"/>
                    </w:rPr>
                    <w:t>；</w:t>
                  </w:r>
                  <w:r>
                    <w:rPr>
                      <w:rFonts w:hint="eastAsia" w:cs="Times New Roman"/>
                      <w:color w:val="auto"/>
                      <w:kern w:val="2"/>
                      <w:sz w:val="21"/>
                      <w:szCs w:val="21"/>
                      <w:highlight w:val="none"/>
                      <w:u w:val="none"/>
                      <w:lang w:val="en-US" w:eastAsia="zh-CN" w:bidi="ar-SA"/>
                    </w:rPr>
                    <w:t>车辆冲洗废水经过沉淀池沉淀后回用，不外排。</w:t>
                  </w:r>
                </w:p>
              </w:tc>
              <w:tc>
                <w:tcPr>
                  <w:tcW w:w="721" w:type="dxa"/>
                  <w:tcBorders>
                    <w:tl2br w:val="nil"/>
                    <w:tr2bl w:val="nil"/>
                  </w:tcBorders>
                  <w:noWrap w:val="0"/>
                  <w:vAlign w:val="center"/>
                </w:tcPr>
                <w:p w14:paraId="4B358497">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新建</w:t>
                  </w:r>
                </w:p>
              </w:tc>
            </w:tr>
            <w:tr w14:paraId="3C517FB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448" w:hRule="atLeast"/>
                <w:jc w:val="center"/>
              </w:trPr>
              <w:tc>
                <w:tcPr>
                  <w:tcW w:w="1185" w:type="dxa"/>
                  <w:vMerge w:val="continue"/>
                  <w:tcBorders>
                    <w:tl2br w:val="nil"/>
                    <w:tr2bl w:val="nil"/>
                  </w:tcBorders>
                  <w:noWrap w:val="0"/>
                  <w:vAlign w:val="center"/>
                </w:tcPr>
                <w:p w14:paraId="1551B135">
                  <w:pPr>
                    <w:jc w:val="center"/>
                    <w:rPr>
                      <w:rFonts w:hint="default" w:ascii="Times New Roman" w:hAnsi="Times New Roman" w:cs="Times New Roman"/>
                      <w:highlight w:val="none"/>
                    </w:rPr>
                  </w:pPr>
                </w:p>
              </w:tc>
              <w:tc>
                <w:tcPr>
                  <w:tcW w:w="1195" w:type="dxa"/>
                  <w:tcBorders>
                    <w:tl2br w:val="nil"/>
                    <w:tr2bl w:val="nil"/>
                  </w:tcBorders>
                  <w:noWrap w:val="0"/>
                  <w:vAlign w:val="center"/>
                </w:tcPr>
                <w:p w14:paraId="54062823">
                  <w:pPr>
                    <w:widowControl/>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rPr>
                    <w:t>固废</w:t>
                  </w:r>
                  <w:r>
                    <w:rPr>
                      <w:rFonts w:hint="default" w:ascii="Times New Roman" w:hAnsi="Times New Roman" w:cs="Times New Roman"/>
                      <w:highlight w:val="none"/>
                      <w:lang w:val="en-US" w:eastAsia="zh-CN"/>
                    </w:rPr>
                    <w:t>处理</w:t>
                  </w:r>
                </w:p>
              </w:tc>
              <w:tc>
                <w:tcPr>
                  <w:tcW w:w="4857" w:type="dxa"/>
                  <w:tcBorders>
                    <w:tl2br w:val="nil"/>
                    <w:tr2bl w:val="nil"/>
                  </w:tcBorders>
                  <w:noWrap w:val="0"/>
                  <w:vAlign w:val="center"/>
                </w:tcPr>
                <w:p w14:paraId="76537FCE">
                  <w:pPr>
                    <w:adjustRightInd w:val="0"/>
                    <w:snapToGrid w:val="0"/>
                    <w:spacing w:line="280" w:lineRule="exact"/>
                    <w:ind w:left="42" w:leftChars="20" w:right="42" w:rightChars="2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lang w:val="en-US" w:eastAsia="zh-CN"/>
                    </w:rPr>
                    <w:t>厂区内设置若干垃圾桶，</w:t>
                  </w:r>
                  <w:r>
                    <w:rPr>
                      <w:rFonts w:hint="eastAsia" w:cs="Times New Roman"/>
                      <w:highlight w:val="none"/>
                      <w:lang w:val="en-US" w:eastAsia="zh-CN"/>
                    </w:rPr>
                    <w:t>絮凝剂包装袋、员工产生的</w:t>
                  </w:r>
                  <w:r>
                    <w:rPr>
                      <w:rFonts w:hint="default" w:ascii="Times New Roman" w:hAnsi="Times New Roman" w:cs="Times New Roman"/>
                      <w:highlight w:val="none"/>
                    </w:rPr>
                    <w:t>生活垃圾</w:t>
                  </w:r>
                  <w:r>
                    <w:rPr>
                      <w:rFonts w:hint="default" w:ascii="Times New Roman" w:hAnsi="Times New Roman" w:cs="Times New Roman"/>
                      <w:highlight w:val="none"/>
                      <w:lang w:val="en-US" w:eastAsia="zh-CN"/>
                    </w:rPr>
                    <w:t>定期</w:t>
                  </w:r>
                  <w:r>
                    <w:rPr>
                      <w:rFonts w:hint="default" w:ascii="Times New Roman" w:hAnsi="Times New Roman" w:cs="Times New Roman"/>
                      <w:highlight w:val="none"/>
                    </w:rPr>
                    <w:t>送至中转站定时清运</w:t>
                  </w:r>
                  <w:r>
                    <w:rPr>
                      <w:rFonts w:hint="default" w:ascii="Times New Roman" w:hAnsi="Times New Roman" w:cs="Times New Roman"/>
                      <w:highlight w:val="none"/>
                      <w:lang w:eastAsia="zh-CN"/>
                    </w:rPr>
                    <w:t>；</w:t>
                  </w:r>
                  <w:r>
                    <w:rPr>
                      <w:rFonts w:hint="eastAsia" w:cs="Times New Roman"/>
                      <w:highlight w:val="none"/>
                      <w:lang w:val="en-US" w:eastAsia="zh-CN"/>
                    </w:rPr>
                    <w:t>污水压滤后的泥饼和车辆冲洗产生的污泥用于土地回填</w:t>
                  </w:r>
                  <w:r>
                    <w:rPr>
                      <w:rFonts w:hint="default" w:ascii="Times New Roman" w:hAnsi="Times New Roman" w:cs="Times New Roman"/>
                      <w:highlight w:val="none"/>
                      <w:vertAlign w:val="baseline"/>
                      <w:lang w:val="en-US" w:eastAsia="zh-CN"/>
                    </w:rPr>
                    <w:t>；</w:t>
                  </w:r>
                  <w:r>
                    <w:rPr>
                      <w:rFonts w:hint="eastAsia" w:cs="Times New Roman"/>
                      <w:highlight w:val="none"/>
                      <w:lang w:val="en-US" w:eastAsia="zh-CN"/>
                    </w:rPr>
                    <w:t>更换的滤袋由原厂家回收处理；</w:t>
                  </w:r>
                  <w:r>
                    <w:rPr>
                      <w:rFonts w:hint="default" w:ascii="Times New Roman" w:hAnsi="Times New Roman" w:cs="Times New Roman"/>
                      <w:highlight w:val="none"/>
                      <w:vertAlign w:val="baseline"/>
                      <w:lang w:val="en-US" w:eastAsia="zh-CN"/>
                    </w:rPr>
                    <w:t>袋式除尘器收集的</w:t>
                  </w:r>
                  <w:r>
                    <w:rPr>
                      <w:rFonts w:hint="eastAsia" w:cs="Times New Roman"/>
                      <w:highlight w:val="none"/>
                      <w:vertAlign w:val="baseline"/>
                      <w:lang w:val="en-US" w:eastAsia="zh-CN"/>
                    </w:rPr>
                    <w:t>颗粒物收集后循环回用生产</w:t>
                  </w:r>
                  <w:r>
                    <w:rPr>
                      <w:rFonts w:hint="eastAsia" w:cs="宋体"/>
                      <w:color w:val="auto"/>
                      <w:kern w:val="2"/>
                      <w:sz w:val="21"/>
                      <w:szCs w:val="21"/>
                      <w:highlight w:val="none"/>
                      <w:lang w:val="en-US" w:eastAsia="zh-CN" w:bidi="ar-SA"/>
                    </w:rPr>
                    <w:t>；</w:t>
                  </w:r>
                  <w:r>
                    <w:rPr>
                      <w:rFonts w:hint="default" w:ascii="Times New Roman" w:hAnsi="Times New Roman" w:cs="Times New Roman"/>
                      <w:highlight w:val="none"/>
                      <w:vertAlign w:val="baseline"/>
                      <w:lang w:val="en-US" w:eastAsia="zh-CN"/>
                    </w:rPr>
                    <w:t>废</w:t>
                  </w:r>
                  <w:r>
                    <w:rPr>
                      <w:rFonts w:hint="eastAsia" w:cs="Times New Roman"/>
                      <w:highlight w:val="none"/>
                      <w:vertAlign w:val="baseline"/>
                      <w:lang w:val="en-US" w:eastAsia="zh-CN"/>
                    </w:rPr>
                    <w:t>润滑油和废润滑油桶</w:t>
                  </w:r>
                  <w:r>
                    <w:rPr>
                      <w:rFonts w:hint="default" w:ascii="Times New Roman" w:hAnsi="Times New Roman" w:cs="Times New Roman"/>
                      <w:highlight w:val="none"/>
                      <w:vertAlign w:val="baseline"/>
                      <w:lang w:val="en-US" w:eastAsia="zh-CN"/>
                    </w:rPr>
                    <w:t>暂存于危废间（</w:t>
                  </w:r>
                  <w:r>
                    <w:rPr>
                      <w:rFonts w:hint="eastAsia" w:cs="Times New Roman"/>
                      <w:highlight w:val="none"/>
                      <w:vertAlign w:val="baseline"/>
                      <w:lang w:val="en-US" w:eastAsia="zh-CN"/>
                    </w:rPr>
                    <w:t>4</w:t>
                  </w:r>
                  <w:r>
                    <w:rPr>
                      <w:rFonts w:hint="default" w:ascii="Times New Roman" w:hAnsi="Times New Roman" w:cs="Times New Roman"/>
                      <w:highlight w:val="none"/>
                      <w:lang w:val="en-US" w:eastAsia="zh-CN"/>
                    </w:rPr>
                    <w:t>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vertAlign w:val="baseline"/>
                      <w:lang w:val="en-US" w:eastAsia="zh-CN"/>
                    </w:rPr>
                    <w:t>），定期交由有资质的单位进行</w:t>
                  </w:r>
                  <w:r>
                    <w:rPr>
                      <w:rFonts w:hint="eastAsia" w:cs="Times New Roman"/>
                      <w:highlight w:val="none"/>
                      <w:vertAlign w:val="baseline"/>
                      <w:lang w:val="en-US" w:eastAsia="zh-CN"/>
                    </w:rPr>
                    <w:t>安全</w:t>
                  </w:r>
                  <w:r>
                    <w:rPr>
                      <w:rFonts w:hint="default" w:ascii="Times New Roman" w:hAnsi="Times New Roman" w:cs="Times New Roman"/>
                      <w:highlight w:val="none"/>
                      <w:vertAlign w:val="baseline"/>
                      <w:lang w:val="en-US" w:eastAsia="zh-CN"/>
                    </w:rPr>
                    <w:t>处置。</w:t>
                  </w:r>
                </w:p>
              </w:tc>
              <w:tc>
                <w:tcPr>
                  <w:tcW w:w="721" w:type="dxa"/>
                  <w:tcBorders>
                    <w:tl2br w:val="nil"/>
                    <w:tr2bl w:val="nil"/>
                  </w:tcBorders>
                  <w:noWrap w:val="0"/>
                  <w:vAlign w:val="center"/>
                </w:tcPr>
                <w:p w14:paraId="14ED2248">
                  <w:pPr>
                    <w:jc w:val="center"/>
                    <w:rPr>
                      <w:rFonts w:hint="eastAsia" w:ascii="Times New Roman" w:hAnsi="Times New Roman" w:eastAsia="宋体" w:cs="Times New Roman"/>
                      <w:highlight w:val="none"/>
                      <w:lang w:val="en-US" w:eastAsia="zh-CN"/>
                    </w:rPr>
                  </w:pPr>
                  <w:r>
                    <w:rPr>
                      <w:rFonts w:hint="eastAsia" w:cs="Times New Roman"/>
                      <w:highlight w:val="none"/>
                      <w:lang w:val="en-US" w:eastAsia="zh-CN"/>
                    </w:rPr>
                    <w:t>新建</w:t>
                  </w:r>
                </w:p>
              </w:tc>
            </w:tr>
            <w:tr w14:paraId="5690FB7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0" w:hRule="atLeast"/>
                <w:jc w:val="center"/>
              </w:trPr>
              <w:tc>
                <w:tcPr>
                  <w:tcW w:w="1185" w:type="dxa"/>
                  <w:vMerge w:val="continue"/>
                  <w:tcBorders>
                    <w:tl2br w:val="nil"/>
                    <w:tr2bl w:val="nil"/>
                  </w:tcBorders>
                  <w:noWrap w:val="0"/>
                  <w:vAlign w:val="center"/>
                </w:tcPr>
                <w:p w14:paraId="227DAB57">
                  <w:pPr>
                    <w:jc w:val="center"/>
                    <w:rPr>
                      <w:rFonts w:hint="default" w:ascii="Times New Roman" w:hAnsi="Times New Roman" w:cs="Times New Roman"/>
                      <w:highlight w:val="none"/>
                    </w:rPr>
                  </w:pPr>
                </w:p>
              </w:tc>
              <w:tc>
                <w:tcPr>
                  <w:tcW w:w="1195" w:type="dxa"/>
                  <w:tcBorders>
                    <w:tl2br w:val="nil"/>
                    <w:tr2bl w:val="nil"/>
                  </w:tcBorders>
                  <w:noWrap w:val="0"/>
                  <w:vAlign w:val="center"/>
                </w:tcPr>
                <w:p w14:paraId="3271F81E">
                  <w:pPr>
                    <w:widowControl/>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rPr>
                    <w:t>噪声</w:t>
                  </w:r>
                  <w:r>
                    <w:rPr>
                      <w:rFonts w:hint="default" w:ascii="Times New Roman" w:hAnsi="Times New Roman" w:cs="Times New Roman"/>
                      <w:highlight w:val="none"/>
                      <w:lang w:val="en-US" w:eastAsia="zh-CN"/>
                    </w:rPr>
                    <w:t>处理</w:t>
                  </w:r>
                </w:p>
              </w:tc>
              <w:tc>
                <w:tcPr>
                  <w:tcW w:w="4857" w:type="dxa"/>
                  <w:tcBorders>
                    <w:tl2br w:val="nil"/>
                    <w:tr2bl w:val="nil"/>
                  </w:tcBorders>
                  <w:noWrap w:val="0"/>
                  <w:vAlign w:val="center"/>
                </w:tcPr>
                <w:p w14:paraId="52BD1ABA">
                  <w:pPr>
                    <w:jc w:val="center"/>
                    <w:rPr>
                      <w:rFonts w:hint="default" w:ascii="Times New Roman" w:hAnsi="Times New Roman" w:cs="Times New Roman"/>
                      <w:highlight w:val="none"/>
                    </w:rPr>
                  </w:pPr>
                  <w:r>
                    <w:rPr>
                      <w:rFonts w:hint="default" w:ascii="Times New Roman" w:hAnsi="Times New Roman" w:cs="Times New Roman"/>
                      <w:color w:val="auto"/>
                      <w:szCs w:val="21"/>
                      <w:highlight w:val="none"/>
                    </w:rPr>
                    <w:t>高噪声设备做减振基础，厂房隔声</w:t>
                  </w:r>
                </w:p>
              </w:tc>
              <w:tc>
                <w:tcPr>
                  <w:tcW w:w="721" w:type="dxa"/>
                  <w:tcBorders>
                    <w:tl2br w:val="nil"/>
                    <w:tr2bl w:val="nil"/>
                  </w:tcBorders>
                  <w:noWrap w:val="0"/>
                  <w:vAlign w:val="center"/>
                </w:tcPr>
                <w:p w14:paraId="44EAFD69">
                  <w:pPr>
                    <w:jc w:val="center"/>
                    <w:rPr>
                      <w:rFonts w:hint="eastAsia" w:ascii="Times New Roman" w:hAnsi="Times New Roman" w:eastAsia="宋体" w:cs="Times New Roman"/>
                      <w:highlight w:val="none"/>
                      <w:lang w:val="en-US" w:eastAsia="zh-CN"/>
                    </w:rPr>
                  </w:pPr>
                  <w:r>
                    <w:rPr>
                      <w:rFonts w:hint="eastAsia" w:cs="Times New Roman"/>
                      <w:highlight w:val="none"/>
                      <w:lang w:val="en-US" w:eastAsia="zh-CN"/>
                    </w:rPr>
                    <w:t>新建</w:t>
                  </w:r>
                </w:p>
              </w:tc>
            </w:tr>
          </w:tbl>
          <w:p w14:paraId="2DDE2FFF">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b/>
                <w:highlight w:val="none"/>
                <w:lang w:val="en-US" w:eastAsia="zh-CN"/>
              </w:rPr>
            </w:pPr>
            <w:r>
              <w:rPr>
                <w:rFonts w:hint="default" w:ascii="Times New Roman" w:hAnsi="Times New Roman" w:cs="Times New Roman"/>
                <w:b/>
                <w:highlight w:val="none"/>
              </w:rPr>
              <w:t>3、</w:t>
            </w:r>
            <w:r>
              <w:rPr>
                <w:rFonts w:hint="eastAsia" w:ascii="Times New Roman" w:hAnsi="Times New Roman" w:cs="Times New Roman"/>
                <w:b/>
                <w:highlight w:val="none"/>
                <w:lang w:val="en-US" w:eastAsia="zh-CN"/>
              </w:rPr>
              <w:t>产品方案</w:t>
            </w:r>
          </w:p>
          <w:p w14:paraId="5408DBE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本项目总投资</w:t>
            </w:r>
            <w:r>
              <w:rPr>
                <w:rFonts w:hint="default" w:ascii="Times New Roman" w:hAnsi="Times New Roman" w:cs="Times New Roman"/>
                <w:color w:val="auto"/>
                <w:sz w:val="24"/>
                <w:highlight w:val="none"/>
                <w:lang w:val="en-US" w:eastAsia="zh-CN"/>
              </w:rPr>
              <w:t>1000</w:t>
            </w:r>
            <w:r>
              <w:rPr>
                <w:rFonts w:hint="default" w:ascii="Times New Roman" w:hAnsi="Times New Roman" w:cs="Times New Roman"/>
                <w:color w:val="auto"/>
                <w:sz w:val="24"/>
                <w:highlight w:val="none"/>
              </w:rPr>
              <w:t>万元，项目</w:t>
            </w:r>
            <w:r>
              <w:rPr>
                <w:rFonts w:hint="default" w:ascii="Times New Roman" w:hAnsi="Times New Roman" w:cs="Times New Roman"/>
                <w:sz w:val="24"/>
                <w:szCs w:val="24"/>
                <w:highlight w:val="none"/>
                <w:lang w:val="en-US" w:eastAsia="zh-CN"/>
              </w:rPr>
              <w:t>建成后年产</w:t>
            </w:r>
            <w:r>
              <w:rPr>
                <w:rFonts w:hint="eastAsia" w:cs="Times New Roman"/>
                <w:sz w:val="24"/>
                <w:szCs w:val="24"/>
                <w:highlight w:val="none"/>
                <w:lang w:val="en-US" w:eastAsia="zh-CN"/>
              </w:rPr>
              <w:t>约10</w:t>
            </w:r>
            <w:r>
              <w:rPr>
                <w:rFonts w:hint="default" w:ascii="Times New Roman" w:hAnsi="Times New Roman" w:cs="Times New Roman"/>
                <w:sz w:val="24"/>
                <w:szCs w:val="24"/>
                <w:highlight w:val="none"/>
                <w:lang w:val="en-US" w:eastAsia="zh-CN"/>
              </w:rPr>
              <w:t>万吨砂石，</w:t>
            </w:r>
            <w:r>
              <w:rPr>
                <w:rFonts w:hint="eastAsia" w:cs="Times New Roman"/>
                <w:sz w:val="24"/>
                <w:szCs w:val="24"/>
                <w:highlight w:val="none"/>
                <w:lang w:val="en-US" w:eastAsia="zh-CN"/>
              </w:rPr>
              <w:t>约20</w:t>
            </w:r>
            <w:r>
              <w:rPr>
                <w:rFonts w:hint="default" w:ascii="Times New Roman" w:hAnsi="Times New Roman" w:cs="Times New Roman"/>
                <w:sz w:val="24"/>
                <w:szCs w:val="24"/>
                <w:highlight w:val="none"/>
                <w:lang w:val="en-US" w:eastAsia="zh-CN"/>
              </w:rPr>
              <w:t>万吨水泥稳定土</w:t>
            </w:r>
            <w:r>
              <w:rPr>
                <w:rFonts w:hint="default" w:ascii="Times New Roman" w:hAnsi="Times New Roman" w:eastAsia="宋体" w:cs="Times New Roman"/>
                <w:color w:val="auto"/>
                <w:sz w:val="24"/>
                <w:highlight w:val="none"/>
                <w:lang w:val="zh-CN"/>
              </w:rPr>
              <w:t>。</w:t>
            </w:r>
            <w:r>
              <w:rPr>
                <w:rFonts w:hint="default" w:ascii="Times New Roman" w:hAnsi="Times New Roman" w:cs="Times New Roman"/>
                <w:color w:val="auto"/>
                <w:sz w:val="24"/>
                <w:highlight w:val="none"/>
              </w:rPr>
              <w:t>项目具体生产规模及产品方案详见下表。</w:t>
            </w:r>
          </w:p>
          <w:p w14:paraId="6186A40E">
            <w:pPr>
              <w:pStyle w:val="7"/>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黑体" w:cs="Times New Roman"/>
                <w:color w:val="auto"/>
                <w:sz w:val="24"/>
                <w:highlight w:val="none"/>
                <w:lang w:val="en-US" w:eastAsia="zh-CN"/>
              </w:rPr>
            </w:pPr>
            <w:r>
              <w:rPr>
                <w:rFonts w:hint="default" w:ascii="Times New Roman" w:hAnsi="Times New Roman" w:eastAsia="黑体" w:cs="Times New Roman"/>
                <w:color w:val="auto"/>
                <w:sz w:val="24"/>
                <w:highlight w:val="none"/>
                <w:lang w:val="en-US" w:eastAsia="zh-CN"/>
              </w:rPr>
              <w:t>表2-2 本项目产品产量一览表</w:t>
            </w:r>
          </w:p>
          <w:tbl>
            <w:tblPr>
              <w:tblStyle w:val="23"/>
              <w:tblW w:w="79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342"/>
              <w:gridCol w:w="1560"/>
              <w:gridCol w:w="1658"/>
              <w:gridCol w:w="2695"/>
            </w:tblGrid>
            <w:tr w14:paraId="69B5E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10" w:type="dxa"/>
                  <w:tcBorders>
                    <w:tl2br w:val="nil"/>
                    <w:tr2bl w:val="nil"/>
                  </w:tcBorders>
                  <w:noWrap w:val="0"/>
                  <w:vAlign w:val="center"/>
                </w:tcPr>
                <w:p w14:paraId="02DBEEAE">
                  <w:pPr>
                    <w:spacing w:line="276"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1342" w:type="dxa"/>
                  <w:tcBorders>
                    <w:tl2br w:val="nil"/>
                    <w:tr2bl w:val="nil"/>
                  </w:tcBorders>
                  <w:noWrap w:val="0"/>
                  <w:vAlign w:val="center"/>
                </w:tcPr>
                <w:p w14:paraId="0D85DE7C">
                  <w:pPr>
                    <w:spacing w:line="276"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产品</w:t>
                  </w:r>
                </w:p>
              </w:tc>
              <w:tc>
                <w:tcPr>
                  <w:tcW w:w="1560" w:type="dxa"/>
                  <w:tcBorders>
                    <w:tl2br w:val="nil"/>
                    <w:tr2bl w:val="nil"/>
                  </w:tcBorders>
                  <w:noWrap w:val="0"/>
                  <w:vAlign w:val="center"/>
                </w:tcPr>
                <w:p w14:paraId="50918254">
                  <w:pPr>
                    <w:spacing w:line="276" w:lineRule="auto"/>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年产量</w:t>
                  </w:r>
                </w:p>
              </w:tc>
              <w:tc>
                <w:tcPr>
                  <w:tcW w:w="1658" w:type="dxa"/>
                  <w:tcBorders>
                    <w:tl2br w:val="nil"/>
                    <w:tr2bl w:val="nil"/>
                  </w:tcBorders>
                  <w:noWrap w:val="0"/>
                  <w:vAlign w:val="center"/>
                </w:tcPr>
                <w:p w14:paraId="7D8254D2">
                  <w:pPr>
                    <w:spacing w:line="276" w:lineRule="auto"/>
                    <w:jc w:val="center"/>
                    <w:rPr>
                      <w:rFonts w:hint="default" w:ascii="Times New Roman" w:hAnsi="Times New Roman" w:cs="Times New Roman"/>
                      <w:b/>
                      <w:bCs/>
                      <w:color w:val="auto"/>
                      <w:szCs w:val="21"/>
                      <w:highlight w:val="none"/>
                      <w:lang w:val="en-US" w:eastAsia="zh-CN"/>
                    </w:rPr>
                  </w:pPr>
                  <w:r>
                    <w:rPr>
                      <w:rFonts w:hint="eastAsia" w:cs="Times New Roman"/>
                      <w:b/>
                      <w:bCs/>
                      <w:color w:val="auto"/>
                      <w:szCs w:val="21"/>
                      <w:highlight w:val="none"/>
                      <w:lang w:val="en-US" w:eastAsia="zh-CN"/>
                    </w:rPr>
                    <w:t>产品规格</w:t>
                  </w:r>
                </w:p>
              </w:tc>
              <w:tc>
                <w:tcPr>
                  <w:tcW w:w="2695" w:type="dxa"/>
                  <w:tcBorders>
                    <w:tl2br w:val="nil"/>
                    <w:tr2bl w:val="nil"/>
                  </w:tcBorders>
                  <w:noWrap w:val="0"/>
                  <w:vAlign w:val="center"/>
                </w:tcPr>
                <w:p w14:paraId="384BE6CF">
                  <w:pPr>
                    <w:spacing w:line="276" w:lineRule="auto"/>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备注</w:t>
                  </w:r>
                </w:p>
              </w:tc>
            </w:tr>
            <w:tr w14:paraId="6A5A2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710" w:type="dxa"/>
                  <w:tcBorders>
                    <w:tl2br w:val="nil"/>
                    <w:tr2bl w:val="nil"/>
                  </w:tcBorders>
                  <w:noWrap w:val="0"/>
                  <w:vAlign w:val="center"/>
                </w:tcPr>
                <w:p w14:paraId="1AD9A455">
                  <w:pPr>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342" w:type="dxa"/>
                  <w:tcBorders>
                    <w:tl2br w:val="nil"/>
                    <w:tr2bl w:val="nil"/>
                  </w:tcBorders>
                  <w:noWrap w:val="0"/>
                  <w:vAlign w:val="center"/>
                </w:tcPr>
                <w:p w14:paraId="7BE25432">
                  <w:pPr>
                    <w:adjustRightInd w:val="0"/>
                    <w:snapToGrid w:val="0"/>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color w:val="auto"/>
                      <w:szCs w:val="21"/>
                      <w:highlight w:val="none"/>
                      <w:u w:val="none"/>
                      <w:lang w:val="en-US" w:eastAsia="zh-CN"/>
                    </w:rPr>
                    <w:t>砂石</w:t>
                  </w:r>
                </w:p>
              </w:tc>
              <w:tc>
                <w:tcPr>
                  <w:tcW w:w="1560" w:type="dxa"/>
                  <w:tcBorders>
                    <w:tl2br w:val="nil"/>
                    <w:tr2bl w:val="nil"/>
                  </w:tcBorders>
                  <w:noWrap w:val="0"/>
                  <w:vAlign w:val="center"/>
                </w:tcPr>
                <w:p w14:paraId="7236F972">
                  <w:pPr>
                    <w:adjustRightInd w:val="0"/>
                    <w:snapToGrid w:val="0"/>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99956.27</w:t>
                  </w:r>
                  <w:r>
                    <w:rPr>
                      <w:rFonts w:hint="default" w:ascii="Times New Roman" w:hAnsi="Times New Roman" w:cs="Times New Roman"/>
                      <w:color w:val="auto"/>
                      <w:szCs w:val="21"/>
                      <w:highlight w:val="none"/>
                      <w:u w:val="none"/>
                      <w:lang w:val="en-US" w:eastAsia="zh-CN"/>
                    </w:rPr>
                    <w:t>吨</w:t>
                  </w:r>
                  <w:r>
                    <w:rPr>
                      <w:rFonts w:hint="eastAsia" w:cs="Times New Roman"/>
                      <w:color w:val="auto"/>
                      <w:szCs w:val="21"/>
                      <w:highlight w:val="none"/>
                      <w:u w:val="none"/>
                      <w:lang w:val="en-US" w:eastAsia="zh-CN"/>
                    </w:rPr>
                    <w:t>（产量约10万吨）</w:t>
                  </w:r>
                </w:p>
              </w:tc>
              <w:tc>
                <w:tcPr>
                  <w:tcW w:w="1658" w:type="dxa"/>
                  <w:tcBorders>
                    <w:tl2br w:val="nil"/>
                    <w:tr2bl w:val="nil"/>
                  </w:tcBorders>
                  <w:noWrap w:val="0"/>
                  <w:vAlign w:val="center"/>
                </w:tcPr>
                <w:p w14:paraId="279EDA7C">
                  <w:pPr>
                    <w:adjustRightInd w:val="0"/>
                    <w:snapToGrid w:val="0"/>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2~5mm</w:t>
                  </w:r>
                </w:p>
              </w:tc>
              <w:tc>
                <w:tcPr>
                  <w:tcW w:w="2695" w:type="dxa"/>
                  <w:vMerge w:val="restart"/>
                  <w:tcBorders>
                    <w:tl2br w:val="nil"/>
                    <w:tr2bl w:val="nil"/>
                  </w:tcBorders>
                  <w:noWrap w:val="0"/>
                  <w:vAlign w:val="center"/>
                </w:tcPr>
                <w:p w14:paraId="37B7819E">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000000"/>
                      <w:szCs w:val="21"/>
                      <w:highlight w:val="none"/>
                      <w:lang w:val="en-US" w:eastAsia="zh-CN"/>
                    </w:rPr>
                    <w:t>外售</w:t>
                  </w:r>
                  <w:r>
                    <w:rPr>
                      <w:rFonts w:hint="eastAsia" w:cs="Times New Roman"/>
                      <w:color w:val="000000"/>
                      <w:szCs w:val="21"/>
                      <w:highlight w:val="none"/>
                      <w:lang w:val="en-US" w:eastAsia="zh-CN"/>
                    </w:rPr>
                    <w:t>，根据订货方要求拉走外运（要进行覆盖遮挡），符合《城市道路工程质量验收规范》（DBJ08-118-2005）</w:t>
                  </w:r>
                </w:p>
              </w:tc>
            </w:tr>
            <w:tr w14:paraId="31EDE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4" w:hRule="atLeast"/>
                <w:jc w:val="center"/>
              </w:trPr>
              <w:tc>
                <w:tcPr>
                  <w:tcW w:w="710" w:type="dxa"/>
                  <w:tcBorders>
                    <w:tl2br w:val="nil"/>
                    <w:tr2bl w:val="nil"/>
                  </w:tcBorders>
                  <w:noWrap w:val="0"/>
                  <w:vAlign w:val="center"/>
                </w:tcPr>
                <w:p w14:paraId="01142BAB">
                  <w:pPr>
                    <w:spacing w:line="276"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w:t>
                  </w:r>
                </w:p>
              </w:tc>
              <w:tc>
                <w:tcPr>
                  <w:tcW w:w="1342" w:type="dxa"/>
                  <w:tcBorders>
                    <w:tl2br w:val="nil"/>
                    <w:tr2bl w:val="nil"/>
                  </w:tcBorders>
                  <w:noWrap w:val="0"/>
                  <w:vAlign w:val="center"/>
                </w:tcPr>
                <w:p w14:paraId="586A792A">
                  <w:pPr>
                    <w:adjustRightInd w:val="0"/>
                    <w:snapToGrid w:val="0"/>
                    <w:jc w:val="center"/>
                    <w:rPr>
                      <w:rFonts w:hint="default" w:ascii="Times New Roman" w:hAnsi="Times New Roman"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水泥稳定土</w:t>
                  </w:r>
                </w:p>
              </w:tc>
              <w:tc>
                <w:tcPr>
                  <w:tcW w:w="1560" w:type="dxa"/>
                  <w:tcBorders>
                    <w:tl2br w:val="nil"/>
                    <w:tr2bl w:val="nil"/>
                  </w:tcBorders>
                  <w:noWrap w:val="0"/>
                  <w:vAlign w:val="center"/>
                </w:tcPr>
                <w:p w14:paraId="193D6E77">
                  <w:pPr>
                    <w:adjustRightInd w:val="0"/>
                    <w:snapToGrid w:val="0"/>
                    <w:jc w:val="center"/>
                    <w:rPr>
                      <w:rFonts w:hint="eastAsia" w:cs="Times New Roman"/>
                      <w:color w:val="auto"/>
                      <w:szCs w:val="21"/>
                      <w:highlight w:val="none"/>
                      <w:u w:val="none"/>
                      <w:lang w:val="en-US" w:eastAsia="zh-CN"/>
                    </w:rPr>
                  </w:pPr>
                  <w:r>
                    <w:rPr>
                      <w:rFonts w:hint="eastAsia" w:cs="Times New Roman"/>
                      <w:color w:val="auto"/>
                      <w:szCs w:val="21"/>
                      <w:highlight w:val="none"/>
                      <w:u w:val="none"/>
                      <w:lang w:val="en-US" w:eastAsia="zh-CN"/>
                    </w:rPr>
                    <w:t>199990.1785吨（产量约20</w:t>
                  </w:r>
                </w:p>
                <w:p w14:paraId="20494F8F">
                  <w:pPr>
                    <w:adjustRightInd w:val="0"/>
                    <w:snapToGrid w:val="0"/>
                    <w:jc w:val="center"/>
                    <w:rPr>
                      <w:rFonts w:hint="default" w:ascii="Times New Roman" w:hAnsi="Times New Roman"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万吨</w:t>
                  </w:r>
                  <w:r>
                    <w:rPr>
                      <w:rFonts w:hint="eastAsia" w:cs="Times New Roman"/>
                      <w:color w:val="auto"/>
                      <w:szCs w:val="21"/>
                      <w:highlight w:val="none"/>
                      <w:u w:val="none"/>
                      <w:lang w:val="en-US" w:eastAsia="zh-CN"/>
                    </w:rPr>
                    <w:t>）</w:t>
                  </w:r>
                </w:p>
              </w:tc>
              <w:tc>
                <w:tcPr>
                  <w:tcW w:w="1658" w:type="dxa"/>
                  <w:tcBorders>
                    <w:tl2br w:val="nil"/>
                    <w:tr2bl w:val="nil"/>
                  </w:tcBorders>
                  <w:noWrap w:val="0"/>
                  <w:vAlign w:val="center"/>
                </w:tcPr>
                <w:p w14:paraId="73AD22EA">
                  <w:pPr>
                    <w:adjustRightInd w:val="0"/>
                    <w:snapToGrid w:val="0"/>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水稳车直接运走（运货量按照甲方需求）</w:t>
                  </w:r>
                </w:p>
              </w:tc>
              <w:tc>
                <w:tcPr>
                  <w:tcW w:w="2695" w:type="dxa"/>
                  <w:vMerge w:val="continue"/>
                  <w:tcBorders>
                    <w:tl2br w:val="nil"/>
                    <w:tr2bl w:val="nil"/>
                  </w:tcBorders>
                  <w:noWrap w:val="0"/>
                  <w:vAlign w:val="center"/>
                </w:tcPr>
                <w:p w14:paraId="2F5B110E">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cs="Times New Roman"/>
                      <w:color w:val="auto"/>
                      <w:szCs w:val="21"/>
                      <w:highlight w:val="none"/>
                      <w:lang w:val="en-US" w:eastAsia="zh-CN"/>
                    </w:rPr>
                  </w:pPr>
                </w:p>
              </w:tc>
            </w:tr>
          </w:tbl>
          <w:p w14:paraId="39DBF184">
            <w:pPr>
              <w:pStyle w:val="35"/>
              <w:keepNext w:val="0"/>
              <w:keepLines w:val="0"/>
              <w:pageBreakBefore w:val="0"/>
              <w:widowControl w:val="0"/>
              <w:kinsoku/>
              <w:wordWrap/>
              <w:overflowPunct/>
              <w:topLinePunct w:val="0"/>
              <w:bidi w:val="0"/>
              <w:snapToGrid/>
              <w:spacing w:line="500" w:lineRule="exact"/>
              <w:textAlignment w:val="auto"/>
              <w:rPr>
                <w:rFonts w:hint="default" w:ascii="Times New Roman" w:hAnsi="Times New Roman" w:eastAsia="宋体" w:cs="Times New Roman"/>
                <w:b/>
                <w:highlight w:val="none"/>
                <w:lang w:eastAsia="zh-CN"/>
              </w:rPr>
            </w:pPr>
            <w:r>
              <w:rPr>
                <w:rFonts w:hint="eastAsia" w:ascii="Times New Roman" w:hAnsi="Times New Roman" w:cs="Times New Roman"/>
                <w:b/>
                <w:highlight w:val="none"/>
                <w:lang w:val="en-US" w:eastAsia="zh-CN"/>
              </w:rPr>
              <w:t>4</w:t>
            </w:r>
            <w:r>
              <w:rPr>
                <w:rFonts w:hint="default" w:ascii="Times New Roman" w:hAnsi="Times New Roman" w:cs="Times New Roman"/>
                <w:b/>
                <w:highlight w:val="none"/>
              </w:rPr>
              <w:t>、原辅材料</w:t>
            </w:r>
            <w:r>
              <w:rPr>
                <w:rFonts w:hint="eastAsia" w:ascii="Times New Roman" w:hAnsi="Times New Roman" w:cs="Times New Roman"/>
                <w:b/>
                <w:highlight w:val="none"/>
                <w:lang w:val="en-US" w:eastAsia="zh-CN"/>
              </w:rPr>
              <w:t>及能源消耗</w:t>
            </w:r>
          </w:p>
          <w:p w14:paraId="791B8B5F">
            <w:pPr>
              <w:pStyle w:val="35"/>
              <w:keepNext w:val="0"/>
              <w:keepLines w:val="0"/>
              <w:pageBreakBefore w:val="0"/>
              <w:widowControl w:val="0"/>
              <w:kinsoku/>
              <w:wordWrap/>
              <w:overflowPunct/>
              <w:topLinePunct w:val="0"/>
              <w:bidi w:val="0"/>
              <w:snapToGrid/>
              <w:spacing w:line="500" w:lineRule="exact"/>
              <w:textAlignment w:val="auto"/>
              <w:rPr>
                <w:rFonts w:hint="eastAsia"/>
                <w:color w:val="000000"/>
                <w:kern w:val="0"/>
                <w:sz w:val="24"/>
                <w:highlight w:val="none"/>
              </w:rPr>
            </w:pPr>
            <w:r>
              <w:rPr>
                <w:rFonts w:hint="default" w:ascii="Times New Roman" w:hAnsi="Times New Roman" w:cs="Times New Roman"/>
                <w:highlight w:val="none"/>
                <w:lang w:eastAsia="zh-CN"/>
              </w:rPr>
              <w:t>（</w:t>
            </w:r>
            <w:r>
              <w:rPr>
                <w:rFonts w:hint="eastAsia" w:ascii="Times New Roman" w:hAnsi="Times New Roman" w:cs="Times New Roman"/>
                <w:highlight w:val="none"/>
                <w:lang w:val="en-US" w:eastAsia="zh-CN"/>
              </w:rPr>
              <w:t>1</w:t>
            </w:r>
            <w:r>
              <w:rPr>
                <w:rFonts w:hint="default" w:ascii="Times New Roman" w:hAnsi="Times New Roman" w:cs="Times New Roman"/>
                <w:highlight w:val="none"/>
                <w:lang w:eastAsia="zh-CN"/>
              </w:rPr>
              <w:t>）原辅材料</w:t>
            </w:r>
            <w:r>
              <w:rPr>
                <w:rFonts w:hint="eastAsia" w:ascii="Times New Roman" w:hAnsi="Times New Roman" w:cs="Times New Roman"/>
                <w:highlight w:val="none"/>
                <w:lang w:val="en-US" w:eastAsia="zh-CN"/>
              </w:rPr>
              <w:t>及能源用量</w:t>
            </w:r>
          </w:p>
          <w:p w14:paraId="1436BE44">
            <w:pPr>
              <w:keepNext w:val="0"/>
              <w:keepLines w:val="0"/>
              <w:pageBreakBefore w:val="0"/>
              <w:widowControl w:val="0"/>
              <w:kinsoku/>
              <w:wordWrap/>
              <w:overflowPunct/>
              <w:topLinePunct w:val="0"/>
              <w:autoSpaceDE w:val="0"/>
              <w:autoSpaceDN w:val="0"/>
              <w:bidi w:val="0"/>
              <w:adjustRightInd w:val="0"/>
              <w:snapToGrid/>
              <w:spacing w:line="500" w:lineRule="exact"/>
              <w:ind w:firstLine="480" w:firstLineChars="200"/>
              <w:jc w:val="left"/>
              <w:textAlignment w:val="auto"/>
              <w:rPr>
                <w:color w:val="000000"/>
                <w:kern w:val="0"/>
                <w:sz w:val="24"/>
                <w:highlight w:val="none"/>
              </w:rPr>
            </w:pPr>
            <w:r>
              <w:rPr>
                <w:rFonts w:hint="eastAsia"/>
                <w:color w:val="000000"/>
                <w:kern w:val="0"/>
                <w:sz w:val="24"/>
                <w:highlight w:val="none"/>
              </w:rPr>
              <w:t>本项目</w:t>
            </w:r>
            <w:r>
              <w:rPr>
                <w:color w:val="000000"/>
                <w:kern w:val="0"/>
                <w:sz w:val="24"/>
                <w:highlight w:val="none"/>
              </w:rPr>
              <w:t>主要原辅材料</w:t>
            </w:r>
            <w:r>
              <w:rPr>
                <w:rFonts w:hint="eastAsia"/>
                <w:color w:val="000000"/>
                <w:kern w:val="0"/>
                <w:sz w:val="24"/>
                <w:highlight w:val="none"/>
              </w:rPr>
              <w:t>及资源</w:t>
            </w:r>
            <w:r>
              <w:rPr>
                <w:color w:val="000000"/>
                <w:kern w:val="0"/>
                <w:sz w:val="24"/>
                <w:highlight w:val="none"/>
              </w:rPr>
              <w:t>能源消耗情况见表</w:t>
            </w:r>
            <w:r>
              <w:rPr>
                <w:rFonts w:hint="eastAsia"/>
                <w:color w:val="000000"/>
                <w:kern w:val="0"/>
                <w:sz w:val="24"/>
                <w:highlight w:val="none"/>
              </w:rPr>
              <w:t>2-</w:t>
            </w:r>
            <w:r>
              <w:rPr>
                <w:rFonts w:hint="eastAsia"/>
                <w:color w:val="000000"/>
                <w:kern w:val="0"/>
                <w:sz w:val="24"/>
                <w:highlight w:val="none"/>
                <w:lang w:val="en-US" w:eastAsia="zh-CN"/>
              </w:rPr>
              <w:t>3</w:t>
            </w:r>
            <w:r>
              <w:rPr>
                <w:rFonts w:hint="eastAsia"/>
                <w:color w:val="000000"/>
                <w:kern w:val="0"/>
                <w:sz w:val="24"/>
                <w:highlight w:val="none"/>
              </w:rPr>
              <w:t>。</w:t>
            </w:r>
          </w:p>
          <w:p w14:paraId="6B89069A">
            <w:pPr>
              <w:keepNext w:val="0"/>
              <w:keepLines w:val="0"/>
              <w:pageBreakBefore w:val="0"/>
              <w:widowControl w:val="0"/>
              <w:tabs>
                <w:tab w:val="left" w:pos="540"/>
              </w:tabs>
              <w:kinsoku/>
              <w:wordWrap/>
              <w:overflowPunct/>
              <w:topLinePunct w:val="0"/>
              <w:bidi w:val="0"/>
              <w:snapToGrid/>
              <w:spacing w:line="500" w:lineRule="exact"/>
              <w:jc w:val="center"/>
              <w:textAlignment w:val="auto"/>
              <w:rPr>
                <w:rFonts w:eastAsia="黑体"/>
                <w:color w:val="000000"/>
                <w:sz w:val="24"/>
                <w:highlight w:val="none"/>
              </w:rPr>
            </w:pPr>
            <w:r>
              <w:rPr>
                <w:rFonts w:eastAsia="黑体"/>
                <w:color w:val="000000"/>
                <w:sz w:val="24"/>
                <w:highlight w:val="none"/>
              </w:rPr>
              <w:t>表</w:t>
            </w:r>
            <w:r>
              <w:rPr>
                <w:rFonts w:hint="eastAsia" w:eastAsia="黑体"/>
                <w:color w:val="000000"/>
                <w:sz w:val="24"/>
                <w:highlight w:val="none"/>
              </w:rPr>
              <w:t>2-</w:t>
            </w:r>
            <w:r>
              <w:rPr>
                <w:rFonts w:hint="eastAsia" w:eastAsia="黑体"/>
                <w:color w:val="000000"/>
                <w:sz w:val="24"/>
                <w:highlight w:val="none"/>
                <w:lang w:val="en-US" w:eastAsia="zh-CN"/>
              </w:rPr>
              <w:t>3</w:t>
            </w:r>
            <w:r>
              <w:rPr>
                <w:rFonts w:eastAsia="黑体"/>
                <w:color w:val="000000"/>
                <w:sz w:val="24"/>
                <w:highlight w:val="none"/>
              </w:rPr>
              <w:t xml:space="preserve">  </w:t>
            </w:r>
            <w:r>
              <w:rPr>
                <w:rFonts w:hint="eastAsia" w:eastAsia="黑体"/>
                <w:color w:val="000000"/>
                <w:sz w:val="24"/>
                <w:highlight w:val="none"/>
              </w:rPr>
              <w:t>本项目</w:t>
            </w:r>
            <w:r>
              <w:rPr>
                <w:rFonts w:eastAsia="黑体"/>
                <w:color w:val="000000"/>
                <w:sz w:val="24"/>
                <w:highlight w:val="none"/>
              </w:rPr>
              <w:t>主要原辅材料</w:t>
            </w:r>
            <w:r>
              <w:rPr>
                <w:rFonts w:hint="eastAsia" w:eastAsia="黑体"/>
                <w:color w:val="000000"/>
                <w:sz w:val="24"/>
                <w:highlight w:val="none"/>
              </w:rPr>
              <w:t>及能源</w:t>
            </w:r>
            <w:r>
              <w:rPr>
                <w:rFonts w:eastAsia="黑体"/>
                <w:color w:val="000000"/>
                <w:sz w:val="24"/>
                <w:highlight w:val="none"/>
              </w:rPr>
              <w:t>消耗量一览表</w:t>
            </w:r>
          </w:p>
          <w:tbl>
            <w:tblPr>
              <w:tblStyle w:val="23"/>
              <w:tblW w:w="5006" w:type="pct"/>
              <w:tblInd w:w="-10" w:type="dxa"/>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Layout w:type="fixed"/>
              <w:tblCellMar>
                <w:top w:w="0" w:type="dxa"/>
                <w:left w:w="108" w:type="dxa"/>
                <w:bottom w:w="0" w:type="dxa"/>
                <w:right w:w="108" w:type="dxa"/>
              </w:tblCellMar>
            </w:tblPr>
            <w:tblGrid>
              <w:gridCol w:w="1180"/>
              <w:gridCol w:w="1199"/>
              <w:gridCol w:w="1542"/>
              <w:gridCol w:w="1590"/>
              <w:gridCol w:w="2507"/>
            </w:tblGrid>
            <w:tr w14:paraId="1DF93726">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530" w:hRule="atLeast"/>
              </w:trPr>
              <w:tc>
                <w:tcPr>
                  <w:tcW w:w="735" w:type="pct"/>
                  <w:tcBorders>
                    <w:tl2br w:val="nil"/>
                    <w:tr2bl w:val="nil"/>
                  </w:tcBorders>
                  <w:noWrap w:val="0"/>
                  <w:vAlign w:val="center"/>
                </w:tcPr>
                <w:p w14:paraId="0E5665F3">
                  <w:pPr>
                    <w:jc w:val="center"/>
                    <w:rPr>
                      <w:rFonts w:hint="default" w:ascii="Times New Roman" w:hAnsi="Times New Roman" w:eastAsia="宋体" w:cs="Times New Roman"/>
                      <w:b/>
                      <w:bCs/>
                      <w:highlight w:val="none"/>
                      <w:lang w:val="en-US" w:eastAsia="zh-CN"/>
                    </w:rPr>
                  </w:pPr>
                  <w:r>
                    <w:rPr>
                      <w:rFonts w:hint="default" w:ascii="Times New Roman" w:hAnsi="Times New Roman" w:cs="Times New Roman"/>
                      <w:b/>
                      <w:bCs/>
                      <w:highlight w:val="none"/>
                      <w:lang w:val="en-US" w:eastAsia="zh-CN"/>
                    </w:rPr>
                    <w:t>种类</w:t>
                  </w:r>
                </w:p>
              </w:tc>
              <w:tc>
                <w:tcPr>
                  <w:tcW w:w="747" w:type="pct"/>
                  <w:tcBorders>
                    <w:tl2br w:val="nil"/>
                    <w:tr2bl w:val="nil"/>
                  </w:tcBorders>
                  <w:noWrap w:val="0"/>
                  <w:vAlign w:val="center"/>
                </w:tcPr>
                <w:p w14:paraId="29C95FE6">
                  <w:pPr>
                    <w:jc w:val="center"/>
                    <w:rPr>
                      <w:rFonts w:hint="default" w:ascii="Times New Roman" w:hAnsi="Times New Roman" w:cs="Times New Roman"/>
                      <w:b/>
                      <w:bCs/>
                      <w:highlight w:val="none"/>
                    </w:rPr>
                  </w:pPr>
                  <w:r>
                    <w:rPr>
                      <w:rFonts w:hint="default" w:ascii="Times New Roman" w:hAnsi="Times New Roman" w:cs="Times New Roman"/>
                      <w:b/>
                      <w:bCs/>
                      <w:highlight w:val="none"/>
                    </w:rPr>
                    <w:t>名称</w:t>
                  </w:r>
                </w:p>
              </w:tc>
              <w:tc>
                <w:tcPr>
                  <w:tcW w:w="961" w:type="pct"/>
                  <w:tcBorders>
                    <w:tl2br w:val="nil"/>
                    <w:tr2bl w:val="nil"/>
                  </w:tcBorders>
                  <w:noWrap w:val="0"/>
                  <w:vAlign w:val="center"/>
                </w:tcPr>
                <w:p w14:paraId="2043F00B">
                  <w:pPr>
                    <w:jc w:val="center"/>
                    <w:rPr>
                      <w:rFonts w:hint="default" w:ascii="Times New Roman" w:hAnsi="Times New Roman" w:cs="Times New Roman"/>
                      <w:b/>
                      <w:bCs/>
                      <w:highlight w:val="none"/>
                    </w:rPr>
                  </w:pPr>
                  <w:r>
                    <w:rPr>
                      <w:rFonts w:hint="default" w:ascii="Times New Roman" w:hAnsi="Times New Roman" w:cs="Times New Roman"/>
                      <w:b/>
                      <w:bCs/>
                      <w:highlight w:val="none"/>
                    </w:rPr>
                    <w:t>年用量</w:t>
                  </w:r>
                </w:p>
              </w:tc>
              <w:tc>
                <w:tcPr>
                  <w:tcW w:w="991" w:type="pct"/>
                  <w:tcBorders>
                    <w:tl2br w:val="nil"/>
                    <w:tr2bl w:val="nil"/>
                  </w:tcBorders>
                  <w:noWrap w:val="0"/>
                  <w:vAlign w:val="center"/>
                </w:tcPr>
                <w:p w14:paraId="1E407E48">
                  <w:pPr>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最大存</w:t>
                  </w:r>
                </w:p>
                <w:p w14:paraId="338C7ED8">
                  <w:pPr>
                    <w:jc w:val="center"/>
                    <w:rPr>
                      <w:rFonts w:hint="default" w:ascii="Times New Roman" w:hAnsi="Times New Roman" w:eastAsia="宋体" w:cs="Times New Roman"/>
                      <w:b/>
                      <w:bCs/>
                      <w:highlight w:val="none"/>
                      <w:lang w:val="en-US" w:eastAsia="zh-CN"/>
                    </w:rPr>
                  </w:pPr>
                  <w:r>
                    <w:rPr>
                      <w:rFonts w:hint="default" w:ascii="Times New Roman" w:hAnsi="Times New Roman" w:cs="Times New Roman"/>
                      <w:b/>
                      <w:bCs/>
                      <w:highlight w:val="none"/>
                      <w:lang w:val="en-US" w:eastAsia="zh-CN"/>
                    </w:rPr>
                    <w:t>储量</w:t>
                  </w:r>
                </w:p>
              </w:tc>
              <w:tc>
                <w:tcPr>
                  <w:tcW w:w="1563" w:type="pct"/>
                  <w:tcBorders>
                    <w:tl2br w:val="nil"/>
                    <w:tr2bl w:val="nil"/>
                  </w:tcBorders>
                  <w:noWrap w:val="0"/>
                  <w:vAlign w:val="center"/>
                </w:tcPr>
                <w:p w14:paraId="7C95CF2E">
                  <w:pPr>
                    <w:jc w:val="center"/>
                    <w:rPr>
                      <w:rFonts w:hint="default" w:ascii="Times New Roman" w:hAnsi="Times New Roman" w:eastAsia="宋体" w:cs="Times New Roman"/>
                      <w:b/>
                      <w:bCs/>
                      <w:highlight w:val="none"/>
                      <w:lang w:val="en-US" w:eastAsia="zh-CN"/>
                    </w:rPr>
                  </w:pPr>
                  <w:r>
                    <w:rPr>
                      <w:rFonts w:hint="default" w:ascii="Times New Roman" w:hAnsi="Times New Roman" w:cs="Times New Roman"/>
                      <w:b/>
                      <w:bCs/>
                      <w:highlight w:val="none"/>
                      <w:lang w:val="en-US" w:eastAsia="zh-CN"/>
                    </w:rPr>
                    <w:t>备注</w:t>
                  </w:r>
                </w:p>
              </w:tc>
            </w:tr>
            <w:tr w14:paraId="6DEE7859">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390" w:hRule="atLeast"/>
              </w:trPr>
              <w:tc>
                <w:tcPr>
                  <w:tcW w:w="735" w:type="pct"/>
                  <w:vMerge w:val="restart"/>
                  <w:tcBorders>
                    <w:tl2br w:val="nil"/>
                    <w:tr2bl w:val="nil"/>
                  </w:tcBorders>
                  <w:noWrap w:val="0"/>
                  <w:vAlign w:val="center"/>
                </w:tcPr>
                <w:p w14:paraId="175F8C63">
                  <w:pPr>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eastAsia="宋体" w:cs="Times New Roman"/>
                      <w:b w:val="0"/>
                      <w:bCs w:val="0"/>
                      <w:highlight w:val="none"/>
                      <w:u w:val="none"/>
                      <w:lang w:val="en-US" w:eastAsia="zh-CN"/>
                    </w:rPr>
                    <w:t>砂石</w:t>
                  </w:r>
                </w:p>
                <w:p w14:paraId="67E1989B">
                  <w:pPr>
                    <w:jc w:val="center"/>
                    <w:rPr>
                      <w:rFonts w:hint="default" w:ascii="Times New Roman" w:hAnsi="Times New Roman" w:eastAsia="宋体" w:cs="Times New Roman"/>
                      <w:b w:val="0"/>
                      <w:bCs w:val="0"/>
                      <w:highlight w:val="none"/>
                      <w:u w:val="none"/>
                      <w:lang w:eastAsia="zh-CN"/>
                    </w:rPr>
                  </w:pPr>
                  <w:r>
                    <w:rPr>
                      <w:rFonts w:hint="default" w:ascii="Times New Roman" w:hAnsi="Times New Roman" w:eastAsia="宋体" w:cs="Times New Roman"/>
                      <w:b w:val="0"/>
                      <w:bCs w:val="0"/>
                      <w:highlight w:val="none"/>
                      <w:u w:val="none"/>
                      <w:lang w:val="en-US" w:eastAsia="zh-CN"/>
                    </w:rPr>
                    <w:t>生产线</w:t>
                  </w:r>
                </w:p>
              </w:tc>
              <w:tc>
                <w:tcPr>
                  <w:tcW w:w="747" w:type="pct"/>
                  <w:tcBorders>
                    <w:tl2br w:val="nil"/>
                    <w:tr2bl w:val="nil"/>
                  </w:tcBorders>
                  <w:noWrap w:val="0"/>
                  <w:vAlign w:val="center"/>
                </w:tcPr>
                <w:p w14:paraId="44955CD4">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废矿</w:t>
                  </w:r>
                  <w:r>
                    <w:rPr>
                      <w:rFonts w:hint="eastAsia" w:cs="Times New Roman"/>
                      <w:b w:val="0"/>
                      <w:bCs w:val="0"/>
                      <w:highlight w:val="none"/>
                      <w:u w:val="none"/>
                      <w:lang w:val="en-US" w:eastAsia="zh-CN"/>
                    </w:rPr>
                    <w:t>石</w:t>
                  </w:r>
                </w:p>
              </w:tc>
              <w:tc>
                <w:tcPr>
                  <w:tcW w:w="961" w:type="pct"/>
                  <w:tcBorders>
                    <w:tl2br w:val="nil"/>
                    <w:tr2bl w:val="nil"/>
                  </w:tcBorders>
                  <w:noWrap w:val="0"/>
                  <w:vAlign w:val="center"/>
                </w:tcPr>
                <w:p w14:paraId="05E39674">
                  <w:pPr>
                    <w:jc w:val="center"/>
                    <w:rPr>
                      <w:rFonts w:hint="default" w:ascii="Times New Roman" w:hAnsi="Times New Roman" w:eastAsia="宋体" w:cs="Times New Roman"/>
                      <w:b w:val="0"/>
                      <w:bCs w:val="0"/>
                      <w:highlight w:val="none"/>
                      <w:u w:val="none"/>
                      <w:lang w:val="en-US" w:eastAsia="zh-CN"/>
                    </w:rPr>
                  </w:pPr>
                  <w:r>
                    <w:rPr>
                      <w:rFonts w:hint="eastAsia" w:cs="Times New Roman"/>
                      <w:b w:val="0"/>
                      <w:bCs w:val="0"/>
                      <w:highlight w:val="none"/>
                      <w:u w:val="none"/>
                      <w:lang w:val="en-US" w:eastAsia="zh-CN"/>
                    </w:rPr>
                    <w:t>5</w:t>
                  </w:r>
                  <w:r>
                    <w:rPr>
                      <w:rFonts w:hint="default" w:ascii="Times New Roman" w:hAnsi="Times New Roman" w:cs="Times New Roman"/>
                      <w:b w:val="0"/>
                      <w:bCs w:val="0"/>
                      <w:highlight w:val="none"/>
                      <w:u w:val="none"/>
                      <w:lang w:val="en-US" w:eastAsia="zh-CN"/>
                    </w:rPr>
                    <w:t>万t/a</w:t>
                  </w:r>
                </w:p>
              </w:tc>
              <w:tc>
                <w:tcPr>
                  <w:tcW w:w="991" w:type="pct"/>
                  <w:tcBorders>
                    <w:tl2br w:val="nil"/>
                    <w:tr2bl w:val="nil"/>
                  </w:tcBorders>
                  <w:noWrap w:val="0"/>
                  <w:vAlign w:val="center"/>
                </w:tcPr>
                <w:p w14:paraId="1EE52A12">
                  <w:pPr>
                    <w:jc w:val="center"/>
                    <w:rPr>
                      <w:rFonts w:hint="default" w:ascii="Times New Roman" w:hAnsi="Times New Roman" w:eastAsia="宋体" w:cs="Times New Roman"/>
                      <w:b w:val="0"/>
                      <w:bCs w:val="0"/>
                      <w:kern w:val="2"/>
                      <w:sz w:val="21"/>
                      <w:szCs w:val="21"/>
                      <w:highlight w:val="none"/>
                      <w:u w:val="single"/>
                      <w:lang w:val="en-US" w:eastAsia="zh-CN" w:bidi="ar-SA"/>
                    </w:rPr>
                  </w:pPr>
                  <w:r>
                    <w:rPr>
                      <w:rFonts w:hint="eastAsia" w:cs="Times New Roman"/>
                      <w:color w:val="auto"/>
                      <w:szCs w:val="21"/>
                      <w:highlight w:val="none"/>
                      <w:lang w:val="en-US" w:eastAsia="zh-CN"/>
                    </w:rPr>
                    <w:t>50</w:t>
                  </w:r>
                  <w:r>
                    <w:rPr>
                      <w:rFonts w:hint="default" w:ascii="Times New Roman" w:hAnsi="Times New Roman" w:eastAsia="宋体" w:cs="Times New Roman"/>
                      <w:color w:val="auto"/>
                      <w:szCs w:val="21"/>
                      <w:highlight w:val="none"/>
                      <w:lang w:val="en-US" w:eastAsia="zh-CN"/>
                    </w:rPr>
                    <w:t>吨</w:t>
                  </w:r>
                </w:p>
              </w:tc>
              <w:tc>
                <w:tcPr>
                  <w:tcW w:w="1563" w:type="pct"/>
                  <w:tcBorders>
                    <w:tl2br w:val="nil"/>
                    <w:tr2bl w:val="nil"/>
                  </w:tcBorders>
                  <w:noWrap w:val="0"/>
                  <w:vAlign w:val="center"/>
                </w:tcPr>
                <w:p w14:paraId="4099CA81">
                  <w:pPr>
                    <w:keepNext w:val="0"/>
                    <w:keepLines w:val="0"/>
                    <w:pageBreakBefore w:val="0"/>
                    <w:widowControl w:val="0"/>
                    <w:kinsoku/>
                    <w:wordWrap w:val="0"/>
                    <w:overflowPunct/>
                    <w:topLinePunct w:val="0"/>
                    <w:autoSpaceDE/>
                    <w:autoSpaceDN/>
                    <w:bidi w:val="0"/>
                    <w:adjustRightInd/>
                    <w:snapToGrid/>
                    <w:jc w:val="center"/>
                    <w:textAlignment w:val="auto"/>
                    <w:rPr>
                      <w:rFonts w:hint="default" w:ascii="Times New Roman" w:hAnsi="Times New Roman" w:cs="Times New Roman"/>
                      <w:b w:val="0"/>
                      <w:bCs w:val="0"/>
                      <w:highlight w:val="none"/>
                      <w:u w:val="single"/>
                      <w:lang w:eastAsia="zh-CN"/>
                    </w:rPr>
                  </w:pPr>
                  <w:r>
                    <w:rPr>
                      <w:rFonts w:hint="default" w:ascii="Times New Roman" w:hAnsi="Times New Roman" w:cs="Times New Roman"/>
                      <w:b w:val="0"/>
                      <w:bCs w:val="0"/>
                      <w:highlight w:val="none"/>
                      <w:lang w:val="en-US" w:eastAsia="zh-CN"/>
                    </w:rPr>
                    <w:t>外购，汽运</w:t>
                  </w:r>
                  <w:r>
                    <w:rPr>
                      <w:rFonts w:hint="default" w:ascii="Times New Roman" w:hAnsi="Times New Roman" w:eastAsia="宋体" w:cs="Times New Roman"/>
                      <w:color w:val="auto"/>
                      <w:szCs w:val="21"/>
                      <w:highlight w:val="none"/>
                      <w:lang w:val="en-US" w:eastAsia="zh-CN"/>
                    </w:rPr>
                    <w:t>，粒径30</w:t>
                  </w:r>
                  <w:r>
                    <w:rPr>
                      <w:rFonts w:hint="eastAsia" w:cs="Times New Roman"/>
                      <w:color w:val="auto"/>
                      <w:szCs w:val="21"/>
                      <w:highlight w:val="none"/>
                      <w:lang w:val="en-US" w:eastAsia="zh-CN"/>
                    </w:rPr>
                    <w:t>~60</w:t>
                  </w:r>
                  <w:r>
                    <w:rPr>
                      <w:rFonts w:hint="default" w:ascii="Times New Roman" w:hAnsi="Times New Roman" w:eastAsia="宋体" w:cs="Times New Roman"/>
                      <w:color w:val="auto"/>
                      <w:szCs w:val="21"/>
                      <w:highlight w:val="none"/>
                      <w:lang w:val="en-US" w:eastAsia="zh-CN"/>
                    </w:rPr>
                    <w:t>cm，在</w:t>
                  </w:r>
                  <w:r>
                    <w:rPr>
                      <w:rFonts w:hint="eastAsia" w:cs="Times New Roman"/>
                      <w:color w:val="auto"/>
                      <w:szCs w:val="21"/>
                      <w:highlight w:val="none"/>
                      <w:lang w:val="en-US" w:eastAsia="zh-CN"/>
                    </w:rPr>
                    <w:t>砂石</w:t>
                  </w:r>
                  <w:r>
                    <w:rPr>
                      <w:rFonts w:hint="default" w:ascii="Times New Roman" w:hAnsi="Times New Roman" w:eastAsia="宋体" w:cs="Times New Roman"/>
                      <w:color w:val="auto"/>
                      <w:szCs w:val="21"/>
                      <w:highlight w:val="none"/>
                      <w:lang w:val="en-US" w:eastAsia="zh-CN"/>
                    </w:rPr>
                    <w:t>原</w:t>
                  </w:r>
                  <w:r>
                    <w:rPr>
                      <w:rFonts w:hint="eastAsia" w:cs="Times New Roman"/>
                      <w:color w:val="auto"/>
                      <w:szCs w:val="21"/>
                      <w:highlight w:val="none"/>
                      <w:lang w:val="en-US" w:eastAsia="zh-CN"/>
                    </w:rPr>
                    <w:t>材料</w:t>
                  </w:r>
                  <w:r>
                    <w:rPr>
                      <w:rFonts w:hint="default" w:ascii="Times New Roman" w:hAnsi="Times New Roman" w:eastAsia="宋体" w:cs="Times New Roman"/>
                      <w:color w:val="auto"/>
                      <w:szCs w:val="21"/>
                      <w:highlight w:val="none"/>
                      <w:lang w:val="en-US" w:eastAsia="zh-CN"/>
                    </w:rPr>
                    <w:t>区存放</w:t>
                  </w:r>
                </w:p>
              </w:tc>
            </w:tr>
            <w:tr w14:paraId="77025CF7">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495" w:hRule="atLeast"/>
              </w:trPr>
              <w:tc>
                <w:tcPr>
                  <w:tcW w:w="735" w:type="pct"/>
                  <w:vMerge w:val="continue"/>
                  <w:tcBorders>
                    <w:tl2br w:val="nil"/>
                    <w:tr2bl w:val="nil"/>
                  </w:tcBorders>
                  <w:noWrap w:val="0"/>
                  <w:vAlign w:val="center"/>
                </w:tcPr>
                <w:p w14:paraId="1A1BC0E1">
                  <w:pPr>
                    <w:jc w:val="center"/>
                    <w:rPr>
                      <w:rFonts w:hint="default" w:ascii="Times New Roman" w:hAnsi="Times New Roman" w:eastAsia="宋体" w:cs="Times New Roman"/>
                      <w:b w:val="0"/>
                      <w:bCs w:val="0"/>
                      <w:highlight w:val="none"/>
                      <w:u w:val="none"/>
                      <w:lang w:val="en-US" w:eastAsia="zh-CN"/>
                    </w:rPr>
                  </w:pPr>
                </w:p>
              </w:tc>
              <w:tc>
                <w:tcPr>
                  <w:tcW w:w="747" w:type="pct"/>
                  <w:tcBorders>
                    <w:tl2br w:val="nil"/>
                    <w:tr2bl w:val="nil"/>
                  </w:tcBorders>
                  <w:noWrap w:val="0"/>
                  <w:vAlign w:val="center"/>
                </w:tcPr>
                <w:p w14:paraId="556D506E">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建筑垃圾</w:t>
                  </w:r>
                  <w:r>
                    <w:rPr>
                      <w:rFonts w:hint="eastAsia" w:cs="Times New Roman"/>
                      <w:b w:val="0"/>
                      <w:bCs w:val="0"/>
                      <w:highlight w:val="none"/>
                      <w:u w:val="none"/>
                      <w:lang w:val="en-US" w:eastAsia="zh-CN"/>
                    </w:rPr>
                    <w:t>（民用）</w:t>
                  </w:r>
                </w:p>
              </w:tc>
              <w:tc>
                <w:tcPr>
                  <w:tcW w:w="961" w:type="pct"/>
                  <w:tcBorders>
                    <w:tl2br w:val="nil"/>
                    <w:tr2bl w:val="nil"/>
                  </w:tcBorders>
                  <w:noWrap w:val="0"/>
                  <w:vAlign w:val="center"/>
                </w:tcPr>
                <w:p w14:paraId="719B2CAE">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5万t/a</w:t>
                  </w:r>
                </w:p>
              </w:tc>
              <w:tc>
                <w:tcPr>
                  <w:tcW w:w="991" w:type="pct"/>
                  <w:tcBorders>
                    <w:tl2br w:val="nil"/>
                    <w:tr2bl w:val="nil"/>
                  </w:tcBorders>
                  <w:noWrap w:val="0"/>
                  <w:vAlign w:val="center"/>
                </w:tcPr>
                <w:p w14:paraId="257018E9">
                  <w:pPr>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color w:val="auto"/>
                      <w:szCs w:val="21"/>
                      <w:highlight w:val="none"/>
                      <w:lang w:val="en-US" w:eastAsia="zh-CN"/>
                    </w:rPr>
                    <w:t>50</w:t>
                  </w:r>
                  <w:r>
                    <w:rPr>
                      <w:rFonts w:hint="default" w:ascii="Times New Roman" w:hAnsi="Times New Roman" w:eastAsia="宋体" w:cs="Times New Roman"/>
                      <w:color w:val="auto"/>
                      <w:szCs w:val="21"/>
                      <w:highlight w:val="none"/>
                      <w:lang w:val="en-US" w:eastAsia="zh-CN"/>
                    </w:rPr>
                    <w:t>吨</w:t>
                  </w:r>
                </w:p>
              </w:tc>
              <w:tc>
                <w:tcPr>
                  <w:tcW w:w="1563" w:type="pct"/>
                  <w:tcBorders>
                    <w:tl2br w:val="nil"/>
                    <w:tr2bl w:val="nil"/>
                  </w:tcBorders>
                  <w:noWrap w:val="0"/>
                  <w:vAlign w:val="center"/>
                </w:tcPr>
                <w:p w14:paraId="09E8057B">
                  <w:pPr>
                    <w:jc w:val="center"/>
                    <w:rPr>
                      <w:rFonts w:hint="default" w:ascii="Times New Roman" w:hAnsi="Times New Roman" w:cs="Times New Roman"/>
                      <w:b w:val="0"/>
                      <w:bCs w:val="0"/>
                      <w:highlight w:val="none"/>
                      <w:lang w:eastAsia="zh-CN"/>
                    </w:rPr>
                  </w:pPr>
                  <w:r>
                    <w:rPr>
                      <w:rFonts w:hint="default" w:ascii="Times New Roman" w:hAnsi="Times New Roman" w:cs="Times New Roman"/>
                      <w:b w:val="0"/>
                      <w:bCs w:val="0"/>
                      <w:highlight w:val="none"/>
                      <w:lang w:val="en-US" w:eastAsia="zh-CN"/>
                    </w:rPr>
                    <w:t>外购，汽运，</w:t>
                  </w:r>
                  <w:r>
                    <w:rPr>
                      <w:rFonts w:hint="default" w:ascii="Times New Roman" w:hAnsi="Times New Roman" w:eastAsia="宋体" w:cs="Times New Roman"/>
                      <w:color w:val="auto"/>
                      <w:szCs w:val="21"/>
                      <w:highlight w:val="none"/>
                      <w:lang w:val="en-US" w:eastAsia="zh-CN"/>
                    </w:rPr>
                    <w:t>粒径</w:t>
                  </w:r>
                  <w:r>
                    <w:rPr>
                      <w:rFonts w:hint="eastAsia" w:ascii="Times New Roman" w:hAnsi="Times New Roman" w:cs="Times New Roman"/>
                      <w:color w:val="auto"/>
                      <w:szCs w:val="21"/>
                      <w:highlight w:val="none"/>
                      <w:lang w:val="en-US" w:eastAsia="zh-CN"/>
                    </w:rPr>
                    <w:t>4</w:t>
                  </w:r>
                  <w:r>
                    <w:rPr>
                      <w:rFonts w:hint="default" w:ascii="Times New Roman" w:hAnsi="Times New Roman" w:eastAsia="宋体" w:cs="Times New Roman"/>
                      <w:color w:val="auto"/>
                      <w:szCs w:val="21"/>
                      <w:highlight w:val="none"/>
                      <w:lang w:val="en-US" w:eastAsia="zh-CN"/>
                    </w:rPr>
                    <w:t>0</w:t>
                  </w:r>
                  <w:r>
                    <w:rPr>
                      <w:rFonts w:hint="eastAsia" w:cs="Times New Roman"/>
                      <w:color w:val="auto"/>
                      <w:szCs w:val="21"/>
                      <w:highlight w:val="none"/>
                      <w:lang w:val="en-US" w:eastAsia="zh-CN"/>
                    </w:rPr>
                    <w:t>~90</w:t>
                  </w:r>
                  <w:r>
                    <w:rPr>
                      <w:rFonts w:hint="default" w:ascii="Times New Roman" w:hAnsi="Times New Roman" w:eastAsia="宋体" w:cs="Times New Roman"/>
                      <w:color w:val="auto"/>
                      <w:szCs w:val="21"/>
                      <w:highlight w:val="none"/>
                      <w:lang w:val="en-US" w:eastAsia="zh-CN"/>
                    </w:rPr>
                    <w:t>cm在</w:t>
                  </w:r>
                  <w:r>
                    <w:rPr>
                      <w:rFonts w:hint="eastAsia" w:cs="Times New Roman"/>
                      <w:color w:val="auto"/>
                      <w:szCs w:val="21"/>
                      <w:highlight w:val="none"/>
                      <w:lang w:val="en-US" w:eastAsia="zh-CN"/>
                    </w:rPr>
                    <w:t>砂石</w:t>
                  </w:r>
                  <w:r>
                    <w:rPr>
                      <w:rFonts w:hint="default" w:ascii="Times New Roman" w:hAnsi="Times New Roman" w:eastAsia="宋体" w:cs="Times New Roman"/>
                      <w:color w:val="auto"/>
                      <w:szCs w:val="21"/>
                      <w:highlight w:val="none"/>
                      <w:lang w:val="en-US" w:eastAsia="zh-CN"/>
                    </w:rPr>
                    <w:t>原</w:t>
                  </w:r>
                  <w:r>
                    <w:rPr>
                      <w:rFonts w:hint="eastAsia" w:cs="Times New Roman"/>
                      <w:color w:val="auto"/>
                      <w:szCs w:val="21"/>
                      <w:highlight w:val="none"/>
                      <w:lang w:val="en-US" w:eastAsia="zh-CN"/>
                    </w:rPr>
                    <w:t>材料</w:t>
                  </w:r>
                  <w:r>
                    <w:rPr>
                      <w:rFonts w:hint="default" w:ascii="Times New Roman" w:hAnsi="Times New Roman" w:eastAsia="宋体" w:cs="Times New Roman"/>
                      <w:color w:val="auto"/>
                      <w:szCs w:val="21"/>
                      <w:highlight w:val="none"/>
                      <w:lang w:val="en-US" w:eastAsia="zh-CN"/>
                    </w:rPr>
                    <w:t>区存放</w:t>
                  </w:r>
                </w:p>
              </w:tc>
            </w:tr>
            <w:tr w14:paraId="2C3DA1C6">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507" w:hRule="atLeast"/>
              </w:trPr>
              <w:tc>
                <w:tcPr>
                  <w:tcW w:w="735" w:type="pct"/>
                  <w:vMerge w:val="restart"/>
                  <w:tcBorders>
                    <w:tl2br w:val="nil"/>
                    <w:tr2bl w:val="nil"/>
                  </w:tcBorders>
                  <w:noWrap w:val="0"/>
                  <w:vAlign w:val="center"/>
                </w:tcPr>
                <w:p w14:paraId="2F65C7EE">
                  <w:pPr>
                    <w:jc w:val="cente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水泥稳定土生产线</w:t>
                  </w:r>
                </w:p>
              </w:tc>
              <w:tc>
                <w:tcPr>
                  <w:tcW w:w="747" w:type="pct"/>
                  <w:tcBorders>
                    <w:tl2br w:val="nil"/>
                    <w:tr2bl w:val="nil"/>
                  </w:tcBorders>
                  <w:noWrap w:val="0"/>
                  <w:vAlign w:val="center"/>
                </w:tcPr>
                <w:p w14:paraId="4AD73967">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水泥</w:t>
                  </w:r>
                </w:p>
              </w:tc>
              <w:tc>
                <w:tcPr>
                  <w:tcW w:w="961" w:type="pct"/>
                  <w:tcBorders>
                    <w:tl2br w:val="nil"/>
                    <w:tr2bl w:val="nil"/>
                  </w:tcBorders>
                  <w:noWrap w:val="0"/>
                  <w:vAlign w:val="center"/>
                </w:tcPr>
                <w:p w14:paraId="5B2357F6">
                  <w:pPr>
                    <w:jc w:val="center"/>
                    <w:rPr>
                      <w:rFonts w:hint="default" w:ascii="Times New Roman" w:hAnsi="Times New Roman" w:cs="Times New Roman"/>
                      <w:b w:val="0"/>
                      <w:bCs w:val="0"/>
                      <w:highlight w:val="none"/>
                      <w:u w:val="none"/>
                      <w:lang w:val="en-US" w:eastAsia="zh-CN"/>
                    </w:rPr>
                  </w:pPr>
                  <w:r>
                    <w:rPr>
                      <w:rFonts w:hint="eastAsia" w:cs="Times New Roman"/>
                      <w:b w:val="0"/>
                      <w:bCs w:val="0"/>
                      <w:highlight w:val="none"/>
                      <w:u w:val="none"/>
                      <w:lang w:val="en-US" w:eastAsia="zh-CN"/>
                    </w:rPr>
                    <w:t>6</w:t>
                  </w:r>
                  <w:r>
                    <w:rPr>
                      <w:rFonts w:hint="default" w:ascii="Times New Roman" w:hAnsi="Times New Roman" w:cs="Times New Roman"/>
                      <w:b w:val="0"/>
                      <w:bCs w:val="0"/>
                      <w:highlight w:val="none"/>
                      <w:u w:val="none"/>
                      <w:lang w:val="en-US" w:eastAsia="zh-CN"/>
                    </w:rPr>
                    <w:t>万t/a</w:t>
                  </w:r>
                </w:p>
              </w:tc>
              <w:tc>
                <w:tcPr>
                  <w:tcW w:w="991" w:type="pct"/>
                  <w:tcBorders>
                    <w:tl2br w:val="nil"/>
                    <w:tr2bl w:val="nil"/>
                  </w:tcBorders>
                  <w:noWrap w:val="0"/>
                  <w:vAlign w:val="center"/>
                </w:tcPr>
                <w:p w14:paraId="5FE8CC14">
                  <w:pPr>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color w:val="auto"/>
                      <w:szCs w:val="21"/>
                      <w:highlight w:val="none"/>
                      <w:lang w:val="en-US" w:eastAsia="zh-CN"/>
                    </w:rPr>
                    <w:t>100</w:t>
                  </w:r>
                  <w:r>
                    <w:rPr>
                      <w:rFonts w:hint="default" w:ascii="Times New Roman" w:hAnsi="Times New Roman" w:eastAsia="宋体" w:cs="Times New Roman"/>
                      <w:color w:val="auto"/>
                      <w:szCs w:val="21"/>
                      <w:highlight w:val="none"/>
                      <w:lang w:val="en-US" w:eastAsia="zh-CN"/>
                    </w:rPr>
                    <w:t>吨</w:t>
                  </w:r>
                </w:p>
              </w:tc>
              <w:tc>
                <w:tcPr>
                  <w:tcW w:w="1563" w:type="pct"/>
                  <w:vMerge w:val="restart"/>
                  <w:tcBorders>
                    <w:tl2br w:val="nil"/>
                    <w:tr2bl w:val="nil"/>
                  </w:tcBorders>
                  <w:noWrap w:val="0"/>
                  <w:vAlign w:val="center"/>
                </w:tcPr>
                <w:p w14:paraId="5AA42595">
                  <w:pPr>
                    <w:jc w:val="cente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外购（为单一固定原料种类，不规定粒径），汽运，</w:t>
                  </w:r>
                  <w:r>
                    <w:rPr>
                      <w:rFonts w:hint="eastAsia" w:cs="Times New Roman"/>
                      <w:b w:val="0"/>
                      <w:bCs w:val="0"/>
                      <w:highlight w:val="none"/>
                      <w:lang w:val="en-US" w:eastAsia="zh-CN"/>
                    </w:rPr>
                    <w:t>水泥由罐车直接运入水泥筒仓，其他原料</w:t>
                  </w:r>
                  <w:r>
                    <w:rPr>
                      <w:rFonts w:hint="default" w:ascii="Times New Roman" w:hAnsi="Times New Roman" w:eastAsia="宋体" w:cs="Times New Roman"/>
                      <w:color w:val="auto"/>
                      <w:szCs w:val="21"/>
                      <w:highlight w:val="none"/>
                      <w:lang w:val="en-US" w:eastAsia="zh-CN"/>
                    </w:rPr>
                    <w:t>在</w:t>
                  </w:r>
                  <w:r>
                    <w:rPr>
                      <w:rFonts w:hint="eastAsia" w:cs="Times New Roman"/>
                      <w:color w:val="auto"/>
                      <w:szCs w:val="21"/>
                      <w:highlight w:val="none"/>
                      <w:lang w:val="en-US" w:eastAsia="zh-CN"/>
                    </w:rPr>
                    <w:t>稳定土</w:t>
                  </w:r>
                  <w:r>
                    <w:rPr>
                      <w:rFonts w:hint="default" w:ascii="Times New Roman" w:hAnsi="Times New Roman" w:eastAsia="宋体" w:cs="Times New Roman"/>
                      <w:color w:val="auto"/>
                      <w:szCs w:val="21"/>
                      <w:highlight w:val="none"/>
                      <w:lang w:val="en-US" w:eastAsia="zh-CN"/>
                    </w:rPr>
                    <w:t>原</w:t>
                  </w:r>
                  <w:r>
                    <w:rPr>
                      <w:rFonts w:hint="eastAsia" w:cs="Times New Roman"/>
                      <w:color w:val="auto"/>
                      <w:szCs w:val="21"/>
                      <w:highlight w:val="none"/>
                      <w:lang w:val="en-US" w:eastAsia="zh-CN"/>
                    </w:rPr>
                    <w:t>材料</w:t>
                  </w:r>
                  <w:r>
                    <w:rPr>
                      <w:rFonts w:hint="default" w:ascii="Times New Roman" w:hAnsi="Times New Roman" w:eastAsia="宋体" w:cs="Times New Roman"/>
                      <w:color w:val="auto"/>
                      <w:szCs w:val="21"/>
                      <w:highlight w:val="none"/>
                      <w:lang w:val="en-US" w:eastAsia="zh-CN"/>
                    </w:rPr>
                    <w:t>区存放</w:t>
                  </w:r>
                </w:p>
              </w:tc>
            </w:tr>
            <w:tr w14:paraId="6704F0DB">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406" w:hRule="atLeast"/>
              </w:trPr>
              <w:tc>
                <w:tcPr>
                  <w:tcW w:w="735" w:type="pct"/>
                  <w:vMerge w:val="continue"/>
                  <w:tcBorders>
                    <w:tl2br w:val="nil"/>
                    <w:tr2bl w:val="nil"/>
                  </w:tcBorders>
                  <w:noWrap w:val="0"/>
                  <w:vAlign w:val="center"/>
                </w:tcPr>
                <w:p w14:paraId="6D09708E">
                  <w:pPr>
                    <w:jc w:val="center"/>
                    <w:rPr>
                      <w:rFonts w:hint="default" w:ascii="Times New Roman" w:hAnsi="Times New Roman" w:cs="Times New Roman"/>
                      <w:b w:val="0"/>
                      <w:bCs w:val="0"/>
                      <w:highlight w:val="none"/>
                      <w:lang w:val="en-US" w:eastAsia="zh-CN"/>
                    </w:rPr>
                  </w:pPr>
                </w:p>
              </w:tc>
              <w:tc>
                <w:tcPr>
                  <w:tcW w:w="747" w:type="pct"/>
                  <w:tcBorders>
                    <w:tl2br w:val="nil"/>
                    <w:tr2bl w:val="nil"/>
                  </w:tcBorders>
                  <w:noWrap w:val="0"/>
                  <w:vAlign w:val="center"/>
                </w:tcPr>
                <w:p w14:paraId="52762153">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石子</w:t>
                  </w:r>
                </w:p>
              </w:tc>
              <w:tc>
                <w:tcPr>
                  <w:tcW w:w="961" w:type="pct"/>
                  <w:tcBorders>
                    <w:tl2br w:val="nil"/>
                    <w:tr2bl w:val="nil"/>
                  </w:tcBorders>
                  <w:noWrap w:val="0"/>
                  <w:vAlign w:val="center"/>
                </w:tcPr>
                <w:p w14:paraId="539B7668">
                  <w:pPr>
                    <w:jc w:val="center"/>
                    <w:rPr>
                      <w:rFonts w:hint="default" w:ascii="Times New Roman" w:hAnsi="Times New Roman" w:cs="Times New Roman"/>
                      <w:b w:val="0"/>
                      <w:bCs w:val="0"/>
                      <w:highlight w:val="none"/>
                      <w:u w:val="none"/>
                      <w:lang w:val="en-US" w:eastAsia="zh-CN"/>
                    </w:rPr>
                  </w:pPr>
                  <w:r>
                    <w:rPr>
                      <w:rFonts w:hint="eastAsia" w:cs="Times New Roman"/>
                      <w:b w:val="0"/>
                      <w:bCs w:val="0"/>
                      <w:highlight w:val="none"/>
                      <w:u w:val="none"/>
                      <w:lang w:val="en-US" w:eastAsia="zh-CN"/>
                    </w:rPr>
                    <w:t>6</w:t>
                  </w:r>
                  <w:r>
                    <w:rPr>
                      <w:rFonts w:hint="default" w:ascii="Times New Roman" w:hAnsi="Times New Roman" w:cs="Times New Roman"/>
                      <w:b w:val="0"/>
                      <w:bCs w:val="0"/>
                      <w:highlight w:val="none"/>
                      <w:u w:val="none"/>
                      <w:lang w:val="en-US" w:eastAsia="zh-CN"/>
                    </w:rPr>
                    <w:t>万t/a</w:t>
                  </w:r>
                </w:p>
              </w:tc>
              <w:tc>
                <w:tcPr>
                  <w:tcW w:w="991" w:type="pct"/>
                  <w:tcBorders>
                    <w:tl2br w:val="nil"/>
                    <w:tr2bl w:val="nil"/>
                  </w:tcBorders>
                  <w:noWrap w:val="0"/>
                  <w:vAlign w:val="center"/>
                </w:tcPr>
                <w:p w14:paraId="47511705">
                  <w:pPr>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color w:val="auto"/>
                      <w:szCs w:val="21"/>
                      <w:highlight w:val="none"/>
                      <w:lang w:val="en-US" w:eastAsia="zh-CN"/>
                    </w:rPr>
                    <w:t>50</w:t>
                  </w:r>
                  <w:r>
                    <w:rPr>
                      <w:rFonts w:hint="default" w:ascii="Times New Roman" w:hAnsi="Times New Roman" w:eastAsia="宋体" w:cs="Times New Roman"/>
                      <w:color w:val="auto"/>
                      <w:szCs w:val="21"/>
                      <w:highlight w:val="none"/>
                      <w:lang w:val="en-US" w:eastAsia="zh-CN"/>
                    </w:rPr>
                    <w:t>吨</w:t>
                  </w:r>
                </w:p>
              </w:tc>
              <w:tc>
                <w:tcPr>
                  <w:tcW w:w="1563" w:type="pct"/>
                  <w:vMerge w:val="continue"/>
                  <w:tcBorders>
                    <w:tl2br w:val="nil"/>
                    <w:tr2bl w:val="nil"/>
                  </w:tcBorders>
                  <w:noWrap w:val="0"/>
                  <w:vAlign w:val="center"/>
                </w:tcPr>
                <w:p w14:paraId="13DEBD66">
                  <w:pPr>
                    <w:jc w:val="center"/>
                    <w:rPr>
                      <w:rFonts w:hint="default" w:ascii="Times New Roman" w:hAnsi="Times New Roman" w:cs="Times New Roman"/>
                      <w:b w:val="0"/>
                      <w:bCs w:val="0"/>
                      <w:highlight w:val="none"/>
                      <w:lang w:eastAsia="zh-CN"/>
                    </w:rPr>
                  </w:pPr>
                </w:p>
              </w:tc>
            </w:tr>
            <w:tr w14:paraId="5F95545F">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394" w:hRule="atLeast"/>
              </w:trPr>
              <w:tc>
                <w:tcPr>
                  <w:tcW w:w="735" w:type="pct"/>
                  <w:vMerge w:val="continue"/>
                  <w:tcBorders>
                    <w:tl2br w:val="nil"/>
                    <w:tr2bl w:val="nil"/>
                  </w:tcBorders>
                  <w:noWrap w:val="0"/>
                  <w:vAlign w:val="center"/>
                </w:tcPr>
                <w:p w14:paraId="3818FC93">
                  <w:pPr>
                    <w:jc w:val="center"/>
                    <w:rPr>
                      <w:rFonts w:hint="default" w:ascii="Times New Roman" w:hAnsi="Times New Roman" w:cs="Times New Roman"/>
                      <w:b w:val="0"/>
                      <w:bCs w:val="0"/>
                      <w:highlight w:val="none"/>
                      <w:lang w:val="en-US" w:eastAsia="zh-CN"/>
                    </w:rPr>
                  </w:pPr>
                </w:p>
              </w:tc>
              <w:tc>
                <w:tcPr>
                  <w:tcW w:w="747" w:type="pct"/>
                  <w:tcBorders>
                    <w:tl2br w:val="nil"/>
                    <w:tr2bl w:val="nil"/>
                  </w:tcBorders>
                  <w:noWrap w:val="0"/>
                  <w:vAlign w:val="center"/>
                </w:tcPr>
                <w:p w14:paraId="1461F033">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沙</w:t>
                  </w:r>
                </w:p>
              </w:tc>
              <w:tc>
                <w:tcPr>
                  <w:tcW w:w="961" w:type="pct"/>
                  <w:tcBorders>
                    <w:tl2br w:val="nil"/>
                    <w:tr2bl w:val="nil"/>
                  </w:tcBorders>
                  <w:noWrap w:val="0"/>
                  <w:vAlign w:val="center"/>
                </w:tcPr>
                <w:p w14:paraId="1D82220D">
                  <w:pPr>
                    <w:jc w:val="center"/>
                    <w:rPr>
                      <w:rFonts w:hint="default" w:ascii="Times New Roman" w:hAnsi="Times New Roman" w:cs="Times New Roman"/>
                      <w:b w:val="0"/>
                      <w:bCs w:val="0"/>
                      <w:highlight w:val="none"/>
                      <w:u w:val="none"/>
                      <w:lang w:val="en-US" w:eastAsia="zh-CN"/>
                    </w:rPr>
                  </w:pPr>
                  <w:r>
                    <w:rPr>
                      <w:rFonts w:hint="eastAsia" w:cs="Times New Roman"/>
                      <w:b w:val="0"/>
                      <w:bCs w:val="0"/>
                      <w:highlight w:val="none"/>
                      <w:u w:val="none"/>
                      <w:lang w:val="en-US" w:eastAsia="zh-CN"/>
                    </w:rPr>
                    <w:t>4</w:t>
                  </w:r>
                  <w:r>
                    <w:rPr>
                      <w:rFonts w:hint="default" w:ascii="Times New Roman" w:hAnsi="Times New Roman" w:cs="Times New Roman"/>
                      <w:b w:val="0"/>
                      <w:bCs w:val="0"/>
                      <w:highlight w:val="none"/>
                      <w:u w:val="none"/>
                      <w:lang w:val="en-US" w:eastAsia="zh-CN"/>
                    </w:rPr>
                    <w:t>万t/a</w:t>
                  </w:r>
                </w:p>
              </w:tc>
              <w:tc>
                <w:tcPr>
                  <w:tcW w:w="991" w:type="pct"/>
                  <w:tcBorders>
                    <w:tl2br w:val="nil"/>
                    <w:tr2bl w:val="nil"/>
                  </w:tcBorders>
                  <w:noWrap w:val="0"/>
                  <w:vAlign w:val="center"/>
                </w:tcPr>
                <w:p w14:paraId="7B62A4BC">
                  <w:pPr>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color w:val="auto"/>
                      <w:szCs w:val="21"/>
                      <w:highlight w:val="none"/>
                      <w:lang w:val="en-US" w:eastAsia="zh-CN"/>
                    </w:rPr>
                    <w:t>50</w:t>
                  </w:r>
                  <w:r>
                    <w:rPr>
                      <w:rFonts w:hint="default" w:ascii="Times New Roman" w:hAnsi="Times New Roman" w:eastAsia="宋体" w:cs="Times New Roman"/>
                      <w:color w:val="auto"/>
                      <w:szCs w:val="21"/>
                      <w:highlight w:val="none"/>
                      <w:lang w:val="en-US" w:eastAsia="zh-CN"/>
                    </w:rPr>
                    <w:t>吨</w:t>
                  </w:r>
                </w:p>
              </w:tc>
              <w:tc>
                <w:tcPr>
                  <w:tcW w:w="1563" w:type="pct"/>
                  <w:vMerge w:val="continue"/>
                  <w:tcBorders>
                    <w:tl2br w:val="nil"/>
                    <w:tr2bl w:val="nil"/>
                  </w:tcBorders>
                  <w:noWrap w:val="0"/>
                  <w:vAlign w:val="center"/>
                </w:tcPr>
                <w:p w14:paraId="7FCE49C7">
                  <w:pPr>
                    <w:jc w:val="center"/>
                    <w:rPr>
                      <w:rFonts w:hint="default" w:ascii="Times New Roman" w:hAnsi="Times New Roman" w:cs="Times New Roman"/>
                      <w:b w:val="0"/>
                      <w:bCs w:val="0"/>
                      <w:highlight w:val="none"/>
                      <w:lang w:eastAsia="zh-CN"/>
                    </w:rPr>
                  </w:pPr>
                </w:p>
              </w:tc>
            </w:tr>
            <w:tr w14:paraId="6564E90E">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382" w:hRule="atLeast"/>
              </w:trPr>
              <w:tc>
                <w:tcPr>
                  <w:tcW w:w="735" w:type="pct"/>
                  <w:vMerge w:val="continue"/>
                  <w:tcBorders>
                    <w:tl2br w:val="nil"/>
                    <w:tr2bl w:val="nil"/>
                  </w:tcBorders>
                  <w:noWrap w:val="0"/>
                  <w:vAlign w:val="center"/>
                </w:tcPr>
                <w:p w14:paraId="49BBBD8E">
                  <w:pPr>
                    <w:jc w:val="center"/>
                    <w:rPr>
                      <w:rFonts w:hint="default" w:ascii="Times New Roman" w:hAnsi="Times New Roman" w:cs="Times New Roman"/>
                      <w:b w:val="0"/>
                      <w:bCs w:val="0"/>
                      <w:highlight w:val="none"/>
                      <w:lang w:val="en-US" w:eastAsia="zh-CN"/>
                    </w:rPr>
                  </w:pPr>
                </w:p>
              </w:tc>
              <w:tc>
                <w:tcPr>
                  <w:tcW w:w="747" w:type="pct"/>
                  <w:tcBorders>
                    <w:tl2br w:val="nil"/>
                    <w:tr2bl w:val="nil"/>
                  </w:tcBorders>
                  <w:noWrap w:val="0"/>
                  <w:vAlign w:val="center"/>
                </w:tcPr>
                <w:p w14:paraId="6A85DFA5">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石粉</w:t>
                  </w:r>
                </w:p>
              </w:tc>
              <w:tc>
                <w:tcPr>
                  <w:tcW w:w="961" w:type="pct"/>
                  <w:tcBorders>
                    <w:tl2br w:val="nil"/>
                    <w:tr2bl w:val="nil"/>
                  </w:tcBorders>
                  <w:noWrap w:val="0"/>
                  <w:vAlign w:val="center"/>
                </w:tcPr>
                <w:p w14:paraId="2C7527C6">
                  <w:pPr>
                    <w:jc w:val="center"/>
                    <w:rPr>
                      <w:rFonts w:hint="default" w:ascii="Times New Roman" w:hAnsi="Times New Roman" w:cs="Times New Roman"/>
                      <w:b w:val="0"/>
                      <w:bCs w:val="0"/>
                      <w:highlight w:val="none"/>
                      <w:u w:val="none"/>
                      <w:lang w:val="en-US" w:eastAsia="zh-CN"/>
                    </w:rPr>
                  </w:pPr>
                  <w:r>
                    <w:rPr>
                      <w:rFonts w:hint="eastAsia" w:cs="Times New Roman"/>
                      <w:b w:val="0"/>
                      <w:bCs w:val="0"/>
                      <w:highlight w:val="none"/>
                      <w:u w:val="none"/>
                      <w:lang w:val="en-US" w:eastAsia="zh-CN"/>
                    </w:rPr>
                    <w:t>4</w:t>
                  </w:r>
                  <w:r>
                    <w:rPr>
                      <w:rFonts w:hint="default" w:ascii="Times New Roman" w:hAnsi="Times New Roman" w:cs="Times New Roman"/>
                      <w:b w:val="0"/>
                      <w:bCs w:val="0"/>
                      <w:highlight w:val="none"/>
                      <w:u w:val="none"/>
                      <w:lang w:val="en-US" w:eastAsia="zh-CN"/>
                    </w:rPr>
                    <w:t>万t/a</w:t>
                  </w:r>
                </w:p>
              </w:tc>
              <w:tc>
                <w:tcPr>
                  <w:tcW w:w="991" w:type="pct"/>
                  <w:tcBorders>
                    <w:tl2br w:val="nil"/>
                    <w:tr2bl w:val="nil"/>
                  </w:tcBorders>
                  <w:noWrap w:val="0"/>
                  <w:vAlign w:val="center"/>
                </w:tcPr>
                <w:p w14:paraId="6C3A2649">
                  <w:pPr>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color w:val="auto"/>
                      <w:szCs w:val="21"/>
                      <w:highlight w:val="none"/>
                      <w:lang w:val="en-US" w:eastAsia="zh-CN"/>
                    </w:rPr>
                    <w:t>50</w:t>
                  </w:r>
                  <w:r>
                    <w:rPr>
                      <w:rFonts w:hint="default" w:ascii="Times New Roman" w:hAnsi="Times New Roman" w:eastAsia="宋体" w:cs="Times New Roman"/>
                      <w:color w:val="auto"/>
                      <w:szCs w:val="21"/>
                      <w:highlight w:val="none"/>
                      <w:lang w:val="en-US" w:eastAsia="zh-CN"/>
                    </w:rPr>
                    <w:t>吨</w:t>
                  </w:r>
                </w:p>
              </w:tc>
              <w:tc>
                <w:tcPr>
                  <w:tcW w:w="1563" w:type="pct"/>
                  <w:vMerge w:val="continue"/>
                  <w:tcBorders>
                    <w:tl2br w:val="nil"/>
                    <w:tr2bl w:val="nil"/>
                  </w:tcBorders>
                  <w:noWrap w:val="0"/>
                  <w:vAlign w:val="center"/>
                </w:tcPr>
                <w:p w14:paraId="116BA98F">
                  <w:pPr>
                    <w:jc w:val="center"/>
                    <w:rPr>
                      <w:rFonts w:hint="default" w:ascii="Times New Roman" w:hAnsi="Times New Roman" w:cs="Times New Roman"/>
                      <w:b w:val="0"/>
                      <w:bCs w:val="0"/>
                      <w:highlight w:val="none"/>
                      <w:lang w:eastAsia="zh-CN"/>
                    </w:rPr>
                  </w:pPr>
                </w:p>
              </w:tc>
            </w:tr>
            <w:tr w14:paraId="5030B4FE">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427" w:hRule="atLeast"/>
              </w:trPr>
              <w:tc>
                <w:tcPr>
                  <w:tcW w:w="735" w:type="pct"/>
                  <w:vMerge w:val="restart"/>
                  <w:tcBorders>
                    <w:tl2br w:val="nil"/>
                    <w:tr2bl w:val="nil"/>
                  </w:tcBorders>
                  <w:noWrap w:val="0"/>
                  <w:vAlign w:val="center"/>
                </w:tcPr>
                <w:p w14:paraId="12318BDF">
                  <w:pPr>
                    <w:jc w:val="cente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能源</w:t>
                  </w:r>
                </w:p>
              </w:tc>
              <w:tc>
                <w:tcPr>
                  <w:tcW w:w="747" w:type="pct"/>
                  <w:tcBorders>
                    <w:tl2br w:val="nil"/>
                    <w:tr2bl w:val="nil"/>
                  </w:tcBorders>
                  <w:noWrap w:val="0"/>
                  <w:vAlign w:val="center"/>
                </w:tcPr>
                <w:p w14:paraId="48876E9D">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水</w:t>
                  </w:r>
                </w:p>
              </w:tc>
              <w:tc>
                <w:tcPr>
                  <w:tcW w:w="961" w:type="pct"/>
                  <w:tcBorders>
                    <w:tl2br w:val="nil"/>
                    <w:tr2bl w:val="nil"/>
                  </w:tcBorders>
                  <w:noWrap w:val="0"/>
                  <w:vAlign w:val="center"/>
                </w:tcPr>
                <w:p w14:paraId="561E7BD9">
                  <w:pPr>
                    <w:jc w:val="center"/>
                    <w:rPr>
                      <w:rFonts w:hint="default" w:ascii="Times New Roman" w:hAnsi="Times New Roman" w:cs="Times New Roman"/>
                      <w:b w:val="0"/>
                      <w:bCs w:val="0"/>
                      <w:highlight w:val="none"/>
                      <w:u w:val="none"/>
                      <w:lang w:val="en-US" w:eastAsia="zh-CN"/>
                    </w:rPr>
                  </w:pPr>
                  <w:r>
                    <w:rPr>
                      <w:rFonts w:hint="eastAsia" w:cs="Times New Roman"/>
                      <w:color w:val="000000"/>
                      <w:kern w:val="0"/>
                      <w:szCs w:val="21"/>
                      <w:highlight w:val="none"/>
                      <w:u w:val="none"/>
                      <w:lang w:val="en-US" w:eastAsia="zh-CN"/>
                    </w:rPr>
                    <w:t>50180</w:t>
                  </w:r>
                  <w:r>
                    <w:rPr>
                      <w:rFonts w:hint="default" w:ascii="Times New Roman" w:hAnsi="Times New Roman" w:cs="Times New Roman"/>
                      <w:color w:val="000000"/>
                      <w:kern w:val="0"/>
                      <w:szCs w:val="21"/>
                      <w:highlight w:val="none"/>
                      <w:u w:val="none"/>
                    </w:rPr>
                    <w:t>m</w:t>
                  </w:r>
                  <w:r>
                    <w:rPr>
                      <w:rFonts w:hint="default" w:ascii="Times New Roman" w:hAnsi="Times New Roman" w:cs="Times New Roman"/>
                      <w:color w:val="000000"/>
                      <w:kern w:val="0"/>
                      <w:szCs w:val="21"/>
                      <w:highlight w:val="none"/>
                      <w:u w:val="none"/>
                      <w:vertAlign w:val="superscript"/>
                    </w:rPr>
                    <w:t>3</w:t>
                  </w:r>
                  <w:r>
                    <w:rPr>
                      <w:rFonts w:hint="default" w:ascii="Times New Roman" w:hAnsi="Times New Roman" w:cs="Times New Roman"/>
                      <w:color w:val="000000"/>
                      <w:kern w:val="0"/>
                      <w:szCs w:val="21"/>
                      <w:highlight w:val="none"/>
                      <w:u w:val="none"/>
                    </w:rPr>
                    <w:t>/a</w:t>
                  </w:r>
                </w:p>
              </w:tc>
              <w:tc>
                <w:tcPr>
                  <w:tcW w:w="991" w:type="pct"/>
                  <w:tcBorders>
                    <w:tl2br w:val="nil"/>
                    <w:tr2bl w:val="nil"/>
                  </w:tcBorders>
                  <w:noWrap w:val="0"/>
                  <w:vAlign w:val="center"/>
                </w:tcPr>
                <w:p w14:paraId="22EADDF7">
                  <w:pPr>
                    <w:jc w:val="cente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w:t>
                  </w:r>
                </w:p>
              </w:tc>
              <w:tc>
                <w:tcPr>
                  <w:tcW w:w="1563" w:type="pct"/>
                  <w:tcBorders>
                    <w:tl2br w:val="nil"/>
                    <w:tr2bl w:val="nil"/>
                  </w:tcBorders>
                  <w:noWrap w:val="0"/>
                  <w:vAlign w:val="center"/>
                </w:tcPr>
                <w:p w14:paraId="7EB421BA">
                  <w:pPr>
                    <w:keepNext w:val="0"/>
                    <w:keepLines w:val="0"/>
                    <w:pageBreakBefore w:val="0"/>
                    <w:widowControl w:val="0"/>
                    <w:kinsoku/>
                    <w:wordWrap w:val="0"/>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厂区自备水井供给</w:t>
                  </w:r>
                </w:p>
              </w:tc>
            </w:tr>
            <w:tr w14:paraId="53CF3FD3">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379" w:hRule="atLeast"/>
              </w:trPr>
              <w:tc>
                <w:tcPr>
                  <w:tcW w:w="735" w:type="pct"/>
                  <w:vMerge w:val="continue"/>
                  <w:tcBorders>
                    <w:tl2br w:val="nil"/>
                    <w:tr2bl w:val="nil"/>
                  </w:tcBorders>
                  <w:noWrap w:val="0"/>
                  <w:vAlign w:val="center"/>
                </w:tcPr>
                <w:p w14:paraId="77818291">
                  <w:pPr>
                    <w:jc w:val="center"/>
                    <w:rPr>
                      <w:rFonts w:hint="default" w:ascii="Times New Roman" w:hAnsi="Times New Roman" w:cs="Times New Roman"/>
                      <w:b w:val="0"/>
                      <w:bCs w:val="0"/>
                      <w:highlight w:val="none"/>
                      <w:lang w:val="en-US" w:eastAsia="zh-CN"/>
                    </w:rPr>
                  </w:pPr>
                </w:p>
              </w:tc>
              <w:tc>
                <w:tcPr>
                  <w:tcW w:w="747" w:type="pct"/>
                  <w:tcBorders>
                    <w:tl2br w:val="nil"/>
                    <w:tr2bl w:val="nil"/>
                  </w:tcBorders>
                  <w:noWrap w:val="0"/>
                  <w:vAlign w:val="center"/>
                </w:tcPr>
                <w:p w14:paraId="12E290E5">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电</w:t>
                  </w:r>
                </w:p>
              </w:tc>
              <w:tc>
                <w:tcPr>
                  <w:tcW w:w="961" w:type="pct"/>
                  <w:tcBorders>
                    <w:tl2br w:val="nil"/>
                    <w:tr2bl w:val="nil"/>
                  </w:tcBorders>
                  <w:noWrap w:val="0"/>
                  <w:vAlign w:val="center"/>
                </w:tcPr>
                <w:p w14:paraId="0F4E85A6">
                  <w:pPr>
                    <w:jc w:val="center"/>
                    <w:rPr>
                      <w:rFonts w:hint="default" w:ascii="Times New Roman" w:hAnsi="Times New Roman" w:cs="Times New Roman"/>
                      <w:b w:val="0"/>
                      <w:bCs w:val="0"/>
                      <w:highlight w:val="none"/>
                      <w:u w:val="none"/>
                      <w:lang w:val="en-US" w:eastAsia="zh-CN"/>
                    </w:rPr>
                  </w:pPr>
                  <w:r>
                    <w:rPr>
                      <w:rFonts w:hint="eastAsia" w:cs="Times New Roman"/>
                      <w:color w:val="000000"/>
                      <w:kern w:val="0"/>
                      <w:szCs w:val="21"/>
                      <w:highlight w:val="none"/>
                      <w:u w:val="none"/>
                      <w:lang w:val="en-US" w:eastAsia="zh-CN"/>
                    </w:rPr>
                    <w:t>60</w:t>
                  </w:r>
                  <w:r>
                    <w:rPr>
                      <w:rFonts w:hint="default" w:ascii="Times New Roman" w:hAnsi="Times New Roman" w:cs="Times New Roman"/>
                      <w:color w:val="000000"/>
                      <w:kern w:val="0"/>
                      <w:szCs w:val="21"/>
                      <w:highlight w:val="none"/>
                      <w:u w:val="none"/>
                    </w:rPr>
                    <w:t>万kW·h/a</w:t>
                  </w:r>
                </w:p>
              </w:tc>
              <w:tc>
                <w:tcPr>
                  <w:tcW w:w="991" w:type="pct"/>
                  <w:tcBorders>
                    <w:tl2br w:val="nil"/>
                    <w:tr2bl w:val="nil"/>
                  </w:tcBorders>
                  <w:noWrap w:val="0"/>
                  <w:vAlign w:val="center"/>
                </w:tcPr>
                <w:p w14:paraId="0DE642F8">
                  <w:pPr>
                    <w:jc w:val="cente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w:t>
                  </w:r>
                </w:p>
              </w:tc>
              <w:tc>
                <w:tcPr>
                  <w:tcW w:w="1563" w:type="pct"/>
                  <w:tcBorders>
                    <w:tl2br w:val="nil"/>
                    <w:tr2bl w:val="nil"/>
                  </w:tcBorders>
                  <w:noWrap w:val="0"/>
                  <w:vAlign w:val="center"/>
                </w:tcPr>
                <w:p w14:paraId="0EF385A7">
                  <w:pPr>
                    <w:keepNext w:val="0"/>
                    <w:keepLines w:val="0"/>
                    <w:pageBreakBefore w:val="0"/>
                    <w:widowControl w:val="0"/>
                    <w:kinsoku/>
                    <w:wordWrap w:val="0"/>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市政电网供电</w:t>
                  </w:r>
                </w:p>
              </w:tc>
            </w:tr>
            <w:tr w14:paraId="0F992367">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491" w:hRule="atLeast"/>
              </w:trPr>
              <w:tc>
                <w:tcPr>
                  <w:tcW w:w="735" w:type="pct"/>
                  <w:vMerge w:val="restart"/>
                  <w:tcBorders>
                    <w:tl2br w:val="nil"/>
                    <w:tr2bl w:val="nil"/>
                  </w:tcBorders>
                  <w:noWrap w:val="0"/>
                  <w:vAlign w:val="center"/>
                </w:tcPr>
                <w:p w14:paraId="78699126">
                  <w:pPr>
                    <w:jc w:val="center"/>
                    <w:rPr>
                      <w:rFonts w:hint="default" w:ascii="Times New Roman" w:hAnsi="Times New Roman" w:cs="Times New Roman"/>
                      <w:b w:val="0"/>
                      <w:bCs w:val="0"/>
                      <w:highlight w:val="none"/>
                      <w:lang w:val="en-US" w:eastAsia="zh-CN"/>
                    </w:rPr>
                  </w:pPr>
                  <w:r>
                    <w:rPr>
                      <w:rFonts w:hint="eastAsia" w:cs="Times New Roman"/>
                      <w:b w:val="0"/>
                      <w:bCs w:val="0"/>
                      <w:highlight w:val="none"/>
                      <w:lang w:val="en-US" w:eastAsia="zh-CN"/>
                    </w:rPr>
                    <w:t>原</w:t>
                  </w:r>
                  <w:r>
                    <w:rPr>
                      <w:rFonts w:hint="eastAsia" w:ascii="Times New Roman" w:hAnsi="Times New Roman" w:cs="Times New Roman"/>
                      <w:b w:val="0"/>
                      <w:bCs w:val="0"/>
                      <w:highlight w:val="none"/>
                      <w:lang w:val="en-US" w:eastAsia="zh-CN"/>
                    </w:rPr>
                    <w:t>辅料</w:t>
                  </w:r>
                </w:p>
              </w:tc>
              <w:tc>
                <w:tcPr>
                  <w:tcW w:w="747" w:type="pct"/>
                  <w:tcBorders>
                    <w:tl2br w:val="nil"/>
                    <w:tr2bl w:val="nil"/>
                  </w:tcBorders>
                  <w:noWrap w:val="0"/>
                  <w:vAlign w:val="center"/>
                </w:tcPr>
                <w:p w14:paraId="2919E916">
                  <w:pPr>
                    <w:jc w:val="cente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絮凝剂</w:t>
                  </w:r>
                </w:p>
              </w:tc>
              <w:tc>
                <w:tcPr>
                  <w:tcW w:w="961" w:type="pct"/>
                  <w:tcBorders>
                    <w:tl2br w:val="nil"/>
                    <w:tr2bl w:val="nil"/>
                  </w:tcBorders>
                  <w:noWrap w:val="0"/>
                  <w:vAlign w:val="center"/>
                </w:tcPr>
                <w:p w14:paraId="4DD34386">
                  <w:pPr>
                    <w:jc w:val="center"/>
                    <w:rPr>
                      <w:rFonts w:hint="default" w:ascii="Times New Roman" w:hAnsi="Times New Roman" w:cs="Times New Roman"/>
                      <w:b w:val="0"/>
                      <w:bCs w:val="0"/>
                      <w:highlight w:val="none"/>
                      <w:lang w:val="en-US" w:eastAsia="zh-CN"/>
                    </w:rPr>
                  </w:pPr>
                  <w:r>
                    <w:rPr>
                      <w:rFonts w:hint="eastAsia" w:cs="Times New Roman"/>
                      <w:b w:val="0"/>
                      <w:bCs w:val="0"/>
                      <w:highlight w:val="none"/>
                      <w:lang w:val="en-US" w:eastAsia="zh-CN"/>
                    </w:rPr>
                    <w:t>1</w:t>
                  </w:r>
                  <w:r>
                    <w:rPr>
                      <w:rFonts w:hint="default" w:ascii="Times New Roman" w:hAnsi="Times New Roman" w:cs="Times New Roman"/>
                      <w:b w:val="0"/>
                      <w:bCs w:val="0"/>
                      <w:highlight w:val="none"/>
                      <w:lang w:val="en-US" w:eastAsia="zh-CN"/>
                    </w:rPr>
                    <w:t>t/a</w:t>
                  </w:r>
                </w:p>
              </w:tc>
              <w:tc>
                <w:tcPr>
                  <w:tcW w:w="991" w:type="pct"/>
                  <w:tcBorders>
                    <w:tl2br w:val="nil"/>
                    <w:tr2bl w:val="nil"/>
                  </w:tcBorders>
                  <w:noWrap w:val="0"/>
                  <w:vAlign w:val="center"/>
                </w:tcPr>
                <w:p w14:paraId="32BE6BD0">
                  <w:pPr>
                    <w:jc w:val="center"/>
                    <w:rPr>
                      <w:rFonts w:hint="default" w:ascii="Times New Roman" w:hAnsi="Times New Roman" w:cs="Times New Roman"/>
                      <w:b w:val="0"/>
                      <w:bCs w:val="0"/>
                      <w:highlight w:val="none"/>
                      <w:lang w:val="en-US" w:eastAsia="zh-CN"/>
                    </w:rPr>
                  </w:pPr>
                  <w:r>
                    <w:rPr>
                      <w:rFonts w:hint="eastAsia" w:cs="Times New Roman"/>
                      <w:b w:val="0"/>
                      <w:bCs w:val="0"/>
                      <w:highlight w:val="none"/>
                      <w:lang w:val="en-US" w:eastAsia="zh-CN"/>
                    </w:rPr>
                    <w:t>0.1t</w:t>
                  </w:r>
                </w:p>
              </w:tc>
              <w:tc>
                <w:tcPr>
                  <w:tcW w:w="1563" w:type="pct"/>
                  <w:tcBorders>
                    <w:tl2br w:val="nil"/>
                    <w:tr2bl w:val="nil"/>
                  </w:tcBorders>
                  <w:noWrap w:val="0"/>
                  <w:vAlign w:val="center"/>
                </w:tcPr>
                <w:p w14:paraId="5C26D28A">
                  <w:pPr>
                    <w:jc w:val="center"/>
                    <w:rPr>
                      <w:rFonts w:hint="default" w:ascii="Times New Roman" w:hAnsi="Times New Roman" w:cs="Times New Roman"/>
                      <w:b w:val="0"/>
                      <w:bCs w:val="0"/>
                      <w:highlight w:val="none"/>
                      <w:lang w:eastAsia="zh-CN"/>
                    </w:rPr>
                  </w:pPr>
                  <w:r>
                    <w:rPr>
                      <w:rFonts w:hint="default" w:ascii="Times New Roman" w:hAnsi="Times New Roman" w:cs="Times New Roman"/>
                      <w:b w:val="0"/>
                      <w:bCs w:val="0"/>
                      <w:highlight w:val="none"/>
                      <w:lang w:val="en-US" w:eastAsia="zh-CN"/>
                    </w:rPr>
                    <w:t>外购，汽运，</w:t>
                  </w:r>
                  <w:r>
                    <w:rPr>
                      <w:rFonts w:hint="eastAsia" w:cs="Times New Roman"/>
                      <w:b w:val="0"/>
                      <w:bCs w:val="0"/>
                      <w:highlight w:val="none"/>
                      <w:lang w:val="en-US" w:eastAsia="zh-CN"/>
                    </w:rPr>
                    <w:t>10</w:t>
                  </w:r>
                  <w:r>
                    <w:rPr>
                      <w:rFonts w:hint="default" w:ascii="Times New Roman" w:hAnsi="Times New Roman" w:eastAsia="宋体" w:cs="Times New Roman"/>
                      <w:color w:val="auto"/>
                      <w:szCs w:val="21"/>
                      <w:highlight w:val="none"/>
                      <w:lang w:val="en-US" w:eastAsia="zh-CN"/>
                    </w:rPr>
                    <w:t>kg/袋，在</w:t>
                  </w:r>
                  <w:r>
                    <w:rPr>
                      <w:rFonts w:hint="eastAsia" w:cs="Times New Roman"/>
                      <w:color w:val="auto"/>
                      <w:szCs w:val="21"/>
                      <w:highlight w:val="none"/>
                      <w:lang w:val="en-US" w:eastAsia="zh-CN"/>
                    </w:rPr>
                    <w:t>原辅料区</w:t>
                  </w:r>
                  <w:r>
                    <w:rPr>
                      <w:rFonts w:hint="default" w:ascii="Times New Roman" w:hAnsi="Times New Roman" w:eastAsia="宋体" w:cs="Times New Roman"/>
                      <w:color w:val="auto"/>
                      <w:szCs w:val="21"/>
                      <w:highlight w:val="none"/>
                      <w:lang w:val="en-US" w:eastAsia="zh-CN"/>
                    </w:rPr>
                    <w:t>存放</w:t>
                  </w:r>
                </w:p>
              </w:tc>
            </w:tr>
            <w:tr w14:paraId="29281C6E">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538" w:hRule="atLeast"/>
              </w:trPr>
              <w:tc>
                <w:tcPr>
                  <w:tcW w:w="735" w:type="pct"/>
                  <w:vMerge w:val="continue"/>
                  <w:tcBorders>
                    <w:tl2br w:val="nil"/>
                    <w:tr2bl w:val="nil"/>
                  </w:tcBorders>
                  <w:noWrap w:val="0"/>
                  <w:vAlign w:val="center"/>
                </w:tcPr>
                <w:p w14:paraId="09769199">
                  <w:pPr>
                    <w:jc w:val="center"/>
                    <w:rPr>
                      <w:rFonts w:hint="eastAsia" w:ascii="Times New Roman" w:hAnsi="Times New Roman" w:cs="Times New Roman"/>
                      <w:b w:val="0"/>
                      <w:bCs w:val="0"/>
                      <w:highlight w:val="none"/>
                      <w:lang w:val="en-US" w:eastAsia="zh-CN"/>
                    </w:rPr>
                  </w:pPr>
                </w:p>
              </w:tc>
              <w:tc>
                <w:tcPr>
                  <w:tcW w:w="747" w:type="pct"/>
                  <w:tcBorders>
                    <w:tl2br w:val="nil"/>
                    <w:tr2bl w:val="nil"/>
                  </w:tcBorders>
                  <w:noWrap w:val="0"/>
                  <w:vAlign w:val="center"/>
                </w:tcPr>
                <w:p w14:paraId="53CB4088">
                  <w:pPr>
                    <w:jc w:val="center"/>
                    <w:rPr>
                      <w:rFonts w:hint="default" w:ascii="Times New Roman" w:hAnsi="Times New Roman" w:cs="Times New Roman"/>
                      <w:b w:val="0"/>
                      <w:bCs w:val="0"/>
                      <w:highlight w:val="none"/>
                      <w:lang w:val="en-US" w:eastAsia="zh-CN"/>
                    </w:rPr>
                  </w:pPr>
                  <w:r>
                    <w:rPr>
                      <w:rFonts w:hint="eastAsia" w:ascii="Times New Roman" w:hAnsi="Times New Roman" w:cs="Times New Roman"/>
                      <w:b w:val="0"/>
                      <w:bCs w:val="0"/>
                      <w:highlight w:val="none"/>
                      <w:lang w:val="en-US" w:eastAsia="zh-CN"/>
                    </w:rPr>
                    <w:t>润滑油</w:t>
                  </w:r>
                </w:p>
              </w:tc>
              <w:tc>
                <w:tcPr>
                  <w:tcW w:w="961" w:type="pct"/>
                  <w:tcBorders>
                    <w:tl2br w:val="nil"/>
                    <w:tr2bl w:val="nil"/>
                  </w:tcBorders>
                  <w:noWrap w:val="0"/>
                  <w:vAlign w:val="center"/>
                </w:tcPr>
                <w:p w14:paraId="19E98F4E">
                  <w:pPr>
                    <w:jc w:val="center"/>
                    <w:rPr>
                      <w:rFonts w:hint="default" w:ascii="Times New Roman" w:hAnsi="Times New Roman" w:cs="Times New Roman"/>
                      <w:b w:val="0"/>
                      <w:bCs w:val="0"/>
                      <w:highlight w:val="none"/>
                      <w:lang w:val="en-US" w:eastAsia="zh-CN"/>
                    </w:rPr>
                  </w:pPr>
                  <w:r>
                    <w:rPr>
                      <w:rFonts w:hint="eastAsia" w:cs="Times New Roman"/>
                      <w:b w:val="0"/>
                      <w:bCs w:val="0"/>
                      <w:highlight w:val="none"/>
                      <w:lang w:val="en-US" w:eastAsia="zh-CN"/>
                    </w:rPr>
                    <w:t>2</w:t>
                  </w:r>
                  <w:r>
                    <w:rPr>
                      <w:rFonts w:hint="default" w:ascii="Times New Roman" w:hAnsi="Times New Roman" w:cs="Times New Roman"/>
                      <w:b w:val="0"/>
                      <w:bCs w:val="0"/>
                      <w:highlight w:val="none"/>
                      <w:lang w:val="en-US" w:eastAsia="zh-CN"/>
                    </w:rPr>
                    <w:t>t/a</w:t>
                  </w:r>
                </w:p>
              </w:tc>
              <w:tc>
                <w:tcPr>
                  <w:tcW w:w="991" w:type="pct"/>
                  <w:tcBorders>
                    <w:tl2br w:val="nil"/>
                    <w:tr2bl w:val="nil"/>
                  </w:tcBorders>
                  <w:noWrap w:val="0"/>
                  <w:vAlign w:val="center"/>
                </w:tcPr>
                <w:p w14:paraId="115362B0">
                  <w:pPr>
                    <w:jc w:val="center"/>
                    <w:rPr>
                      <w:rFonts w:hint="default" w:ascii="Times New Roman" w:hAnsi="Times New Roman" w:cs="Times New Roman"/>
                      <w:b w:val="0"/>
                      <w:bCs w:val="0"/>
                      <w:highlight w:val="none"/>
                      <w:lang w:val="en-US" w:eastAsia="zh-CN"/>
                    </w:rPr>
                  </w:pPr>
                  <w:r>
                    <w:rPr>
                      <w:rFonts w:hint="eastAsia" w:cs="Times New Roman"/>
                      <w:b w:val="0"/>
                      <w:bCs w:val="0"/>
                      <w:highlight w:val="none"/>
                      <w:lang w:val="en-US" w:eastAsia="zh-CN"/>
                    </w:rPr>
                    <w:t>0.1t</w:t>
                  </w:r>
                </w:p>
              </w:tc>
              <w:tc>
                <w:tcPr>
                  <w:tcW w:w="1563" w:type="pct"/>
                  <w:tcBorders>
                    <w:tl2br w:val="nil"/>
                    <w:tr2bl w:val="nil"/>
                  </w:tcBorders>
                  <w:noWrap w:val="0"/>
                  <w:vAlign w:val="center"/>
                </w:tcPr>
                <w:p w14:paraId="1DE686F6">
                  <w:pPr>
                    <w:jc w:val="center"/>
                    <w:rPr>
                      <w:rFonts w:hint="default" w:ascii="Times New Roman" w:hAnsi="Times New Roman" w:cs="Times New Roman"/>
                      <w:b w:val="0"/>
                      <w:bCs w:val="0"/>
                      <w:highlight w:val="none"/>
                      <w:lang w:eastAsia="zh-CN"/>
                    </w:rPr>
                  </w:pPr>
                  <w:r>
                    <w:rPr>
                      <w:rFonts w:hint="default" w:ascii="Times New Roman" w:hAnsi="Times New Roman" w:cs="Times New Roman"/>
                      <w:b w:val="0"/>
                      <w:bCs w:val="0"/>
                      <w:highlight w:val="none"/>
                      <w:lang w:val="en-US" w:eastAsia="zh-CN"/>
                    </w:rPr>
                    <w:t>外购，汽运，</w:t>
                  </w:r>
                  <w:r>
                    <w:rPr>
                      <w:rFonts w:hint="eastAsia" w:cs="Times New Roman"/>
                      <w:b w:val="0"/>
                      <w:bCs w:val="0"/>
                      <w:highlight w:val="none"/>
                      <w:lang w:val="en-US" w:eastAsia="zh-CN"/>
                    </w:rPr>
                    <w:t>20</w:t>
                  </w:r>
                  <w:r>
                    <w:rPr>
                      <w:rFonts w:hint="default" w:ascii="Times New Roman" w:hAnsi="Times New Roman" w:eastAsia="宋体" w:cs="Times New Roman"/>
                      <w:color w:val="auto"/>
                      <w:szCs w:val="21"/>
                      <w:highlight w:val="none"/>
                      <w:lang w:val="en-US" w:eastAsia="zh-CN"/>
                    </w:rPr>
                    <w:t>kg/</w:t>
                  </w:r>
                  <w:r>
                    <w:rPr>
                      <w:rFonts w:hint="eastAsia" w:cs="Times New Roman"/>
                      <w:color w:val="auto"/>
                      <w:szCs w:val="21"/>
                      <w:highlight w:val="none"/>
                      <w:lang w:val="en-US" w:eastAsia="zh-CN"/>
                    </w:rPr>
                    <w:t>桶</w:t>
                  </w:r>
                  <w:r>
                    <w:rPr>
                      <w:rFonts w:hint="default"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铁质桶，</w:t>
                  </w:r>
                  <w:r>
                    <w:rPr>
                      <w:rFonts w:hint="default" w:ascii="Times New Roman" w:hAnsi="Times New Roman" w:eastAsia="宋体" w:cs="Times New Roman"/>
                      <w:color w:val="auto"/>
                      <w:szCs w:val="21"/>
                      <w:highlight w:val="none"/>
                      <w:lang w:val="en-US" w:eastAsia="zh-CN"/>
                    </w:rPr>
                    <w:t>在</w:t>
                  </w:r>
                  <w:r>
                    <w:rPr>
                      <w:rFonts w:hint="eastAsia" w:cs="Times New Roman"/>
                      <w:color w:val="auto"/>
                      <w:szCs w:val="21"/>
                      <w:highlight w:val="none"/>
                      <w:lang w:val="en-US" w:eastAsia="zh-CN"/>
                    </w:rPr>
                    <w:t>原辅料区</w:t>
                  </w:r>
                  <w:r>
                    <w:rPr>
                      <w:rFonts w:hint="default" w:ascii="Times New Roman" w:hAnsi="Times New Roman" w:eastAsia="宋体" w:cs="Times New Roman"/>
                      <w:color w:val="auto"/>
                      <w:szCs w:val="21"/>
                      <w:highlight w:val="none"/>
                      <w:lang w:val="en-US" w:eastAsia="zh-CN"/>
                    </w:rPr>
                    <w:t>存放</w:t>
                  </w:r>
                </w:p>
              </w:tc>
            </w:tr>
          </w:tbl>
          <w:p w14:paraId="469687CE">
            <w:pPr>
              <w:keepNext w:val="0"/>
              <w:keepLines w:val="0"/>
              <w:pageBreakBefore w:val="0"/>
              <w:widowControl w:val="0"/>
              <w:tabs>
                <w:tab w:val="left" w:pos="1260"/>
              </w:tabs>
              <w:kinsoku/>
              <w:wordWrap/>
              <w:overflowPunct/>
              <w:topLinePunct w:val="0"/>
              <w:autoSpaceDE/>
              <w:autoSpaceDN/>
              <w:bidi w:val="0"/>
              <w:adjustRightInd w:val="0"/>
              <w:snapToGrid/>
              <w:spacing w:line="500" w:lineRule="exact"/>
              <w:ind w:firstLine="480" w:firstLineChars="200"/>
              <w:textAlignment w:val="auto"/>
              <w:outlineLvl w:val="1"/>
              <w:rPr>
                <w:rFonts w:hint="default" w:eastAsia="宋体"/>
                <w:bCs/>
                <w:color w:val="auto"/>
                <w:sz w:val="24"/>
                <w:highlight w:val="cyan"/>
                <w:u w:val="none"/>
                <w:lang w:val="en-US" w:eastAsia="zh-CN"/>
              </w:rPr>
            </w:pPr>
            <w:r>
              <w:rPr>
                <w:b w:val="0"/>
                <w:bCs w:val="0"/>
                <w:color w:val="000000"/>
                <w:sz w:val="24"/>
                <w:highlight w:val="none"/>
                <w:u w:val="none"/>
              </w:rPr>
              <w:t>本项目废矿</w:t>
            </w:r>
            <w:r>
              <w:rPr>
                <w:rFonts w:hint="eastAsia"/>
                <w:b w:val="0"/>
                <w:bCs w:val="0"/>
                <w:color w:val="000000"/>
                <w:sz w:val="24"/>
                <w:highlight w:val="none"/>
                <w:u w:val="none"/>
                <w:lang w:val="en-US" w:eastAsia="zh-CN"/>
              </w:rPr>
              <w:t>石主要为钾长石、麻骨石等等，</w:t>
            </w:r>
            <w:r>
              <w:rPr>
                <w:b w:val="0"/>
                <w:bCs w:val="0"/>
                <w:color w:val="000000"/>
                <w:sz w:val="24"/>
                <w:highlight w:val="none"/>
                <w:u w:val="none"/>
              </w:rPr>
              <w:t>来源</w:t>
            </w:r>
            <w:r>
              <w:rPr>
                <w:rFonts w:hint="eastAsia"/>
                <w:b w:val="0"/>
                <w:bCs w:val="0"/>
                <w:color w:val="000000"/>
                <w:sz w:val="24"/>
                <w:highlight w:val="none"/>
                <w:u w:val="none"/>
              </w:rPr>
              <w:t>于</w:t>
            </w:r>
            <w:r>
              <w:rPr>
                <w:rFonts w:hint="eastAsia"/>
                <w:b w:val="0"/>
                <w:bCs w:val="0"/>
                <w:color w:val="000000"/>
                <w:sz w:val="24"/>
                <w:highlight w:val="none"/>
                <w:u w:val="none"/>
                <w:lang w:val="en-US" w:eastAsia="zh-CN"/>
              </w:rPr>
              <w:t>方城县裕鑫矿业有限责任公司</w:t>
            </w:r>
            <w:r>
              <w:rPr>
                <w:rFonts w:hint="eastAsia"/>
                <w:b w:val="0"/>
                <w:bCs w:val="0"/>
                <w:color w:val="000000"/>
                <w:sz w:val="24"/>
                <w:highlight w:val="none"/>
                <w:u w:val="none"/>
              </w:rPr>
              <w:t>（供料协议见附件</w:t>
            </w:r>
            <w:r>
              <w:rPr>
                <w:rFonts w:hint="eastAsia"/>
                <w:b w:val="0"/>
                <w:bCs w:val="0"/>
                <w:color w:val="000000"/>
                <w:sz w:val="24"/>
                <w:highlight w:val="none"/>
                <w:u w:val="none"/>
                <w:lang w:val="en-US" w:eastAsia="zh-CN"/>
              </w:rPr>
              <w:t>七</w:t>
            </w:r>
            <w:r>
              <w:rPr>
                <w:rFonts w:hint="eastAsia"/>
                <w:b w:val="0"/>
                <w:bCs w:val="0"/>
                <w:color w:val="000000"/>
                <w:sz w:val="24"/>
                <w:highlight w:val="none"/>
                <w:u w:val="none"/>
              </w:rPr>
              <w:t>）</w:t>
            </w:r>
            <w:r>
              <w:rPr>
                <w:b w:val="0"/>
                <w:bCs w:val="0"/>
                <w:color w:val="000000"/>
                <w:sz w:val="24"/>
                <w:highlight w:val="none"/>
                <w:u w:val="none"/>
              </w:rPr>
              <w:t>，</w:t>
            </w:r>
            <w:r>
              <w:rPr>
                <w:rFonts w:hint="eastAsia"/>
                <w:b w:val="0"/>
                <w:bCs w:val="0"/>
                <w:color w:val="000000"/>
                <w:sz w:val="24"/>
                <w:highlight w:val="none"/>
                <w:u w:val="none"/>
                <w:lang w:val="en-US" w:eastAsia="zh-CN"/>
              </w:rPr>
              <w:t>根据建设单位提供的资料，本项目要求原料要符合供料协议上的一些要求</w:t>
            </w:r>
            <w:r>
              <w:rPr>
                <w:rFonts w:hint="eastAsia" w:ascii="宋体" w:hAnsi="宋体" w:cs="宋体"/>
                <w:sz w:val="24"/>
                <w:szCs w:val="24"/>
                <w:highlight w:val="none"/>
                <w:u w:val="none"/>
                <w:lang w:val="en-US" w:eastAsia="zh-CN"/>
              </w:rPr>
              <w:t>。</w:t>
            </w:r>
          </w:p>
          <w:p w14:paraId="26126F9B">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highlight w:val="none"/>
                <w:lang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）原辅材料理化性质</w:t>
            </w:r>
          </w:p>
          <w:p w14:paraId="059728A8">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highlight w:val="none"/>
              </w:rPr>
            </w:pPr>
            <w:r>
              <w:rPr>
                <w:rFonts w:hint="default" w:ascii="Times New Roman" w:hAnsi="Times New Roman" w:cs="Times New Roman"/>
                <w:highlight w:val="none"/>
              </w:rPr>
              <w:t>本项目所用原辅材料理化性质如下：</w:t>
            </w:r>
          </w:p>
          <w:p w14:paraId="28B0EFB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eastAsia="zh-CN"/>
              </w:rPr>
              <w:t>①</w:t>
            </w:r>
            <w:r>
              <w:rPr>
                <w:rFonts w:hint="eastAsia" w:ascii="Times New Roman" w:hAnsi="Times New Roman" w:cs="Times New Roman"/>
                <w:sz w:val="24"/>
                <w:highlight w:val="none"/>
                <w:lang w:val="en-US" w:eastAsia="zh-CN"/>
              </w:rPr>
              <w:t>絮凝剂</w:t>
            </w:r>
          </w:p>
          <w:p w14:paraId="2E07667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highlight w:val="none"/>
              </w:rPr>
            </w:pPr>
            <w:r>
              <w:rPr>
                <w:color w:val="auto"/>
                <w:sz w:val="24"/>
                <w:highlight w:val="none"/>
              </w:rPr>
              <w:t>聚丙烯酰胺（PAM）：英文名称为 Poly（acrylamide），分子式为（C</w:t>
            </w:r>
            <w:r>
              <w:rPr>
                <w:color w:val="auto"/>
                <w:sz w:val="24"/>
                <w:highlight w:val="none"/>
                <w:vertAlign w:val="subscript"/>
              </w:rPr>
              <w:t>3</w:t>
            </w:r>
            <w:r>
              <w:rPr>
                <w:color w:val="auto"/>
                <w:sz w:val="24"/>
                <w:highlight w:val="none"/>
              </w:rPr>
              <w:t>H</w:t>
            </w:r>
            <w:r>
              <w:rPr>
                <w:color w:val="auto"/>
                <w:sz w:val="24"/>
                <w:highlight w:val="none"/>
                <w:vertAlign w:val="subscript"/>
              </w:rPr>
              <w:t>5</w:t>
            </w:r>
            <w:r>
              <w:rPr>
                <w:color w:val="auto"/>
                <w:sz w:val="24"/>
                <w:highlight w:val="none"/>
              </w:rPr>
              <w:t>NO）n，密度=1.3g/cm³。PAM</w:t>
            </w:r>
            <w:r>
              <w:rPr>
                <w:rFonts w:hint="eastAsia"/>
                <w:color w:val="auto"/>
                <w:sz w:val="24"/>
                <w:highlight w:val="none"/>
              </w:rPr>
              <w:t>能以任意比例</w:t>
            </w:r>
            <w:r>
              <w:rPr>
                <w:color w:val="auto"/>
                <w:sz w:val="24"/>
                <w:highlight w:val="none"/>
              </w:rPr>
              <w:t>溶于水，</w:t>
            </w:r>
            <w:r>
              <w:rPr>
                <w:rFonts w:hint="eastAsia"/>
                <w:color w:val="auto"/>
                <w:sz w:val="24"/>
                <w:highlight w:val="none"/>
              </w:rPr>
              <w:t>亦</w:t>
            </w:r>
            <w:r>
              <w:rPr>
                <w:color w:val="auto"/>
                <w:sz w:val="24"/>
                <w:highlight w:val="none"/>
              </w:rPr>
              <w:t>溶于乙酸、丙酸、氯代乙酸、乙二醇、甘油和胺等有机溶剂。聚丙烯酰胺是一种线状的有机高分子聚合物，俗称絮凝剂或凝聚剂，分子量在300-2500万之间，固体产品外观为白色粉颗，液态为无色粘稠胶体状，易溶于水，几乎不溶于有机溶剂。应用时宜在常温下溶解，温度超过150</w:t>
            </w:r>
            <w:r>
              <w:rPr>
                <w:rFonts w:hint="eastAsia" w:ascii="宋体" w:hAnsi="宋体" w:cs="宋体"/>
                <w:color w:val="auto"/>
                <w:sz w:val="24"/>
                <w:highlight w:val="none"/>
              </w:rPr>
              <w:t>℃</w:t>
            </w:r>
            <w:r>
              <w:rPr>
                <w:color w:val="auto"/>
                <w:sz w:val="24"/>
                <w:highlight w:val="none"/>
              </w:rPr>
              <w:t>时易分解。属非危险品、无毒、无腐蚀性。PAM专门吸附水中的悬浮颗粒，在颗粒之间起链接架桥作用，使细颗粒形成比较大的絮团，并且加快了沉淀的速度。这一过程称之为絮凝，因其中良好的絮凝效果，PAM作为水处理的絮凝剂被广泛用于污水处理。</w:t>
            </w:r>
          </w:p>
          <w:p w14:paraId="59DFE57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auto"/>
                <w:sz w:val="24"/>
                <w:highlight w:val="none"/>
                <w:lang w:val="en-US"/>
              </w:rPr>
            </w:pPr>
            <w:r>
              <w:rPr>
                <w:rFonts w:hint="eastAsia" w:ascii="宋体" w:hAnsi="宋体" w:eastAsia="宋体" w:cs="宋体"/>
                <w:color w:val="auto"/>
                <w:sz w:val="24"/>
                <w:highlight w:val="none"/>
                <w:lang w:val="en-US" w:eastAsia="zh-CN"/>
              </w:rPr>
              <w:t>②润滑油</w:t>
            </w:r>
          </w:p>
          <w:p w14:paraId="50608CC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auto"/>
                <w:sz w:val="24"/>
                <w:highlight w:val="none"/>
              </w:rPr>
            </w:pPr>
            <w:bookmarkStart w:id="8" w:name="4-5"/>
            <w:bookmarkEnd w:id="8"/>
            <w:bookmarkStart w:id="9" w:name="闪点"/>
            <w:bookmarkEnd w:id="9"/>
            <w:r>
              <w:rPr>
                <w:rFonts w:hint="eastAsia" w:ascii="宋体" w:hAnsi="宋体" w:eastAsia="宋体" w:cs="宋体"/>
                <w:i w:val="0"/>
                <w:iCs w:val="0"/>
                <w:caps w:val="0"/>
                <w:color w:val="auto"/>
                <w:spacing w:val="0"/>
                <w:sz w:val="24"/>
                <w:szCs w:val="24"/>
                <w:highlight w:val="none"/>
                <w:shd w:val="clear" w:fill="FFFFFF"/>
              </w:rPr>
              <w:t>润滑油是用在各种类型汽车、机械设备上以减少摩擦，保护机械及加工件的液体或半</w:t>
            </w:r>
            <w:r>
              <w:rPr>
                <w:rFonts w:hint="eastAsia" w:ascii="宋体" w:hAnsi="宋体" w:eastAsia="宋体" w:cs="宋体"/>
                <w:i w:val="0"/>
                <w:iCs w:val="0"/>
                <w:caps w:val="0"/>
                <w:color w:val="auto"/>
                <w:spacing w:val="0"/>
                <w:sz w:val="24"/>
                <w:szCs w:val="24"/>
                <w:highlight w:val="none"/>
                <w:shd w:val="clear" w:fill="FFFFFF"/>
                <w:lang w:val="en-US" w:eastAsia="zh-CN"/>
              </w:rPr>
              <w:t>固体润滑剂</w:t>
            </w:r>
            <w:r>
              <w:rPr>
                <w:rFonts w:hint="eastAsia" w:ascii="宋体" w:hAnsi="宋体" w:eastAsia="宋体" w:cs="宋体"/>
                <w:i w:val="0"/>
                <w:iCs w:val="0"/>
                <w:caps w:val="0"/>
                <w:color w:val="auto"/>
                <w:spacing w:val="0"/>
                <w:sz w:val="24"/>
                <w:szCs w:val="24"/>
                <w:highlight w:val="none"/>
                <w:shd w:val="clear" w:fill="FFFFFF"/>
              </w:rPr>
              <w:t>，主要起润滑、辅助冷却、</w:t>
            </w:r>
            <w:r>
              <w:rPr>
                <w:rFonts w:hint="eastAsia" w:ascii="宋体" w:hAnsi="宋体" w:eastAsia="宋体" w:cs="宋体"/>
                <w:i w:val="0"/>
                <w:iCs w:val="0"/>
                <w:caps w:val="0"/>
                <w:color w:val="auto"/>
                <w:spacing w:val="0"/>
                <w:sz w:val="24"/>
                <w:szCs w:val="24"/>
                <w:highlight w:val="none"/>
                <w:shd w:val="clear" w:fill="FFFFFF"/>
                <w:lang w:val="en-US" w:eastAsia="zh-CN"/>
              </w:rPr>
              <w:t>防锈、清洁、密封</w:t>
            </w:r>
            <w:r>
              <w:rPr>
                <w:rFonts w:hint="eastAsia" w:ascii="宋体" w:hAnsi="宋体" w:eastAsia="宋体" w:cs="宋体"/>
                <w:i w:val="0"/>
                <w:iCs w:val="0"/>
                <w:caps w:val="0"/>
                <w:color w:val="auto"/>
                <w:spacing w:val="0"/>
                <w:sz w:val="24"/>
                <w:szCs w:val="24"/>
                <w:highlight w:val="none"/>
                <w:shd w:val="clear" w:fill="FFFFFF"/>
              </w:rPr>
              <w:t>和缓冲等作用</w:t>
            </w:r>
            <w:r>
              <w:rPr>
                <w:rFonts w:hint="eastAsia" w:ascii="宋体" w:hAnsi="宋体" w:eastAsia="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sz w:val="24"/>
                <w:szCs w:val="24"/>
                <w:highlight w:val="none"/>
                <w:shd w:val="clear" w:fill="FFFFFF"/>
              </w:rPr>
              <w:t>润滑油一般由基础油和添加剂两部分组成</w:t>
            </w:r>
            <w:r>
              <w:rPr>
                <w:rFonts w:hint="eastAsia" w:ascii="宋体" w:hAnsi="宋体" w:eastAsia="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kern w:val="0"/>
                <w:sz w:val="24"/>
                <w:szCs w:val="24"/>
                <w:highlight w:val="none"/>
                <w:shd w:val="clear" w:fill="FFFFFF"/>
                <w:lang w:val="en-US" w:eastAsia="zh-CN" w:bidi="ar"/>
              </w:rPr>
              <w:t>润滑油的密度随其组成中含碳、氧、硫的数量的增加而增大，</w:t>
            </w:r>
            <w:r>
              <w:rPr>
                <w:rFonts w:hint="eastAsia" w:ascii="宋体" w:hAnsi="宋体" w:eastAsia="宋体" w:cs="宋体"/>
                <w:i w:val="0"/>
                <w:iCs w:val="0"/>
                <w:caps w:val="0"/>
                <w:color w:val="auto"/>
                <w:spacing w:val="0"/>
                <w:sz w:val="24"/>
                <w:szCs w:val="24"/>
                <w:highlight w:val="none"/>
                <w:shd w:val="clear" w:fill="FFFFFF"/>
              </w:rPr>
              <w:t>发动机</w:t>
            </w:r>
            <w:r>
              <w:rPr>
                <w:rFonts w:hint="eastAsia" w:ascii="宋体" w:hAnsi="宋体" w:eastAsia="宋体" w:cs="宋体"/>
                <w:i w:val="0"/>
                <w:iCs w:val="0"/>
                <w:caps w:val="0"/>
                <w:color w:val="auto"/>
                <w:spacing w:val="0"/>
                <w:sz w:val="24"/>
                <w:szCs w:val="24"/>
                <w:highlight w:val="none"/>
                <w:shd w:val="clear" w:fill="FFFFFF"/>
                <w:lang w:val="en-US" w:eastAsia="zh-CN"/>
              </w:rPr>
              <w:t>或设备</w:t>
            </w:r>
            <w:r>
              <w:rPr>
                <w:rFonts w:hint="eastAsia" w:ascii="宋体" w:hAnsi="宋体" w:eastAsia="宋体" w:cs="宋体"/>
                <w:i w:val="0"/>
                <w:iCs w:val="0"/>
                <w:caps w:val="0"/>
                <w:color w:val="auto"/>
                <w:spacing w:val="0"/>
                <w:sz w:val="24"/>
                <w:szCs w:val="24"/>
                <w:highlight w:val="none"/>
                <w:shd w:val="clear" w:fill="FFFFFF"/>
              </w:rPr>
              <w:t>在运转时，如果一些摩擦部位得不到适当的润滑，就会产生干摩擦。实践证明，干摩擦在短时间内产生的热量足以使金属熔化，造成机件的损坏甚至卡死</w:t>
            </w:r>
            <w:r>
              <w:rPr>
                <w:rFonts w:hint="eastAsia" w:ascii="宋体" w:hAnsi="宋体" w:eastAsia="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sz w:val="24"/>
                <w:szCs w:val="24"/>
                <w:highlight w:val="none"/>
                <w:shd w:val="clear" w:fill="FFFFFF"/>
              </w:rPr>
              <w:t>因此必须对发动机</w:t>
            </w:r>
            <w:r>
              <w:rPr>
                <w:rFonts w:hint="eastAsia" w:ascii="宋体" w:hAnsi="宋体" w:eastAsia="宋体" w:cs="宋体"/>
                <w:i w:val="0"/>
                <w:iCs w:val="0"/>
                <w:caps w:val="0"/>
                <w:color w:val="auto"/>
                <w:spacing w:val="0"/>
                <w:sz w:val="24"/>
                <w:szCs w:val="24"/>
                <w:highlight w:val="none"/>
                <w:shd w:val="clear" w:fill="FFFFFF"/>
                <w:lang w:val="en-US" w:eastAsia="zh-CN"/>
              </w:rPr>
              <w:t>或设备</w:t>
            </w:r>
            <w:r>
              <w:rPr>
                <w:rFonts w:hint="eastAsia" w:ascii="宋体" w:hAnsi="宋体" w:eastAsia="宋体" w:cs="宋体"/>
                <w:i w:val="0"/>
                <w:iCs w:val="0"/>
                <w:caps w:val="0"/>
                <w:color w:val="auto"/>
                <w:spacing w:val="0"/>
                <w:sz w:val="24"/>
                <w:szCs w:val="24"/>
                <w:highlight w:val="none"/>
                <w:shd w:val="clear" w:fill="FFFFFF"/>
              </w:rPr>
              <w:t>中的摩擦部位给予良好的润滑。</w:t>
            </w:r>
          </w:p>
          <w:p w14:paraId="0BCB6B93">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b/>
                <w:highlight w:val="none"/>
              </w:rPr>
            </w:pPr>
            <w:r>
              <w:rPr>
                <w:rFonts w:hint="eastAsia" w:ascii="Times New Roman" w:hAnsi="Times New Roman" w:cs="Times New Roman"/>
                <w:b/>
                <w:highlight w:val="none"/>
                <w:lang w:val="en-US" w:eastAsia="zh-CN"/>
              </w:rPr>
              <w:t>5</w:t>
            </w:r>
            <w:r>
              <w:rPr>
                <w:rFonts w:hint="default" w:ascii="Times New Roman" w:hAnsi="Times New Roman" w:cs="Times New Roman"/>
                <w:b/>
                <w:highlight w:val="none"/>
              </w:rPr>
              <w:t>、</w:t>
            </w:r>
            <w:r>
              <w:rPr>
                <w:rFonts w:hint="default" w:ascii="Times New Roman" w:hAnsi="Times New Roman" w:cs="Times New Roman"/>
                <w:b/>
                <w:highlight w:val="none"/>
                <w:lang w:val="en-US" w:eastAsia="zh-CN"/>
              </w:rPr>
              <w:t>本项目</w:t>
            </w:r>
            <w:r>
              <w:rPr>
                <w:rFonts w:hint="default" w:ascii="Times New Roman" w:hAnsi="Times New Roman" w:cs="Times New Roman"/>
                <w:b/>
                <w:highlight w:val="none"/>
              </w:rPr>
              <w:t>主要</w:t>
            </w:r>
            <w:r>
              <w:rPr>
                <w:rFonts w:hint="default" w:ascii="Times New Roman" w:hAnsi="Times New Roman" w:cs="Times New Roman"/>
                <w:b/>
                <w:highlight w:val="none"/>
                <w:lang w:val="en-US" w:eastAsia="zh-CN"/>
              </w:rPr>
              <w:t>生产</w:t>
            </w:r>
            <w:r>
              <w:rPr>
                <w:rFonts w:hint="default" w:ascii="Times New Roman" w:hAnsi="Times New Roman" w:cs="Times New Roman"/>
                <w:b/>
                <w:highlight w:val="none"/>
              </w:rPr>
              <w:t>设备</w:t>
            </w:r>
          </w:p>
          <w:p w14:paraId="00A387C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本项目主要生产设备见表</w:t>
            </w:r>
            <w:r>
              <w:rPr>
                <w:rFonts w:hint="eastAsia" w:ascii="Times New Roman" w:hAnsi="Times New Roman" w:cs="Times New Roman"/>
                <w:sz w:val="24"/>
                <w:highlight w:val="none"/>
                <w:lang w:val="en-US" w:eastAsia="zh-CN"/>
              </w:rPr>
              <w:t>2-4</w:t>
            </w:r>
            <w:r>
              <w:rPr>
                <w:rFonts w:hint="eastAsia" w:cs="Times New Roman"/>
                <w:sz w:val="24"/>
                <w:highlight w:val="none"/>
                <w:lang w:val="en-US" w:eastAsia="zh-CN"/>
              </w:rPr>
              <w:t>和2-5</w:t>
            </w:r>
            <w:r>
              <w:rPr>
                <w:rFonts w:hint="default" w:ascii="Times New Roman" w:hAnsi="Times New Roman" w:cs="Times New Roman"/>
                <w:sz w:val="24"/>
                <w:highlight w:val="none"/>
              </w:rPr>
              <w:t>。</w:t>
            </w:r>
          </w:p>
          <w:p w14:paraId="7291ADF7">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黑体" w:cs="Times New Roman"/>
                <w:sz w:val="24"/>
                <w:highlight w:val="none"/>
              </w:rPr>
            </w:pPr>
            <w:r>
              <w:rPr>
                <w:rFonts w:hint="default" w:ascii="Times New Roman" w:hAnsi="Times New Roman" w:eastAsia="黑体" w:cs="Times New Roman"/>
                <w:sz w:val="24"/>
                <w:highlight w:val="none"/>
              </w:rPr>
              <w:t>表</w:t>
            </w:r>
            <w:r>
              <w:rPr>
                <w:rFonts w:hint="eastAsia" w:ascii="Times New Roman" w:hAnsi="Times New Roman" w:eastAsia="黑体" w:cs="Times New Roman"/>
                <w:sz w:val="24"/>
                <w:highlight w:val="none"/>
                <w:lang w:val="en-US" w:eastAsia="zh-CN"/>
              </w:rPr>
              <w:t>2-4</w:t>
            </w:r>
            <w:r>
              <w:rPr>
                <w:rFonts w:hint="default" w:ascii="Times New Roman" w:hAnsi="Times New Roman" w:eastAsia="黑体" w:cs="Times New Roman"/>
                <w:sz w:val="24"/>
                <w:highlight w:val="none"/>
              </w:rPr>
              <w:t xml:space="preserve">  </w:t>
            </w:r>
            <w:r>
              <w:rPr>
                <w:rFonts w:hint="eastAsia" w:eastAsia="黑体" w:cs="Times New Roman"/>
                <w:sz w:val="24"/>
                <w:highlight w:val="none"/>
                <w:lang w:val="en-US" w:eastAsia="zh-CN"/>
              </w:rPr>
              <w:t>砂石生产</w:t>
            </w:r>
            <w:r>
              <w:rPr>
                <w:rFonts w:hint="default" w:ascii="Times New Roman" w:hAnsi="Times New Roman" w:eastAsia="黑体" w:cs="Times New Roman"/>
                <w:sz w:val="24"/>
                <w:highlight w:val="none"/>
              </w:rPr>
              <w:t>主要设备一览表</w:t>
            </w:r>
          </w:p>
          <w:tbl>
            <w:tblPr>
              <w:tblStyle w:val="23"/>
              <w:tblW w:w="4795" w:type="pct"/>
              <w:tblInd w:w="121" w:type="dxa"/>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Layout w:type="fixed"/>
              <w:tblCellMar>
                <w:top w:w="0" w:type="dxa"/>
                <w:left w:w="108" w:type="dxa"/>
                <w:bottom w:w="0" w:type="dxa"/>
                <w:right w:w="108" w:type="dxa"/>
              </w:tblCellMar>
            </w:tblPr>
            <w:tblGrid>
              <w:gridCol w:w="743"/>
              <w:gridCol w:w="1891"/>
              <w:gridCol w:w="795"/>
              <w:gridCol w:w="734"/>
              <w:gridCol w:w="3516"/>
            </w:tblGrid>
            <w:tr w14:paraId="66DB158E">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622" w:hRule="atLeast"/>
              </w:trPr>
              <w:tc>
                <w:tcPr>
                  <w:tcW w:w="483" w:type="pct"/>
                  <w:tcBorders>
                    <w:tl2br w:val="nil"/>
                    <w:tr2bl w:val="nil"/>
                  </w:tcBorders>
                  <w:noWrap w:val="0"/>
                  <w:vAlign w:val="center"/>
                </w:tcPr>
                <w:p w14:paraId="7791E5AE">
                  <w:pPr>
                    <w:jc w:val="center"/>
                    <w:rPr>
                      <w:rFonts w:hint="default" w:ascii="Times New Roman" w:hAnsi="Times New Roman" w:cs="Times New Roman"/>
                      <w:b/>
                      <w:bCs/>
                      <w:highlight w:val="none"/>
                    </w:rPr>
                  </w:pPr>
                  <w:r>
                    <w:rPr>
                      <w:rFonts w:hint="default" w:ascii="Times New Roman" w:hAnsi="Times New Roman" w:cs="Times New Roman"/>
                      <w:b/>
                      <w:bCs/>
                      <w:highlight w:val="none"/>
                    </w:rPr>
                    <w:t>序号</w:t>
                  </w:r>
                </w:p>
              </w:tc>
              <w:tc>
                <w:tcPr>
                  <w:tcW w:w="1231" w:type="pct"/>
                  <w:tcBorders>
                    <w:tl2br w:val="nil"/>
                    <w:tr2bl w:val="nil"/>
                  </w:tcBorders>
                  <w:noWrap w:val="0"/>
                  <w:vAlign w:val="center"/>
                </w:tcPr>
                <w:p w14:paraId="3D14DAE1">
                  <w:pPr>
                    <w:jc w:val="center"/>
                    <w:rPr>
                      <w:rFonts w:hint="default" w:ascii="Times New Roman" w:hAnsi="Times New Roman" w:cs="Times New Roman"/>
                      <w:b/>
                      <w:bCs/>
                      <w:highlight w:val="none"/>
                    </w:rPr>
                  </w:pPr>
                  <w:r>
                    <w:rPr>
                      <w:rFonts w:hint="default" w:ascii="Times New Roman" w:hAnsi="Times New Roman" w:cs="Times New Roman"/>
                      <w:b/>
                      <w:bCs/>
                      <w:highlight w:val="none"/>
                    </w:rPr>
                    <w:t>名称</w:t>
                  </w:r>
                </w:p>
              </w:tc>
              <w:tc>
                <w:tcPr>
                  <w:tcW w:w="517" w:type="pct"/>
                  <w:tcBorders>
                    <w:tl2br w:val="nil"/>
                    <w:tr2bl w:val="nil"/>
                  </w:tcBorders>
                  <w:noWrap w:val="0"/>
                  <w:vAlign w:val="center"/>
                </w:tcPr>
                <w:p w14:paraId="33DDD89C">
                  <w:pPr>
                    <w:jc w:val="center"/>
                    <w:rPr>
                      <w:rFonts w:hint="default" w:ascii="Times New Roman" w:hAnsi="Times New Roman" w:eastAsia="宋体" w:cs="Times New Roman"/>
                      <w:b/>
                      <w:bCs/>
                      <w:highlight w:val="none"/>
                      <w:lang w:eastAsia="zh-CN"/>
                    </w:rPr>
                  </w:pPr>
                  <w:r>
                    <w:rPr>
                      <w:rFonts w:hint="default" w:ascii="Times New Roman" w:hAnsi="Times New Roman" w:cs="Times New Roman"/>
                      <w:b/>
                      <w:bCs/>
                      <w:highlight w:val="none"/>
                      <w:lang w:eastAsia="zh-CN"/>
                    </w:rPr>
                    <w:t>单位</w:t>
                  </w:r>
                </w:p>
              </w:tc>
              <w:tc>
                <w:tcPr>
                  <w:tcW w:w="477" w:type="pct"/>
                  <w:tcBorders>
                    <w:tl2br w:val="nil"/>
                    <w:tr2bl w:val="nil"/>
                  </w:tcBorders>
                  <w:noWrap w:val="0"/>
                  <w:vAlign w:val="center"/>
                </w:tcPr>
                <w:p w14:paraId="2457E157">
                  <w:pPr>
                    <w:jc w:val="center"/>
                    <w:rPr>
                      <w:rFonts w:hint="default" w:ascii="Times New Roman" w:hAnsi="Times New Roman" w:cs="Times New Roman"/>
                      <w:b/>
                      <w:bCs/>
                      <w:highlight w:val="none"/>
                    </w:rPr>
                  </w:pPr>
                  <w:r>
                    <w:rPr>
                      <w:rFonts w:hint="default" w:ascii="Times New Roman" w:hAnsi="Times New Roman" w:cs="Times New Roman"/>
                      <w:b/>
                      <w:bCs/>
                      <w:highlight w:val="none"/>
                    </w:rPr>
                    <w:t>数量</w:t>
                  </w:r>
                </w:p>
              </w:tc>
              <w:tc>
                <w:tcPr>
                  <w:tcW w:w="2289" w:type="pct"/>
                  <w:tcBorders>
                    <w:tl2br w:val="nil"/>
                    <w:tr2bl w:val="nil"/>
                  </w:tcBorders>
                  <w:noWrap w:val="0"/>
                  <w:vAlign w:val="center"/>
                </w:tcPr>
                <w:p w14:paraId="5078A0AA">
                  <w:pPr>
                    <w:jc w:val="center"/>
                    <w:rPr>
                      <w:rFonts w:hint="default" w:ascii="Times New Roman" w:hAnsi="Times New Roman" w:cs="Times New Roman"/>
                      <w:b/>
                      <w:bCs/>
                      <w:highlight w:val="none"/>
                    </w:rPr>
                  </w:pPr>
                  <w:r>
                    <w:rPr>
                      <w:rFonts w:hint="default" w:ascii="Times New Roman" w:hAnsi="Times New Roman" w:cs="Times New Roman"/>
                      <w:b/>
                      <w:bCs/>
                      <w:highlight w:val="none"/>
                    </w:rPr>
                    <w:t>备注</w:t>
                  </w:r>
                </w:p>
              </w:tc>
            </w:tr>
            <w:tr w14:paraId="7AAB2C64">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90" w:hRule="atLeast"/>
              </w:trPr>
              <w:tc>
                <w:tcPr>
                  <w:tcW w:w="483" w:type="pct"/>
                  <w:tcBorders>
                    <w:tl2br w:val="nil"/>
                    <w:tr2bl w:val="nil"/>
                  </w:tcBorders>
                  <w:noWrap w:val="0"/>
                  <w:vAlign w:val="center"/>
                </w:tcPr>
                <w:p w14:paraId="51B0544F">
                  <w:pPr>
                    <w:jc w:val="center"/>
                    <w:rPr>
                      <w:rFonts w:hint="default" w:ascii="Times New Roman" w:hAnsi="Times New Roman" w:eastAsia="宋体" w:cs="Times New Roman"/>
                      <w:kern w:val="2"/>
                      <w:sz w:val="21"/>
                      <w:szCs w:val="21"/>
                      <w:highlight w:val="none"/>
                      <w:lang w:val="en-US" w:eastAsia="zh-CN" w:bidi="ar-SA"/>
                    </w:rPr>
                  </w:pPr>
                  <w:r>
                    <w:rPr>
                      <w:rFonts w:hint="eastAsia" w:eastAsia="宋体" w:cs="Times New Roman"/>
                      <w:kern w:val="2"/>
                      <w:sz w:val="21"/>
                      <w:szCs w:val="21"/>
                      <w:highlight w:val="none"/>
                      <w:lang w:val="en-US" w:eastAsia="zh-CN" w:bidi="ar-SA"/>
                    </w:rPr>
                    <w:t>1</w:t>
                  </w:r>
                </w:p>
              </w:tc>
              <w:tc>
                <w:tcPr>
                  <w:tcW w:w="1231" w:type="pct"/>
                  <w:tcBorders>
                    <w:tl2br w:val="nil"/>
                    <w:tr2bl w:val="nil"/>
                  </w:tcBorders>
                  <w:noWrap w:val="0"/>
                  <w:vAlign w:val="center"/>
                </w:tcPr>
                <w:p w14:paraId="27EF101B">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料仓喂料机</w:t>
                  </w:r>
                </w:p>
              </w:tc>
              <w:tc>
                <w:tcPr>
                  <w:tcW w:w="517" w:type="pct"/>
                  <w:tcBorders>
                    <w:tl2br w:val="nil"/>
                    <w:tr2bl w:val="nil"/>
                  </w:tcBorders>
                  <w:noWrap w:val="0"/>
                  <w:vAlign w:val="center"/>
                </w:tcPr>
                <w:p w14:paraId="4085C6C6">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台</w:t>
                  </w:r>
                </w:p>
              </w:tc>
              <w:tc>
                <w:tcPr>
                  <w:tcW w:w="477" w:type="pct"/>
                  <w:tcBorders>
                    <w:tl2br w:val="nil"/>
                    <w:tr2bl w:val="nil"/>
                  </w:tcBorders>
                  <w:noWrap w:val="0"/>
                  <w:vAlign w:val="center"/>
                </w:tcPr>
                <w:p w14:paraId="081F6DC2">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1</w:t>
                  </w:r>
                </w:p>
              </w:tc>
              <w:tc>
                <w:tcPr>
                  <w:tcW w:w="2289" w:type="pct"/>
                  <w:tcBorders>
                    <w:tl2br w:val="nil"/>
                    <w:tr2bl w:val="nil"/>
                  </w:tcBorders>
                  <w:noWrap w:val="0"/>
                  <w:vAlign w:val="center"/>
                </w:tcPr>
                <w:p w14:paraId="01338966">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可以将原料均匀、定时、连续的给破碎机喂料</w:t>
                  </w:r>
                </w:p>
              </w:tc>
            </w:tr>
            <w:tr w14:paraId="505F58B2">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51" w:hRule="atLeast"/>
              </w:trPr>
              <w:tc>
                <w:tcPr>
                  <w:tcW w:w="483" w:type="pct"/>
                  <w:tcBorders>
                    <w:tl2br w:val="nil"/>
                    <w:tr2bl w:val="nil"/>
                  </w:tcBorders>
                  <w:noWrap w:val="0"/>
                  <w:vAlign w:val="center"/>
                </w:tcPr>
                <w:p w14:paraId="7473B054">
                  <w:pPr>
                    <w:jc w:val="center"/>
                    <w:rPr>
                      <w:rFonts w:hint="eastAsia" w:ascii="Times New Roman" w:hAnsi="Times New Roman" w:eastAsia="宋体" w:cs="Times New Roman"/>
                      <w:highlight w:val="none"/>
                      <w:lang w:eastAsia="zh-CN"/>
                    </w:rPr>
                  </w:pPr>
                  <w:r>
                    <w:rPr>
                      <w:rFonts w:hint="eastAsia" w:cs="Times New Roman"/>
                      <w:highlight w:val="none"/>
                      <w:lang w:val="en-US" w:eastAsia="zh-CN"/>
                    </w:rPr>
                    <w:t>2</w:t>
                  </w:r>
                </w:p>
              </w:tc>
              <w:tc>
                <w:tcPr>
                  <w:tcW w:w="1231" w:type="pct"/>
                  <w:tcBorders>
                    <w:tl2br w:val="nil"/>
                    <w:tr2bl w:val="nil"/>
                  </w:tcBorders>
                  <w:noWrap w:val="0"/>
                  <w:vAlign w:val="center"/>
                </w:tcPr>
                <w:p w14:paraId="6D7B6265">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颚式破碎机</w:t>
                  </w:r>
                </w:p>
              </w:tc>
              <w:tc>
                <w:tcPr>
                  <w:tcW w:w="517" w:type="pct"/>
                  <w:tcBorders>
                    <w:tl2br w:val="nil"/>
                    <w:tr2bl w:val="nil"/>
                  </w:tcBorders>
                  <w:noWrap w:val="0"/>
                  <w:vAlign w:val="center"/>
                </w:tcPr>
                <w:p w14:paraId="36611EEA">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台</w:t>
                  </w:r>
                </w:p>
              </w:tc>
              <w:tc>
                <w:tcPr>
                  <w:tcW w:w="477" w:type="pct"/>
                  <w:tcBorders>
                    <w:tl2br w:val="nil"/>
                    <w:tr2bl w:val="nil"/>
                  </w:tcBorders>
                  <w:noWrap w:val="0"/>
                  <w:vAlign w:val="center"/>
                </w:tcPr>
                <w:p w14:paraId="1C849493">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1</w:t>
                  </w:r>
                </w:p>
              </w:tc>
              <w:tc>
                <w:tcPr>
                  <w:tcW w:w="2289" w:type="pct"/>
                  <w:tcBorders>
                    <w:tl2br w:val="nil"/>
                    <w:tr2bl w:val="nil"/>
                  </w:tcBorders>
                  <w:noWrap w:val="0"/>
                  <w:vAlign w:val="center"/>
                </w:tcPr>
                <w:p w14:paraId="09F36FD9">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将原材料进行基本破碎</w:t>
                  </w:r>
                </w:p>
              </w:tc>
            </w:tr>
            <w:tr w14:paraId="3D7B554B">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PrEx>
              <w:trPr>
                <w:trHeight w:val="348" w:hRule="atLeast"/>
              </w:trPr>
              <w:tc>
                <w:tcPr>
                  <w:tcW w:w="483" w:type="pct"/>
                  <w:tcBorders>
                    <w:tl2br w:val="nil"/>
                    <w:tr2bl w:val="nil"/>
                  </w:tcBorders>
                  <w:noWrap w:val="0"/>
                  <w:vAlign w:val="center"/>
                </w:tcPr>
                <w:p w14:paraId="5277AE2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rPr>
                    <w:t>3</w:t>
                  </w:r>
                </w:p>
              </w:tc>
              <w:tc>
                <w:tcPr>
                  <w:tcW w:w="1231" w:type="pct"/>
                  <w:tcBorders>
                    <w:tl2br w:val="nil"/>
                    <w:tr2bl w:val="nil"/>
                  </w:tcBorders>
                  <w:noWrap w:val="0"/>
                  <w:vAlign w:val="center"/>
                </w:tcPr>
                <w:p w14:paraId="06BD9274">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水洗筛分机</w:t>
                  </w:r>
                </w:p>
              </w:tc>
              <w:tc>
                <w:tcPr>
                  <w:tcW w:w="517" w:type="pct"/>
                  <w:tcBorders>
                    <w:tl2br w:val="nil"/>
                    <w:tr2bl w:val="nil"/>
                  </w:tcBorders>
                  <w:noWrap w:val="0"/>
                  <w:vAlign w:val="center"/>
                </w:tcPr>
                <w:p w14:paraId="62034109">
                  <w:pPr>
                    <w:jc w:val="center"/>
                    <w:rPr>
                      <w:rFonts w:hint="default" w:ascii="Times New Roman" w:hAnsi="Times New Roman" w:cs="Times New Roman"/>
                      <w:highlight w:val="none"/>
                    </w:rPr>
                  </w:pPr>
                  <w:r>
                    <w:rPr>
                      <w:rFonts w:hint="eastAsia" w:cs="Times New Roman"/>
                      <w:highlight w:val="none"/>
                      <w:lang w:val="en-US" w:eastAsia="zh-CN"/>
                    </w:rPr>
                    <w:t>台</w:t>
                  </w:r>
                </w:p>
              </w:tc>
              <w:tc>
                <w:tcPr>
                  <w:tcW w:w="477" w:type="pct"/>
                  <w:tcBorders>
                    <w:tl2br w:val="nil"/>
                    <w:tr2bl w:val="nil"/>
                  </w:tcBorders>
                  <w:noWrap w:val="0"/>
                  <w:vAlign w:val="center"/>
                </w:tcPr>
                <w:p w14:paraId="1557F120">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2</w:t>
                  </w:r>
                </w:p>
              </w:tc>
              <w:tc>
                <w:tcPr>
                  <w:tcW w:w="2289" w:type="pct"/>
                  <w:tcBorders>
                    <w:tl2br w:val="nil"/>
                    <w:tr2bl w:val="nil"/>
                  </w:tcBorders>
                  <w:noWrap w:val="0"/>
                  <w:vAlign w:val="center"/>
                </w:tcPr>
                <w:p w14:paraId="1BBB8B93">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颚破过的原材料进行水筛</w:t>
                  </w:r>
                </w:p>
              </w:tc>
            </w:tr>
            <w:tr w14:paraId="14A084BA">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84" w:hRule="atLeast"/>
              </w:trPr>
              <w:tc>
                <w:tcPr>
                  <w:tcW w:w="483" w:type="pct"/>
                  <w:tcBorders>
                    <w:tl2br w:val="nil"/>
                    <w:tr2bl w:val="nil"/>
                  </w:tcBorders>
                  <w:noWrap w:val="0"/>
                  <w:vAlign w:val="center"/>
                </w:tcPr>
                <w:p w14:paraId="09EA5A0D">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4</w:t>
                  </w:r>
                </w:p>
              </w:tc>
              <w:tc>
                <w:tcPr>
                  <w:tcW w:w="1231" w:type="pct"/>
                  <w:tcBorders>
                    <w:tl2br w:val="nil"/>
                    <w:tr2bl w:val="nil"/>
                  </w:tcBorders>
                  <w:noWrap w:val="0"/>
                  <w:vAlign w:val="center"/>
                </w:tcPr>
                <w:p w14:paraId="33156154">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粉碎机</w:t>
                  </w:r>
                </w:p>
              </w:tc>
              <w:tc>
                <w:tcPr>
                  <w:tcW w:w="517" w:type="pct"/>
                  <w:tcBorders>
                    <w:tl2br w:val="nil"/>
                    <w:tr2bl w:val="nil"/>
                  </w:tcBorders>
                  <w:noWrap w:val="0"/>
                  <w:vAlign w:val="center"/>
                </w:tcPr>
                <w:p w14:paraId="37248E0D">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台</w:t>
                  </w:r>
                </w:p>
              </w:tc>
              <w:tc>
                <w:tcPr>
                  <w:tcW w:w="477" w:type="pct"/>
                  <w:tcBorders>
                    <w:tl2br w:val="nil"/>
                    <w:tr2bl w:val="nil"/>
                  </w:tcBorders>
                  <w:noWrap w:val="0"/>
                  <w:vAlign w:val="center"/>
                </w:tcPr>
                <w:p w14:paraId="581F2407">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2</w:t>
                  </w:r>
                </w:p>
              </w:tc>
              <w:tc>
                <w:tcPr>
                  <w:tcW w:w="2289" w:type="pct"/>
                  <w:tcBorders>
                    <w:tl2br w:val="nil"/>
                    <w:tr2bl w:val="nil"/>
                  </w:tcBorders>
                  <w:noWrap w:val="0"/>
                  <w:vAlign w:val="center"/>
                </w:tcPr>
                <w:p w14:paraId="147A10BE">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不符合规格的原料再次粉碎</w:t>
                  </w:r>
                </w:p>
              </w:tc>
            </w:tr>
            <w:tr w14:paraId="550DB789">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59" w:hRule="atLeast"/>
              </w:trPr>
              <w:tc>
                <w:tcPr>
                  <w:tcW w:w="483" w:type="pct"/>
                  <w:tcBorders>
                    <w:tl2br w:val="nil"/>
                    <w:tr2bl w:val="nil"/>
                  </w:tcBorders>
                  <w:noWrap w:val="0"/>
                  <w:vAlign w:val="center"/>
                </w:tcPr>
                <w:p w14:paraId="541A25DE">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5</w:t>
                  </w:r>
                </w:p>
              </w:tc>
              <w:tc>
                <w:tcPr>
                  <w:tcW w:w="1231" w:type="pct"/>
                  <w:tcBorders>
                    <w:tl2br w:val="nil"/>
                    <w:tr2bl w:val="nil"/>
                  </w:tcBorders>
                  <w:noWrap w:val="0"/>
                  <w:vAlign w:val="center"/>
                </w:tcPr>
                <w:p w14:paraId="5F24B137">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水轮</w:t>
                  </w:r>
                  <w:r>
                    <w:rPr>
                      <w:rFonts w:hint="default" w:ascii="Times New Roman" w:hAnsi="Times New Roman" w:cs="Times New Roman"/>
                      <w:highlight w:val="none"/>
                      <w:lang w:val="en-US" w:eastAsia="zh-CN"/>
                    </w:rPr>
                    <w:t>清洗机</w:t>
                  </w:r>
                </w:p>
              </w:tc>
              <w:tc>
                <w:tcPr>
                  <w:tcW w:w="517" w:type="pct"/>
                  <w:tcBorders>
                    <w:tl2br w:val="nil"/>
                    <w:tr2bl w:val="nil"/>
                  </w:tcBorders>
                  <w:noWrap w:val="0"/>
                  <w:vAlign w:val="center"/>
                </w:tcPr>
                <w:p w14:paraId="7FC80818">
                  <w:pPr>
                    <w:jc w:val="center"/>
                    <w:rPr>
                      <w:rFonts w:hint="default" w:ascii="Times New Roman" w:hAnsi="Times New Roman" w:cs="Times New Roman"/>
                      <w:highlight w:val="none"/>
                    </w:rPr>
                  </w:pPr>
                  <w:r>
                    <w:rPr>
                      <w:rFonts w:hint="eastAsia" w:cs="Times New Roman"/>
                      <w:highlight w:val="none"/>
                      <w:lang w:val="en-US" w:eastAsia="zh-CN"/>
                    </w:rPr>
                    <w:t>套</w:t>
                  </w:r>
                </w:p>
              </w:tc>
              <w:tc>
                <w:tcPr>
                  <w:tcW w:w="477" w:type="pct"/>
                  <w:tcBorders>
                    <w:tl2br w:val="nil"/>
                    <w:tr2bl w:val="nil"/>
                  </w:tcBorders>
                  <w:noWrap w:val="0"/>
                  <w:vAlign w:val="center"/>
                </w:tcPr>
                <w:p w14:paraId="0BDEA1AE">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2</w:t>
                  </w:r>
                </w:p>
              </w:tc>
              <w:tc>
                <w:tcPr>
                  <w:tcW w:w="2289" w:type="pct"/>
                  <w:tcBorders>
                    <w:tl2br w:val="nil"/>
                    <w:tr2bl w:val="nil"/>
                  </w:tcBorders>
                  <w:noWrap w:val="0"/>
                  <w:vAlign w:val="center"/>
                </w:tcPr>
                <w:p w14:paraId="5F5A078F">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水轮转动带着砂石翻转和淘洗</w:t>
                  </w:r>
                </w:p>
              </w:tc>
            </w:tr>
            <w:tr w14:paraId="5C26096E">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59" w:hRule="atLeast"/>
              </w:trPr>
              <w:tc>
                <w:tcPr>
                  <w:tcW w:w="483" w:type="pct"/>
                  <w:tcBorders>
                    <w:tl2br w:val="nil"/>
                    <w:tr2bl w:val="nil"/>
                  </w:tcBorders>
                  <w:noWrap w:val="0"/>
                  <w:vAlign w:val="center"/>
                </w:tcPr>
                <w:p w14:paraId="64E20516">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6</w:t>
                  </w:r>
                </w:p>
              </w:tc>
              <w:tc>
                <w:tcPr>
                  <w:tcW w:w="1231" w:type="pct"/>
                  <w:tcBorders>
                    <w:tl2br w:val="nil"/>
                    <w:tr2bl w:val="nil"/>
                  </w:tcBorders>
                  <w:noWrap w:val="0"/>
                  <w:vAlign w:val="center"/>
                </w:tcPr>
                <w:p w14:paraId="237ABCC5">
                  <w:pPr>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脱水筛</w:t>
                  </w:r>
                </w:p>
              </w:tc>
              <w:tc>
                <w:tcPr>
                  <w:tcW w:w="517" w:type="pct"/>
                  <w:tcBorders>
                    <w:tl2br w:val="nil"/>
                    <w:tr2bl w:val="nil"/>
                  </w:tcBorders>
                  <w:noWrap w:val="0"/>
                  <w:vAlign w:val="center"/>
                </w:tcPr>
                <w:p w14:paraId="5C9E5436">
                  <w:pPr>
                    <w:jc w:val="center"/>
                    <w:rPr>
                      <w:rFonts w:hint="default" w:ascii="Times New Roman" w:hAnsi="Times New Roman" w:cs="Times New Roman"/>
                      <w:highlight w:val="none"/>
                      <w:lang w:eastAsia="zh-CN"/>
                    </w:rPr>
                  </w:pPr>
                  <w:r>
                    <w:rPr>
                      <w:rFonts w:hint="eastAsia" w:cs="Times New Roman"/>
                      <w:highlight w:val="none"/>
                      <w:lang w:val="en-US" w:eastAsia="zh-CN"/>
                    </w:rPr>
                    <w:t>台</w:t>
                  </w:r>
                </w:p>
              </w:tc>
              <w:tc>
                <w:tcPr>
                  <w:tcW w:w="477" w:type="pct"/>
                  <w:tcBorders>
                    <w:tl2br w:val="nil"/>
                    <w:tr2bl w:val="nil"/>
                  </w:tcBorders>
                  <w:noWrap w:val="0"/>
                  <w:vAlign w:val="center"/>
                </w:tcPr>
                <w:p w14:paraId="537608A2">
                  <w:pPr>
                    <w:jc w:val="center"/>
                    <w:rPr>
                      <w:rFonts w:hint="default" w:ascii="Times New Roman" w:hAnsi="Times New Roman" w:cs="Times New Roman"/>
                      <w:highlight w:val="none"/>
                      <w:lang w:val="en-US" w:eastAsia="zh-CN"/>
                    </w:rPr>
                  </w:pPr>
                  <w:r>
                    <w:rPr>
                      <w:rFonts w:hint="eastAsia" w:cs="Times New Roman"/>
                      <w:highlight w:val="none"/>
                      <w:lang w:val="en-US" w:eastAsia="zh-CN"/>
                    </w:rPr>
                    <w:t>2</w:t>
                  </w:r>
                </w:p>
              </w:tc>
              <w:tc>
                <w:tcPr>
                  <w:tcW w:w="2289" w:type="pct"/>
                  <w:tcBorders>
                    <w:tl2br w:val="nil"/>
                    <w:tr2bl w:val="nil"/>
                  </w:tcBorders>
                  <w:noWrap w:val="0"/>
                  <w:vAlign w:val="center"/>
                </w:tcPr>
                <w:p w14:paraId="62F782B0">
                  <w:pPr>
                    <w:jc w:val="center"/>
                    <w:rPr>
                      <w:rFonts w:hint="default" w:ascii="Times New Roman" w:hAnsi="Times New Roman" w:cs="Times New Roman"/>
                      <w:highlight w:val="none"/>
                      <w:lang w:val="en-US" w:eastAsia="zh-CN"/>
                    </w:rPr>
                  </w:pPr>
                  <w:r>
                    <w:rPr>
                      <w:rFonts w:hint="eastAsia" w:cs="Times New Roman"/>
                      <w:highlight w:val="none"/>
                      <w:lang w:val="en-US" w:eastAsia="zh-CN"/>
                    </w:rPr>
                    <w:t>都作用于砂石脱水干燥</w:t>
                  </w:r>
                </w:p>
              </w:tc>
            </w:tr>
            <w:tr w14:paraId="4A19F203">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402" w:hRule="atLeast"/>
              </w:trPr>
              <w:tc>
                <w:tcPr>
                  <w:tcW w:w="483" w:type="pct"/>
                  <w:tcBorders>
                    <w:tl2br w:val="nil"/>
                    <w:tr2bl w:val="nil"/>
                  </w:tcBorders>
                  <w:noWrap w:val="0"/>
                  <w:vAlign w:val="center"/>
                </w:tcPr>
                <w:p w14:paraId="5F4B606E">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7</w:t>
                  </w:r>
                </w:p>
              </w:tc>
              <w:tc>
                <w:tcPr>
                  <w:tcW w:w="1231" w:type="pct"/>
                  <w:tcBorders>
                    <w:tl2br w:val="nil"/>
                    <w:tr2bl w:val="nil"/>
                  </w:tcBorders>
                  <w:noWrap w:val="0"/>
                  <w:vAlign w:val="center"/>
                </w:tcPr>
                <w:p w14:paraId="0BA85ECF">
                  <w:pPr>
                    <w:jc w:val="center"/>
                    <w:rPr>
                      <w:rFonts w:hint="default" w:ascii="Times New Roman" w:hAnsi="Times New Roman" w:cs="Times New Roman"/>
                      <w:highlight w:val="none"/>
                      <w:lang w:val="en-US" w:eastAsia="zh-CN"/>
                    </w:rPr>
                  </w:pPr>
                  <w:r>
                    <w:rPr>
                      <w:rFonts w:hint="eastAsia" w:cs="Times New Roman"/>
                      <w:highlight w:val="none"/>
                      <w:lang w:val="en-US" w:eastAsia="zh-CN"/>
                    </w:rPr>
                    <w:t>皮带输送带</w:t>
                  </w:r>
                </w:p>
              </w:tc>
              <w:tc>
                <w:tcPr>
                  <w:tcW w:w="517" w:type="pct"/>
                  <w:tcBorders>
                    <w:tl2br w:val="nil"/>
                    <w:tr2bl w:val="nil"/>
                  </w:tcBorders>
                  <w:noWrap w:val="0"/>
                  <w:vAlign w:val="center"/>
                </w:tcPr>
                <w:p w14:paraId="41748C19">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台</w:t>
                  </w:r>
                </w:p>
              </w:tc>
              <w:tc>
                <w:tcPr>
                  <w:tcW w:w="477" w:type="pct"/>
                  <w:tcBorders>
                    <w:tl2br w:val="nil"/>
                    <w:tr2bl w:val="nil"/>
                  </w:tcBorders>
                  <w:noWrap w:val="0"/>
                  <w:vAlign w:val="center"/>
                </w:tcPr>
                <w:p w14:paraId="6AAE6832">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若干</w:t>
                  </w:r>
                </w:p>
              </w:tc>
              <w:tc>
                <w:tcPr>
                  <w:tcW w:w="2289" w:type="pct"/>
                  <w:tcBorders>
                    <w:tl2br w:val="nil"/>
                    <w:tr2bl w:val="nil"/>
                  </w:tcBorders>
                  <w:noWrap w:val="0"/>
                  <w:vAlign w:val="center"/>
                </w:tcPr>
                <w:p w14:paraId="32A0E5BD">
                  <w:pPr>
                    <w:jc w:val="center"/>
                    <w:rPr>
                      <w:rFonts w:hint="default" w:ascii="Times New Roman" w:hAnsi="Times New Roman" w:cs="Times New Roman"/>
                      <w:highlight w:val="none"/>
                      <w:lang w:val="en-US" w:eastAsia="zh-CN"/>
                    </w:rPr>
                  </w:pPr>
                  <w:r>
                    <w:rPr>
                      <w:rFonts w:hint="eastAsia" w:cs="Times New Roman"/>
                      <w:highlight w:val="none"/>
                      <w:lang w:val="en-US" w:eastAsia="zh-CN"/>
                    </w:rPr>
                    <w:t>输送带用于连接各个生产设备之间的原料运输，属于配套设施</w:t>
                  </w:r>
                </w:p>
              </w:tc>
            </w:tr>
            <w:tr w14:paraId="1628DF46">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PrEx>
              <w:trPr>
                <w:trHeight w:val="423" w:hRule="atLeast"/>
              </w:trPr>
              <w:tc>
                <w:tcPr>
                  <w:tcW w:w="483" w:type="pct"/>
                  <w:tcBorders>
                    <w:tl2br w:val="nil"/>
                    <w:tr2bl w:val="nil"/>
                  </w:tcBorders>
                  <w:noWrap w:val="0"/>
                  <w:vAlign w:val="center"/>
                </w:tcPr>
                <w:p w14:paraId="5CD820B4">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8</w:t>
                  </w:r>
                </w:p>
              </w:tc>
              <w:tc>
                <w:tcPr>
                  <w:tcW w:w="1231" w:type="pct"/>
                  <w:tcBorders>
                    <w:tl2br w:val="nil"/>
                    <w:tr2bl w:val="nil"/>
                  </w:tcBorders>
                  <w:noWrap w:val="0"/>
                  <w:vAlign w:val="center"/>
                </w:tcPr>
                <w:p w14:paraId="4BBB1A65">
                  <w:pPr>
                    <w:jc w:val="center"/>
                    <w:rPr>
                      <w:rFonts w:hint="default" w:cs="Times New Roman"/>
                      <w:highlight w:val="none"/>
                      <w:lang w:val="en-US" w:eastAsia="zh-CN"/>
                    </w:rPr>
                  </w:pPr>
                  <w:r>
                    <w:rPr>
                      <w:rFonts w:hint="eastAsia" w:cs="Times New Roman"/>
                      <w:highlight w:val="none"/>
                      <w:lang w:val="en-US" w:eastAsia="zh-CN"/>
                    </w:rPr>
                    <w:t>板框压滤机</w:t>
                  </w:r>
                </w:p>
              </w:tc>
              <w:tc>
                <w:tcPr>
                  <w:tcW w:w="517" w:type="pct"/>
                  <w:tcBorders>
                    <w:tl2br w:val="nil"/>
                    <w:tr2bl w:val="nil"/>
                  </w:tcBorders>
                  <w:noWrap w:val="0"/>
                  <w:vAlign w:val="center"/>
                </w:tcPr>
                <w:p w14:paraId="148B1FBB">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台</w:t>
                  </w:r>
                </w:p>
              </w:tc>
              <w:tc>
                <w:tcPr>
                  <w:tcW w:w="477" w:type="pct"/>
                  <w:tcBorders>
                    <w:tl2br w:val="nil"/>
                    <w:tr2bl w:val="nil"/>
                  </w:tcBorders>
                  <w:noWrap w:val="0"/>
                  <w:vAlign w:val="center"/>
                </w:tcPr>
                <w:p w14:paraId="1B953A86">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2</w:t>
                  </w:r>
                </w:p>
              </w:tc>
              <w:tc>
                <w:tcPr>
                  <w:tcW w:w="2289" w:type="pct"/>
                  <w:tcBorders>
                    <w:tl2br w:val="nil"/>
                    <w:tr2bl w:val="nil"/>
                  </w:tcBorders>
                  <w:noWrap w:val="0"/>
                  <w:vAlign w:val="center"/>
                </w:tcPr>
                <w:p w14:paraId="55DB3143">
                  <w:pPr>
                    <w:jc w:val="center"/>
                    <w:rPr>
                      <w:rFonts w:hint="default" w:ascii="Times New Roman" w:hAnsi="Times New Roman" w:cs="Times New Roman"/>
                      <w:highlight w:val="none"/>
                      <w:lang w:val="en-US" w:eastAsia="zh-CN"/>
                    </w:rPr>
                  </w:pPr>
                  <w:r>
                    <w:rPr>
                      <w:rFonts w:hint="eastAsia" w:cs="Times New Roman"/>
                      <w:highlight w:val="none"/>
                      <w:lang w:val="en-US" w:eastAsia="zh-CN"/>
                    </w:rPr>
                    <w:t>压缩沉淀的底泥，体积减小便于拉走</w:t>
                  </w:r>
                </w:p>
              </w:tc>
            </w:tr>
            <w:tr w14:paraId="0E0CC2F5">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417" w:hRule="atLeast"/>
              </w:trPr>
              <w:tc>
                <w:tcPr>
                  <w:tcW w:w="483" w:type="pct"/>
                  <w:tcBorders>
                    <w:tl2br w:val="nil"/>
                    <w:tr2bl w:val="nil"/>
                  </w:tcBorders>
                  <w:noWrap w:val="0"/>
                  <w:vAlign w:val="center"/>
                </w:tcPr>
                <w:p w14:paraId="01D2866C">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9</w:t>
                  </w:r>
                </w:p>
              </w:tc>
              <w:tc>
                <w:tcPr>
                  <w:tcW w:w="1231" w:type="pct"/>
                  <w:tcBorders>
                    <w:tl2br w:val="nil"/>
                    <w:tr2bl w:val="nil"/>
                  </w:tcBorders>
                  <w:noWrap w:val="0"/>
                  <w:vAlign w:val="center"/>
                </w:tcPr>
                <w:p w14:paraId="130485A2">
                  <w:pPr>
                    <w:jc w:val="center"/>
                    <w:rPr>
                      <w:rFonts w:hint="default" w:cs="Times New Roman"/>
                      <w:highlight w:val="none"/>
                      <w:lang w:val="en-US" w:eastAsia="zh-CN"/>
                    </w:rPr>
                  </w:pPr>
                  <w:r>
                    <w:rPr>
                      <w:rFonts w:hint="eastAsia" w:cs="Times New Roman"/>
                      <w:highlight w:val="none"/>
                      <w:lang w:val="en-US" w:eastAsia="zh-CN"/>
                    </w:rPr>
                    <w:t>污水沉降罐</w:t>
                  </w:r>
                </w:p>
              </w:tc>
              <w:tc>
                <w:tcPr>
                  <w:tcW w:w="517" w:type="pct"/>
                  <w:tcBorders>
                    <w:tl2br w:val="nil"/>
                    <w:tr2bl w:val="nil"/>
                  </w:tcBorders>
                  <w:noWrap w:val="0"/>
                  <w:vAlign w:val="center"/>
                </w:tcPr>
                <w:p w14:paraId="1F652812">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个</w:t>
                  </w:r>
                </w:p>
              </w:tc>
              <w:tc>
                <w:tcPr>
                  <w:tcW w:w="477" w:type="pct"/>
                  <w:tcBorders>
                    <w:tl2br w:val="nil"/>
                    <w:tr2bl w:val="nil"/>
                  </w:tcBorders>
                  <w:noWrap w:val="0"/>
                  <w:vAlign w:val="center"/>
                </w:tcPr>
                <w:p w14:paraId="56F8A446">
                  <w:pPr>
                    <w:jc w:val="center"/>
                    <w:rPr>
                      <w:rFonts w:hint="eastAsia" w:ascii="Times New Roman" w:hAnsi="Times New Roman" w:eastAsia="宋体" w:cs="Times New Roman"/>
                      <w:kern w:val="2"/>
                      <w:sz w:val="21"/>
                      <w:szCs w:val="21"/>
                      <w:highlight w:val="none"/>
                      <w:lang w:val="en-US" w:eastAsia="zh-CN" w:bidi="ar-SA"/>
                    </w:rPr>
                  </w:pPr>
                  <w:r>
                    <w:rPr>
                      <w:rFonts w:hint="eastAsia" w:cs="Times New Roman"/>
                      <w:highlight w:val="none"/>
                      <w:lang w:val="en-US" w:eastAsia="zh-CN"/>
                    </w:rPr>
                    <w:t>1</w:t>
                  </w:r>
                </w:p>
              </w:tc>
              <w:tc>
                <w:tcPr>
                  <w:tcW w:w="2289" w:type="pct"/>
                  <w:tcBorders>
                    <w:tl2br w:val="nil"/>
                    <w:tr2bl w:val="nil"/>
                  </w:tcBorders>
                  <w:noWrap w:val="0"/>
                  <w:vAlign w:val="center"/>
                </w:tcPr>
                <w:p w14:paraId="2A10A944">
                  <w:pPr>
                    <w:jc w:val="center"/>
                    <w:rPr>
                      <w:rFonts w:hint="default" w:ascii="Times New Roman" w:hAnsi="Times New Roman" w:cs="Times New Roman"/>
                      <w:highlight w:val="none"/>
                      <w:lang w:val="en-US" w:eastAsia="zh-CN"/>
                    </w:rPr>
                  </w:pPr>
                  <w:r>
                    <w:rPr>
                      <w:rFonts w:hint="eastAsia" w:cs="Times New Roman"/>
                      <w:highlight w:val="none"/>
                      <w:lang w:val="en-US" w:eastAsia="zh-CN"/>
                    </w:rPr>
                    <w:t>生产废水在沉降罐内沉淀</w:t>
                  </w:r>
                </w:p>
              </w:tc>
            </w:tr>
            <w:tr w14:paraId="348E8BEB">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566" w:hRule="atLeast"/>
              </w:trPr>
              <w:tc>
                <w:tcPr>
                  <w:tcW w:w="483" w:type="pct"/>
                  <w:tcBorders>
                    <w:tl2br w:val="nil"/>
                    <w:tr2bl w:val="nil"/>
                  </w:tcBorders>
                  <w:noWrap w:val="0"/>
                  <w:vAlign w:val="center"/>
                </w:tcPr>
                <w:p w14:paraId="27926D7B">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10</w:t>
                  </w:r>
                </w:p>
              </w:tc>
              <w:tc>
                <w:tcPr>
                  <w:tcW w:w="1231" w:type="pct"/>
                  <w:tcBorders>
                    <w:tl2br w:val="nil"/>
                    <w:tr2bl w:val="nil"/>
                  </w:tcBorders>
                  <w:noWrap w:val="0"/>
                  <w:vAlign w:val="center"/>
                </w:tcPr>
                <w:p w14:paraId="3FCBC75E">
                  <w:pPr>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铲车</w:t>
                  </w:r>
                </w:p>
              </w:tc>
              <w:tc>
                <w:tcPr>
                  <w:tcW w:w="517" w:type="pct"/>
                  <w:tcBorders>
                    <w:tl2br w:val="nil"/>
                    <w:tr2bl w:val="nil"/>
                  </w:tcBorders>
                  <w:noWrap w:val="0"/>
                  <w:vAlign w:val="center"/>
                </w:tcPr>
                <w:p w14:paraId="77301F0F">
                  <w:pPr>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辆</w:t>
                  </w:r>
                </w:p>
              </w:tc>
              <w:tc>
                <w:tcPr>
                  <w:tcW w:w="477" w:type="pct"/>
                  <w:tcBorders>
                    <w:tl2br w:val="nil"/>
                    <w:tr2bl w:val="nil"/>
                  </w:tcBorders>
                  <w:noWrap w:val="0"/>
                  <w:vAlign w:val="center"/>
                </w:tcPr>
                <w:p w14:paraId="3BEC5DD3">
                  <w:pPr>
                    <w:jc w:val="center"/>
                    <w:rPr>
                      <w:rFonts w:hint="default" w:ascii="Times New Roman" w:hAnsi="Times New Roman" w:cs="Times New Roman"/>
                      <w:highlight w:val="none"/>
                      <w:lang w:val="en-US" w:eastAsia="zh-CN"/>
                    </w:rPr>
                  </w:pPr>
                  <w:r>
                    <w:rPr>
                      <w:rFonts w:hint="eastAsia" w:cs="Times New Roman"/>
                      <w:highlight w:val="none"/>
                      <w:lang w:val="en-US" w:eastAsia="zh-CN"/>
                    </w:rPr>
                    <w:t>1</w:t>
                  </w:r>
                </w:p>
              </w:tc>
              <w:tc>
                <w:tcPr>
                  <w:tcW w:w="2289" w:type="pct"/>
                  <w:tcBorders>
                    <w:tl2br w:val="nil"/>
                    <w:tr2bl w:val="nil"/>
                  </w:tcBorders>
                  <w:noWrap w:val="0"/>
                  <w:vAlign w:val="center"/>
                </w:tcPr>
                <w:p w14:paraId="53B2AFCA">
                  <w:pPr>
                    <w:jc w:val="center"/>
                    <w:rPr>
                      <w:rFonts w:hint="default" w:ascii="Times New Roman" w:hAnsi="Times New Roman" w:cs="Times New Roman"/>
                      <w:highlight w:val="none"/>
                      <w:lang w:val="en-US" w:eastAsia="zh-CN"/>
                    </w:rPr>
                  </w:pPr>
                  <w:r>
                    <w:rPr>
                      <w:rFonts w:hint="eastAsia" w:cs="Times New Roman"/>
                      <w:highlight w:val="none"/>
                      <w:lang w:val="en-US" w:eastAsia="zh-CN"/>
                    </w:rPr>
                    <w:t>在施工期用于铲平厂区地面，运营期内可以搬运原材料或成品等等</w:t>
                  </w:r>
                </w:p>
              </w:tc>
            </w:tr>
          </w:tbl>
          <w:p w14:paraId="1BB70D30">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黑体" w:cs="Times New Roman"/>
                <w:sz w:val="24"/>
                <w:highlight w:val="none"/>
              </w:rPr>
            </w:pPr>
            <w:r>
              <w:rPr>
                <w:rFonts w:hint="default" w:ascii="Times New Roman" w:hAnsi="Times New Roman" w:eastAsia="黑体" w:cs="Times New Roman"/>
                <w:sz w:val="24"/>
                <w:highlight w:val="none"/>
              </w:rPr>
              <w:t>表</w:t>
            </w:r>
            <w:r>
              <w:rPr>
                <w:rFonts w:hint="eastAsia" w:ascii="Times New Roman" w:hAnsi="Times New Roman" w:eastAsia="黑体" w:cs="Times New Roman"/>
                <w:sz w:val="24"/>
                <w:highlight w:val="none"/>
                <w:lang w:val="en-US" w:eastAsia="zh-CN"/>
              </w:rPr>
              <w:t>2-</w:t>
            </w:r>
            <w:r>
              <w:rPr>
                <w:rFonts w:hint="eastAsia" w:eastAsia="黑体" w:cs="Times New Roman"/>
                <w:sz w:val="24"/>
                <w:highlight w:val="none"/>
                <w:lang w:val="en-US" w:eastAsia="zh-CN"/>
              </w:rPr>
              <w:t>5</w:t>
            </w:r>
            <w:r>
              <w:rPr>
                <w:rFonts w:hint="default" w:ascii="Times New Roman" w:hAnsi="Times New Roman" w:eastAsia="黑体" w:cs="Times New Roman"/>
                <w:sz w:val="24"/>
                <w:highlight w:val="none"/>
              </w:rPr>
              <w:t xml:space="preserve">  </w:t>
            </w:r>
            <w:r>
              <w:rPr>
                <w:rFonts w:hint="eastAsia" w:eastAsia="黑体" w:cs="Times New Roman"/>
                <w:sz w:val="24"/>
                <w:highlight w:val="none"/>
                <w:lang w:val="en-US" w:eastAsia="zh-CN"/>
              </w:rPr>
              <w:t>水泥稳定土生产</w:t>
            </w:r>
            <w:r>
              <w:rPr>
                <w:rFonts w:hint="default" w:ascii="Times New Roman" w:hAnsi="Times New Roman" w:eastAsia="黑体" w:cs="Times New Roman"/>
                <w:sz w:val="24"/>
                <w:highlight w:val="none"/>
              </w:rPr>
              <w:t>主要设备一览表</w:t>
            </w:r>
          </w:p>
          <w:tbl>
            <w:tblPr>
              <w:tblStyle w:val="23"/>
              <w:tblW w:w="488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Layout w:type="fixed"/>
              <w:tblCellMar>
                <w:top w:w="0" w:type="dxa"/>
                <w:left w:w="108" w:type="dxa"/>
                <w:bottom w:w="0" w:type="dxa"/>
                <w:right w:w="108" w:type="dxa"/>
              </w:tblCellMar>
            </w:tblPr>
            <w:tblGrid>
              <w:gridCol w:w="693"/>
              <w:gridCol w:w="2295"/>
              <w:gridCol w:w="744"/>
              <w:gridCol w:w="690"/>
              <w:gridCol w:w="3393"/>
            </w:tblGrid>
            <w:tr w14:paraId="59B82840">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489" w:hRule="atLeast"/>
                <w:jc w:val="center"/>
              </w:trPr>
              <w:tc>
                <w:tcPr>
                  <w:tcW w:w="443" w:type="pct"/>
                  <w:tcBorders>
                    <w:tl2br w:val="nil"/>
                    <w:tr2bl w:val="nil"/>
                  </w:tcBorders>
                  <w:noWrap w:val="0"/>
                  <w:vAlign w:val="center"/>
                </w:tcPr>
                <w:p w14:paraId="2324F7FE">
                  <w:pPr>
                    <w:jc w:val="center"/>
                    <w:rPr>
                      <w:rFonts w:hint="default" w:ascii="Times New Roman" w:hAnsi="Times New Roman" w:cs="Times New Roman"/>
                      <w:b/>
                      <w:bCs/>
                      <w:highlight w:val="none"/>
                    </w:rPr>
                  </w:pPr>
                  <w:r>
                    <w:rPr>
                      <w:rFonts w:hint="default" w:ascii="Times New Roman" w:hAnsi="Times New Roman" w:cs="Times New Roman"/>
                      <w:b/>
                      <w:bCs/>
                      <w:highlight w:val="none"/>
                    </w:rPr>
                    <w:t>序号</w:t>
                  </w:r>
                </w:p>
              </w:tc>
              <w:tc>
                <w:tcPr>
                  <w:tcW w:w="1468" w:type="pct"/>
                  <w:tcBorders>
                    <w:tl2br w:val="nil"/>
                    <w:tr2bl w:val="nil"/>
                  </w:tcBorders>
                  <w:noWrap w:val="0"/>
                  <w:vAlign w:val="center"/>
                </w:tcPr>
                <w:p w14:paraId="68DEF64C">
                  <w:pPr>
                    <w:jc w:val="center"/>
                    <w:rPr>
                      <w:rFonts w:hint="default" w:ascii="Times New Roman" w:hAnsi="Times New Roman" w:cs="Times New Roman"/>
                      <w:b/>
                      <w:bCs/>
                      <w:highlight w:val="none"/>
                    </w:rPr>
                  </w:pPr>
                  <w:r>
                    <w:rPr>
                      <w:rFonts w:hint="default" w:ascii="Times New Roman" w:hAnsi="Times New Roman" w:cs="Times New Roman"/>
                      <w:b/>
                      <w:bCs/>
                      <w:highlight w:val="none"/>
                    </w:rPr>
                    <w:t>名称</w:t>
                  </w:r>
                </w:p>
              </w:tc>
              <w:tc>
                <w:tcPr>
                  <w:tcW w:w="476" w:type="pct"/>
                  <w:tcBorders>
                    <w:tl2br w:val="nil"/>
                    <w:tr2bl w:val="nil"/>
                  </w:tcBorders>
                  <w:noWrap w:val="0"/>
                  <w:vAlign w:val="center"/>
                </w:tcPr>
                <w:p w14:paraId="7D1142DE">
                  <w:pPr>
                    <w:jc w:val="center"/>
                    <w:rPr>
                      <w:rFonts w:hint="default" w:ascii="Times New Roman" w:hAnsi="Times New Roman" w:eastAsia="宋体" w:cs="Times New Roman"/>
                      <w:b/>
                      <w:bCs/>
                      <w:highlight w:val="none"/>
                      <w:lang w:eastAsia="zh-CN"/>
                    </w:rPr>
                  </w:pPr>
                  <w:r>
                    <w:rPr>
                      <w:rFonts w:hint="default" w:ascii="Times New Roman" w:hAnsi="Times New Roman" w:cs="Times New Roman"/>
                      <w:b/>
                      <w:bCs/>
                      <w:highlight w:val="none"/>
                      <w:lang w:eastAsia="zh-CN"/>
                    </w:rPr>
                    <w:t>单位</w:t>
                  </w:r>
                </w:p>
              </w:tc>
              <w:tc>
                <w:tcPr>
                  <w:tcW w:w="441" w:type="pct"/>
                  <w:tcBorders>
                    <w:tl2br w:val="nil"/>
                    <w:tr2bl w:val="nil"/>
                  </w:tcBorders>
                  <w:noWrap w:val="0"/>
                  <w:vAlign w:val="center"/>
                </w:tcPr>
                <w:p w14:paraId="1E0A9A1F">
                  <w:pPr>
                    <w:jc w:val="center"/>
                    <w:rPr>
                      <w:rFonts w:hint="default" w:ascii="Times New Roman" w:hAnsi="Times New Roman" w:cs="Times New Roman"/>
                      <w:b/>
                      <w:bCs/>
                      <w:highlight w:val="none"/>
                    </w:rPr>
                  </w:pPr>
                  <w:r>
                    <w:rPr>
                      <w:rFonts w:hint="default" w:ascii="Times New Roman" w:hAnsi="Times New Roman" w:cs="Times New Roman"/>
                      <w:b/>
                      <w:bCs/>
                      <w:highlight w:val="none"/>
                    </w:rPr>
                    <w:t>数量</w:t>
                  </w:r>
                </w:p>
              </w:tc>
              <w:tc>
                <w:tcPr>
                  <w:tcW w:w="2170" w:type="pct"/>
                  <w:tcBorders>
                    <w:tl2br w:val="nil"/>
                    <w:tr2bl w:val="nil"/>
                  </w:tcBorders>
                  <w:noWrap w:val="0"/>
                  <w:vAlign w:val="center"/>
                </w:tcPr>
                <w:p w14:paraId="3D98C716">
                  <w:pPr>
                    <w:jc w:val="center"/>
                    <w:rPr>
                      <w:rFonts w:hint="default" w:ascii="Times New Roman" w:hAnsi="Times New Roman" w:cs="Times New Roman"/>
                      <w:b/>
                      <w:bCs/>
                      <w:highlight w:val="none"/>
                    </w:rPr>
                  </w:pPr>
                  <w:r>
                    <w:rPr>
                      <w:rFonts w:hint="default" w:ascii="Times New Roman" w:hAnsi="Times New Roman" w:cs="Times New Roman"/>
                      <w:b/>
                      <w:bCs/>
                      <w:highlight w:val="none"/>
                    </w:rPr>
                    <w:t>备注</w:t>
                  </w:r>
                </w:p>
              </w:tc>
            </w:tr>
            <w:tr w14:paraId="7BB3FFE2">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95" w:hRule="atLeast"/>
                <w:jc w:val="center"/>
              </w:trPr>
              <w:tc>
                <w:tcPr>
                  <w:tcW w:w="443" w:type="pct"/>
                  <w:tcBorders>
                    <w:tl2br w:val="nil"/>
                    <w:tr2bl w:val="nil"/>
                  </w:tcBorders>
                  <w:noWrap w:val="0"/>
                  <w:vAlign w:val="center"/>
                </w:tcPr>
                <w:p w14:paraId="3A5CC3F6">
                  <w:pPr>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1468" w:type="pct"/>
                  <w:tcBorders>
                    <w:tl2br w:val="nil"/>
                    <w:tr2bl w:val="nil"/>
                  </w:tcBorders>
                  <w:noWrap w:val="0"/>
                  <w:vAlign w:val="center"/>
                </w:tcPr>
                <w:p w14:paraId="44B6CA5D">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给料配料仓</w:t>
                  </w:r>
                </w:p>
              </w:tc>
              <w:tc>
                <w:tcPr>
                  <w:tcW w:w="476" w:type="pct"/>
                  <w:tcBorders>
                    <w:tl2br w:val="nil"/>
                    <w:tr2bl w:val="nil"/>
                  </w:tcBorders>
                  <w:noWrap w:val="0"/>
                  <w:vAlign w:val="center"/>
                </w:tcPr>
                <w:p w14:paraId="4A9929A9">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套</w:t>
                  </w:r>
                </w:p>
              </w:tc>
              <w:tc>
                <w:tcPr>
                  <w:tcW w:w="441" w:type="pct"/>
                  <w:tcBorders>
                    <w:tl2br w:val="nil"/>
                    <w:tr2bl w:val="nil"/>
                  </w:tcBorders>
                  <w:noWrap w:val="0"/>
                  <w:vAlign w:val="center"/>
                </w:tcPr>
                <w:p w14:paraId="4E24499D">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3</w:t>
                  </w:r>
                </w:p>
              </w:tc>
              <w:tc>
                <w:tcPr>
                  <w:tcW w:w="2170" w:type="pct"/>
                  <w:tcBorders>
                    <w:tl2br w:val="nil"/>
                    <w:tr2bl w:val="nil"/>
                  </w:tcBorders>
                  <w:noWrap w:val="0"/>
                  <w:vAlign w:val="center"/>
                </w:tcPr>
                <w:p w14:paraId="44C1B8FC">
                  <w:pPr>
                    <w:jc w:val="center"/>
                    <w:rPr>
                      <w:rFonts w:hint="default" w:ascii="Times New Roman" w:hAnsi="Times New Roman" w:eastAsia="宋体" w:cs="Times New Roman"/>
                      <w:highlight w:val="none"/>
                      <w:lang w:val="en-US" w:eastAsia="zh-CN"/>
                    </w:rPr>
                  </w:pPr>
                  <w:r>
                    <w:rPr>
                      <w:rFonts w:hint="eastAsia" w:eastAsia="宋体" w:cs="Times New Roman"/>
                      <w:highlight w:val="none"/>
                      <w:lang w:val="en-US" w:eastAsia="zh-CN"/>
                    </w:rPr>
                    <w:t>把块状和颗粒状的原料均匀给料</w:t>
                  </w:r>
                </w:p>
              </w:tc>
            </w:tr>
            <w:tr w14:paraId="5EBAAFF8">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71" w:hRule="atLeast"/>
                <w:jc w:val="center"/>
              </w:trPr>
              <w:tc>
                <w:tcPr>
                  <w:tcW w:w="443" w:type="pct"/>
                  <w:tcBorders>
                    <w:tl2br w:val="nil"/>
                    <w:tr2bl w:val="nil"/>
                  </w:tcBorders>
                  <w:noWrap w:val="0"/>
                  <w:vAlign w:val="center"/>
                </w:tcPr>
                <w:p w14:paraId="75AEBDE8">
                  <w:pPr>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1468" w:type="pct"/>
                  <w:tcBorders>
                    <w:tl2br w:val="nil"/>
                    <w:tr2bl w:val="nil"/>
                  </w:tcBorders>
                  <w:noWrap w:val="0"/>
                  <w:vAlign w:val="center"/>
                </w:tcPr>
                <w:p w14:paraId="3D717EBA">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上料</w:t>
                  </w:r>
                  <w:r>
                    <w:rPr>
                      <w:rFonts w:hint="default" w:ascii="Times New Roman" w:hAnsi="Times New Roman" w:cs="Times New Roman"/>
                      <w:highlight w:val="none"/>
                      <w:lang w:val="en-US" w:eastAsia="zh-CN"/>
                    </w:rPr>
                    <w:t>机</w:t>
                  </w:r>
                </w:p>
              </w:tc>
              <w:tc>
                <w:tcPr>
                  <w:tcW w:w="476" w:type="pct"/>
                  <w:tcBorders>
                    <w:tl2br w:val="nil"/>
                    <w:tr2bl w:val="nil"/>
                  </w:tcBorders>
                  <w:noWrap w:val="0"/>
                  <w:vAlign w:val="center"/>
                </w:tcPr>
                <w:p w14:paraId="57888B14">
                  <w:pPr>
                    <w:jc w:val="center"/>
                    <w:rPr>
                      <w:rFonts w:hint="default" w:ascii="Times New Roman" w:hAnsi="Times New Roman" w:cs="Times New Roman"/>
                      <w:highlight w:val="none"/>
                    </w:rPr>
                  </w:pPr>
                  <w:r>
                    <w:rPr>
                      <w:rFonts w:hint="eastAsia" w:cs="Times New Roman"/>
                      <w:highlight w:val="none"/>
                      <w:lang w:val="en-US" w:eastAsia="zh-CN"/>
                    </w:rPr>
                    <w:t>台</w:t>
                  </w:r>
                </w:p>
              </w:tc>
              <w:tc>
                <w:tcPr>
                  <w:tcW w:w="441" w:type="pct"/>
                  <w:tcBorders>
                    <w:tl2br w:val="nil"/>
                    <w:tr2bl w:val="nil"/>
                  </w:tcBorders>
                  <w:noWrap w:val="0"/>
                  <w:vAlign w:val="center"/>
                </w:tcPr>
                <w:p w14:paraId="49F1CB88">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1</w:t>
                  </w:r>
                </w:p>
              </w:tc>
              <w:tc>
                <w:tcPr>
                  <w:tcW w:w="2170" w:type="pct"/>
                  <w:tcBorders>
                    <w:tl2br w:val="nil"/>
                    <w:tr2bl w:val="nil"/>
                  </w:tcBorders>
                  <w:noWrap w:val="0"/>
                  <w:vAlign w:val="center"/>
                </w:tcPr>
                <w:p w14:paraId="68E68194">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将原材料提升运输到到下一环节</w:t>
                  </w:r>
                </w:p>
              </w:tc>
            </w:tr>
            <w:tr w14:paraId="36E70C0C">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5" w:hRule="atLeast"/>
                <w:jc w:val="center"/>
              </w:trPr>
              <w:tc>
                <w:tcPr>
                  <w:tcW w:w="443" w:type="pct"/>
                  <w:tcBorders>
                    <w:tl2br w:val="nil"/>
                    <w:tr2bl w:val="nil"/>
                  </w:tcBorders>
                  <w:noWrap w:val="0"/>
                  <w:vAlign w:val="center"/>
                </w:tcPr>
                <w:p w14:paraId="25A0BECF">
                  <w:pPr>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1468" w:type="pct"/>
                  <w:tcBorders>
                    <w:tl2br w:val="nil"/>
                    <w:tr2bl w:val="nil"/>
                  </w:tcBorders>
                  <w:noWrap w:val="0"/>
                  <w:vAlign w:val="center"/>
                </w:tcPr>
                <w:p w14:paraId="32AB5F75">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水泥筒仓</w:t>
                  </w:r>
                </w:p>
              </w:tc>
              <w:tc>
                <w:tcPr>
                  <w:tcW w:w="476" w:type="pct"/>
                  <w:tcBorders>
                    <w:tl2br w:val="nil"/>
                    <w:tr2bl w:val="nil"/>
                  </w:tcBorders>
                  <w:noWrap w:val="0"/>
                  <w:vAlign w:val="center"/>
                </w:tcPr>
                <w:p w14:paraId="5B74CB69">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个</w:t>
                  </w:r>
                </w:p>
              </w:tc>
              <w:tc>
                <w:tcPr>
                  <w:tcW w:w="441" w:type="pct"/>
                  <w:tcBorders>
                    <w:tl2br w:val="nil"/>
                    <w:tr2bl w:val="nil"/>
                  </w:tcBorders>
                  <w:noWrap w:val="0"/>
                  <w:vAlign w:val="center"/>
                </w:tcPr>
                <w:p w14:paraId="449BCCB8">
                  <w:pPr>
                    <w:jc w:val="center"/>
                    <w:rPr>
                      <w:rFonts w:hint="default" w:ascii="Times New Roman" w:hAnsi="Times New Roman" w:eastAsia="宋体" w:cs="Times New Roman"/>
                      <w:highlight w:val="none"/>
                      <w:lang w:val="en-US" w:eastAsia="zh-CN"/>
                    </w:rPr>
                  </w:pPr>
                  <w:r>
                    <w:rPr>
                      <w:rFonts w:hint="eastAsia" w:eastAsia="宋体" w:cs="Times New Roman"/>
                      <w:highlight w:val="none"/>
                      <w:lang w:val="en-US" w:eastAsia="zh-CN"/>
                    </w:rPr>
                    <w:t>2</w:t>
                  </w:r>
                </w:p>
              </w:tc>
              <w:tc>
                <w:tcPr>
                  <w:tcW w:w="2170" w:type="pct"/>
                  <w:tcBorders>
                    <w:tl2br w:val="nil"/>
                    <w:tr2bl w:val="nil"/>
                  </w:tcBorders>
                  <w:noWrap w:val="0"/>
                  <w:vAlign w:val="center"/>
                </w:tcPr>
                <w:p w14:paraId="2CB9DD5E">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水泥等极细颗粒原料储存在筒仓，避免产生更多灰尘</w:t>
                  </w:r>
                </w:p>
              </w:tc>
            </w:tr>
            <w:tr w14:paraId="0863865C">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83" w:hRule="atLeast"/>
                <w:jc w:val="center"/>
              </w:trPr>
              <w:tc>
                <w:tcPr>
                  <w:tcW w:w="443" w:type="pct"/>
                  <w:tcBorders>
                    <w:tl2br w:val="nil"/>
                    <w:tr2bl w:val="nil"/>
                  </w:tcBorders>
                  <w:noWrap w:val="0"/>
                  <w:vAlign w:val="center"/>
                </w:tcPr>
                <w:p w14:paraId="0A720C31">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1468" w:type="pct"/>
                  <w:tcBorders>
                    <w:tl2br w:val="nil"/>
                    <w:tr2bl w:val="nil"/>
                  </w:tcBorders>
                  <w:noWrap w:val="0"/>
                  <w:vAlign w:val="center"/>
                </w:tcPr>
                <w:p w14:paraId="50FBAAF3">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搅拌设备</w:t>
                  </w:r>
                </w:p>
              </w:tc>
              <w:tc>
                <w:tcPr>
                  <w:tcW w:w="476" w:type="pct"/>
                  <w:tcBorders>
                    <w:tl2br w:val="nil"/>
                    <w:tr2bl w:val="nil"/>
                  </w:tcBorders>
                  <w:noWrap w:val="0"/>
                  <w:vAlign w:val="center"/>
                </w:tcPr>
                <w:p w14:paraId="5055B6A5">
                  <w:pPr>
                    <w:jc w:val="center"/>
                    <w:rPr>
                      <w:rFonts w:hint="default" w:ascii="Times New Roman" w:hAnsi="Times New Roman" w:cs="Times New Roman"/>
                      <w:highlight w:val="none"/>
                    </w:rPr>
                  </w:pPr>
                  <w:r>
                    <w:rPr>
                      <w:rFonts w:hint="eastAsia" w:cs="Times New Roman"/>
                      <w:highlight w:val="none"/>
                      <w:lang w:val="en-US" w:eastAsia="zh-CN"/>
                    </w:rPr>
                    <w:t>台</w:t>
                  </w:r>
                </w:p>
              </w:tc>
              <w:tc>
                <w:tcPr>
                  <w:tcW w:w="441" w:type="pct"/>
                  <w:tcBorders>
                    <w:tl2br w:val="nil"/>
                    <w:tr2bl w:val="nil"/>
                  </w:tcBorders>
                  <w:noWrap w:val="0"/>
                  <w:vAlign w:val="center"/>
                </w:tcPr>
                <w:p w14:paraId="43B48893">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1</w:t>
                  </w:r>
                </w:p>
              </w:tc>
              <w:tc>
                <w:tcPr>
                  <w:tcW w:w="2170" w:type="pct"/>
                  <w:tcBorders>
                    <w:tl2br w:val="nil"/>
                    <w:tr2bl w:val="nil"/>
                  </w:tcBorders>
                  <w:noWrap w:val="0"/>
                  <w:vAlign w:val="center"/>
                </w:tcPr>
                <w:p w14:paraId="757224DF">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原料进入搅拌设备内搅拌得到成品</w:t>
                  </w:r>
                </w:p>
              </w:tc>
            </w:tr>
            <w:tr w14:paraId="0DA635E3">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5" w:hRule="atLeast"/>
                <w:jc w:val="center"/>
              </w:trPr>
              <w:tc>
                <w:tcPr>
                  <w:tcW w:w="443" w:type="pct"/>
                  <w:tcBorders>
                    <w:tl2br w:val="nil"/>
                    <w:tr2bl w:val="nil"/>
                  </w:tcBorders>
                  <w:noWrap w:val="0"/>
                  <w:vAlign w:val="center"/>
                </w:tcPr>
                <w:p w14:paraId="7082B19B">
                  <w:pPr>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1468" w:type="pct"/>
                  <w:tcBorders>
                    <w:tl2br w:val="nil"/>
                    <w:tr2bl w:val="nil"/>
                  </w:tcBorders>
                  <w:noWrap w:val="0"/>
                  <w:vAlign w:val="center"/>
                </w:tcPr>
                <w:p w14:paraId="16C4B490">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皮带输送带</w:t>
                  </w:r>
                </w:p>
              </w:tc>
              <w:tc>
                <w:tcPr>
                  <w:tcW w:w="476" w:type="pct"/>
                  <w:tcBorders>
                    <w:tl2br w:val="nil"/>
                    <w:tr2bl w:val="nil"/>
                  </w:tcBorders>
                  <w:noWrap w:val="0"/>
                  <w:vAlign w:val="center"/>
                </w:tcPr>
                <w:p w14:paraId="5376EA79">
                  <w:pPr>
                    <w:jc w:val="center"/>
                    <w:rPr>
                      <w:rFonts w:hint="default" w:ascii="Times New Roman" w:hAnsi="Times New Roman" w:eastAsia="宋体" w:cs="Times New Roman"/>
                      <w:highlight w:val="none"/>
                      <w:lang w:eastAsia="zh-CN"/>
                    </w:rPr>
                  </w:pPr>
                  <w:r>
                    <w:rPr>
                      <w:rFonts w:hint="eastAsia" w:cs="Times New Roman"/>
                      <w:highlight w:val="none"/>
                      <w:lang w:val="en-US" w:eastAsia="zh-CN"/>
                    </w:rPr>
                    <w:t>台</w:t>
                  </w:r>
                </w:p>
              </w:tc>
              <w:tc>
                <w:tcPr>
                  <w:tcW w:w="441" w:type="pct"/>
                  <w:tcBorders>
                    <w:tl2br w:val="nil"/>
                    <w:tr2bl w:val="nil"/>
                  </w:tcBorders>
                  <w:noWrap w:val="0"/>
                  <w:vAlign w:val="center"/>
                </w:tcPr>
                <w:p w14:paraId="65D1321B">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若干</w:t>
                  </w:r>
                </w:p>
              </w:tc>
              <w:tc>
                <w:tcPr>
                  <w:tcW w:w="2170" w:type="pct"/>
                  <w:tcBorders>
                    <w:tl2br w:val="nil"/>
                    <w:tr2bl w:val="nil"/>
                  </w:tcBorders>
                  <w:noWrap w:val="0"/>
                  <w:vAlign w:val="center"/>
                </w:tcPr>
                <w:p w14:paraId="3656526F">
                  <w:pPr>
                    <w:jc w:val="center"/>
                    <w:rPr>
                      <w:rFonts w:hint="default" w:ascii="Times New Roman" w:hAnsi="Times New Roman" w:cs="Times New Roman"/>
                      <w:highlight w:val="none"/>
                    </w:rPr>
                  </w:pPr>
                  <w:r>
                    <w:rPr>
                      <w:rFonts w:hint="eastAsia" w:cs="Times New Roman"/>
                      <w:highlight w:val="none"/>
                      <w:lang w:val="en-US" w:eastAsia="zh-CN"/>
                    </w:rPr>
                    <w:t>输送带用于连接各个生产设备之间的原料运输，属于配套设施</w:t>
                  </w:r>
                </w:p>
              </w:tc>
            </w:tr>
          </w:tbl>
          <w:p w14:paraId="5509E66E">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eastAsia" w:ascii="Times New Roman" w:hAnsi="Times New Roman" w:cs="Times New Roman"/>
                <w:b/>
                <w:color w:val="auto"/>
                <w:sz w:val="24"/>
                <w:highlight w:val="none"/>
                <w:lang w:val="en-US" w:eastAsia="zh-CN"/>
              </w:rPr>
            </w:pPr>
          </w:p>
          <w:p w14:paraId="31E7C106">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eastAsia="宋体"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6</w:t>
            </w:r>
            <w:r>
              <w:rPr>
                <w:rFonts w:hint="default" w:ascii="Times New Roman" w:hAnsi="Times New Roman" w:cs="Times New Roman"/>
                <w:b/>
                <w:color w:val="auto"/>
                <w:sz w:val="24"/>
                <w:highlight w:val="none"/>
              </w:rPr>
              <w:t>、劳动定员和生产</w:t>
            </w:r>
            <w:r>
              <w:rPr>
                <w:rFonts w:hint="default" w:ascii="Times New Roman" w:hAnsi="Times New Roman" w:cs="Times New Roman"/>
                <w:b/>
                <w:color w:val="auto"/>
                <w:sz w:val="24"/>
                <w:highlight w:val="none"/>
                <w:lang w:val="en-US" w:eastAsia="zh-CN"/>
              </w:rPr>
              <w:t>安排</w:t>
            </w:r>
          </w:p>
          <w:p w14:paraId="3EF0EADF">
            <w:pPr>
              <w:keepNext w:val="0"/>
              <w:keepLines w:val="0"/>
              <w:pageBreakBefore w:val="0"/>
              <w:widowControl w:val="0"/>
              <w:kinsoku/>
              <w:wordWrap/>
              <w:overflowPunct/>
              <w:topLinePunct w:val="0"/>
              <w:autoSpaceDE/>
              <w:autoSpaceDN/>
              <w:bidi w:val="0"/>
              <w:adjustRightInd w:val="0"/>
              <w:snapToGrid w:val="0"/>
              <w:spacing w:line="500" w:lineRule="exact"/>
              <w:ind w:firstLine="588" w:firstLineChars="245"/>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（1）工作</w:t>
            </w:r>
            <w:r>
              <w:rPr>
                <w:rFonts w:hint="default" w:ascii="Times New Roman" w:hAnsi="Times New Roman" w:cs="Times New Roman"/>
                <w:color w:val="auto"/>
                <w:sz w:val="24"/>
                <w:highlight w:val="none"/>
                <w:lang w:val="en-US" w:eastAsia="zh-CN"/>
              </w:rPr>
              <w:t>安排</w:t>
            </w:r>
            <w:r>
              <w:rPr>
                <w:rFonts w:hint="default" w:ascii="Times New Roman" w:hAnsi="Times New Roman" w:cs="Times New Roman"/>
                <w:color w:val="auto"/>
                <w:sz w:val="24"/>
                <w:highlight w:val="none"/>
              </w:rPr>
              <w:t>：年工作3</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rPr>
              <w:t>0天，每天</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班，每</w:t>
            </w:r>
            <w:r>
              <w:rPr>
                <w:rFonts w:hint="default" w:ascii="Times New Roman" w:hAnsi="Times New Roman" w:cs="Times New Roman"/>
                <w:color w:val="auto"/>
                <w:sz w:val="24"/>
                <w:highlight w:val="none"/>
                <w:lang w:val="en-US" w:eastAsia="zh-CN"/>
              </w:rPr>
              <w:t>班8</w:t>
            </w:r>
            <w:r>
              <w:rPr>
                <w:rFonts w:hint="default" w:ascii="Times New Roman" w:hAnsi="Times New Roman" w:cs="Times New Roman"/>
                <w:color w:val="auto"/>
                <w:sz w:val="24"/>
                <w:highlight w:val="none"/>
              </w:rPr>
              <w:t>h</w:t>
            </w:r>
            <w:r>
              <w:rPr>
                <w:rFonts w:hint="eastAsia" w:cs="Times New Roman"/>
                <w:color w:val="auto"/>
                <w:sz w:val="24"/>
                <w:highlight w:val="none"/>
                <w:lang w:val="en-US" w:eastAsia="zh-CN"/>
              </w:rPr>
              <w:t>轮换</w:t>
            </w:r>
            <w:r>
              <w:rPr>
                <w:rFonts w:hint="default" w:ascii="Times New Roman" w:hAnsi="Times New Roman" w:cs="Times New Roman"/>
                <w:color w:val="auto"/>
                <w:sz w:val="24"/>
                <w:highlight w:val="none"/>
              </w:rPr>
              <w:t>工作制。</w:t>
            </w:r>
          </w:p>
          <w:p w14:paraId="62355F8E">
            <w:pPr>
              <w:keepNext w:val="0"/>
              <w:keepLines w:val="0"/>
              <w:pageBreakBefore w:val="0"/>
              <w:widowControl w:val="0"/>
              <w:kinsoku/>
              <w:wordWrap/>
              <w:overflowPunct/>
              <w:topLinePunct w:val="0"/>
              <w:autoSpaceDE/>
              <w:autoSpaceDN/>
              <w:bidi w:val="0"/>
              <w:adjustRightInd w:val="0"/>
              <w:snapToGrid w:val="0"/>
              <w:spacing w:line="500" w:lineRule="exact"/>
              <w:ind w:firstLine="588" w:firstLineChars="245"/>
              <w:textAlignment w:val="auto"/>
              <w:rPr>
                <w:rFonts w:hint="eastAsia" w:ascii="Times New Roman" w:hAnsi="Times New Roman" w:cs="Times New Roman"/>
                <w:b/>
                <w:color w:val="auto"/>
                <w:sz w:val="24"/>
                <w:highlight w:val="none"/>
                <w:lang w:val="en-US" w:eastAsia="zh-CN"/>
              </w:rPr>
            </w:pPr>
            <w:r>
              <w:rPr>
                <w:rFonts w:hint="default" w:ascii="Times New Roman" w:hAnsi="Times New Roman" w:cs="Times New Roman"/>
                <w:color w:val="auto"/>
                <w:sz w:val="24"/>
                <w:highlight w:val="none"/>
              </w:rPr>
              <w:t>（2）劳动定员：本项目劳动定员</w:t>
            </w:r>
            <w:r>
              <w:rPr>
                <w:rFonts w:hint="eastAsia" w:cs="Times New Roman"/>
                <w:color w:val="auto"/>
                <w:sz w:val="24"/>
                <w:highlight w:val="none"/>
                <w:lang w:val="en-US" w:eastAsia="zh-CN"/>
              </w:rPr>
              <w:t>15</w:t>
            </w:r>
            <w:r>
              <w:rPr>
                <w:rFonts w:hint="default" w:ascii="Times New Roman" w:hAnsi="Times New Roman" w:cs="Times New Roman"/>
                <w:color w:val="auto"/>
                <w:sz w:val="24"/>
                <w:highlight w:val="none"/>
              </w:rPr>
              <w:t>人，均为附近村民，</w:t>
            </w:r>
            <w:r>
              <w:rPr>
                <w:rFonts w:hint="default" w:ascii="Times New Roman" w:hAnsi="Times New Roman" w:cs="Times New Roman"/>
                <w:color w:val="auto"/>
                <w:sz w:val="24"/>
                <w:highlight w:val="none"/>
                <w:lang w:val="en-US" w:eastAsia="zh-CN"/>
              </w:rPr>
              <w:t>不</w:t>
            </w:r>
            <w:r>
              <w:rPr>
                <w:rFonts w:hint="default" w:ascii="Times New Roman" w:hAnsi="Times New Roman" w:cs="Times New Roman"/>
                <w:color w:val="auto"/>
                <w:sz w:val="24"/>
                <w:highlight w:val="none"/>
              </w:rPr>
              <w:t>在厂区</w:t>
            </w:r>
            <w:r>
              <w:rPr>
                <w:rFonts w:hint="default" w:ascii="Times New Roman" w:hAnsi="Times New Roman" w:cs="Times New Roman"/>
                <w:color w:val="auto"/>
                <w:sz w:val="24"/>
                <w:highlight w:val="none"/>
                <w:lang w:val="en-US" w:eastAsia="zh-CN"/>
              </w:rPr>
              <w:t>食</w:t>
            </w:r>
            <w:r>
              <w:rPr>
                <w:rFonts w:hint="default" w:ascii="Times New Roman" w:hAnsi="Times New Roman" w:cs="Times New Roman"/>
                <w:color w:val="auto"/>
                <w:sz w:val="24"/>
                <w:highlight w:val="none"/>
              </w:rPr>
              <w:t>宿。</w:t>
            </w:r>
          </w:p>
          <w:p w14:paraId="3A52D73A">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7</w:t>
            </w:r>
            <w:r>
              <w:rPr>
                <w:rFonts w:hint="default" w:ascii="Times New Roman" w:hAnsi="Times New Roman" w:cs="Times New Roman"/>
                <w:b/>
                <w:color w:val="auto"/>
                <w:sz w:val="24"/>
                <w:highlight w:val="none"/>
              </w:rPr>
              <w:t>、公用设施</w:t>
            </w:r>
            <w:r>
              <w:rPr>
                <w:rFonts w:hint="eastAsia" w:cs="Times New Roman"/>
                <w:b/>
                <w:color w:val="auto"/>
                <w:sz w:val="24"/>
                <w:highlight w:val="none"/>
                <w:lang w:val="en-US" w:eastAsia="zh-CN"/>
              </w:rPr>
              <w:t>安排</w:t>
            </w:r>
          </w:p>
          <w:p w14:paraId="508E97CE">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color w:val="000000"/>
                <w:sz w:val="24"/>
                <w:highlight w:val="none"/>
              </w:rPr>
            </w:pPr>
            <w:r>
              <w:rPr>
                <w:rFonts w:hint="eastAsia"/>
                <w:color w:val="000000"/>
                <w:sz w:val="24"/>
                <w:highlight w:val="none"/>
              </w:rPr>
              <w:t>（1）</w:t>
            </w:r>
            <w:r>
              <w:rPr>
                <w:rFonts w:hint="eastAsia"/>
                <w:color w:val="000000"/>
                <w:sz w:val="24"/>
                <w:highlight w:val="none"/>
                <w:lang w:val="en-US" w:eastAsia="zh-CN"/>
              </w:rPr>
              <w:t>喷雾</w:t>
            </w:r>
            <w:r>
              <w:rPr>
                <w:rFonts w:hint="eastAsia"/>
                <w:color w:val="000000"/>
                <w:sz w:val="24"/>
                <w:highlight w:val="none"/>
              </w:rPr>
              <w:t>用水与排水</w:t>
            </w:r>
          </w:p>
          <w:p w14:paraId="313713B4">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rFonts w:hint="default" w:eastAsia="宋体"/>
                <w:color w:val="000000"/>
                <w:sz w:val="24"/>
                <w:highlight w:val="none"/>
                <w:lang w:val="en-US" w:eastAsia="zh-CN"/>
              </w:rPr>
            </w:pPr>
            <w:r>
              <w:rPr>
                <w:rFonts w:hint="eastAsia"/>
                <w:color w:val="000000"/>
                <w:sz w:val="24"/>
                <w:highlight w:val="none"/>
                <w:lang w:val="en-US" w:eastAsia="zh-CN"/>
              </w:rPr>
              <w:t>根据厂房分布和原料</w:t>
            </w:r>
            <w:r>
              <w:rPr>
                <w:color w:val="000000"/>
                <w:sz w:val="24"/>
                <w:highlight w:val="none"/>
              </w:rPr>
              <w:t>堆存情况，建设单位在</w:t>
            </w:r>
            <w:r>
              <w:rPr>
                <w:rFonts w:hint="eastAsia"/>
                <w:color w:val="000000"/>
                <w:sz w:val="24"/>
                <w:highlight w:val="none"/>
                <w:lang w:val="en-US" w:eastAsia="zh-CN"/>
              </w:rPr>
              <w:t>砂石原材料区和水泥稳定土原材料区分别</w:t>
            </w:r>
            <w:r>
              <w:rPr>
                <w:color w:val="000000"/>
                <w:sz w:val="24"/>
                <w:highlight w:val="none"/>
              </w:rPr>
              <w:t>设置1套</w:t>
            </w:r>
            <w:r>
              <w:rPr>
                <w:rFonts w:hint="eastAsia"/>
                <w:color w:val="000000"/>
                <w:sz w:val="24"/>
                <w:highlight w:val="none"/>
              </w:rPr>
              <w:t>喷雾</w:t>
            </w:r>
            <w:r>
              <w:rPr>
                <w:color w:val="000000"/>
                <w:sz w:val="24"/>
                <w:highlight w:val="none"/>
              </w:rPr>
              <w:t>系统，</w:t>
            </w:r>
            <w:r>
              <w:rPr>
                <w:rFonts w:hint="eastAsia"/>
                <w:color w:val="000000"/>
                <w:sz w:val="24"/>
                <w:highlight w:val="none"/>
                <w:lang w:val="en-US" w:eastAsia="zh-CN"/>
              </w:rPr>
              <w:t>根据设计</w:t>
            </w:r>
            <w:r>
              <w:rPr>
                <w:color w:val="000000"/>
                <w:sz w:val="24"/>
                <w:highlight w:val="none"/>
              </w:rPr>
              <w:t>，喷头流量一般在10~15m</w:t>
            </w:r>
            <w:r>
              <w:rPr>
                <w:color w:val="000000"/>
                <w:sz w:val="24"/>
                <w:highlight w:val="none"/>
                <w:vertAlign w:val="superscript"/>
              </w:rPr>
              <w:t>3</w:t>
            </w:r>
            <w:r>
              <w:rPr>
                <w:color w:val="000000"/>
                <w:sz w:val="24"/>
                <w:highlight w:val="none"/>
              </w:rPr>
              <w:t>/h，本次取12m</w:t>
            </w:r>
            <w:r>
              <w:rPr>
                <w:color w:val="000000"/>
                <w:sz w:val="24"/>
                <w:highlight w:val="none"/>
                <w:vertAlign w:val="superscript"/>
              </w:rPr>
              <w:t>3</w:t>
            </w:r>
            <w:r>
              <w:rPr>
                <w:color w:val="000000"/>
                <w:sz w:val="24"/>
                <w:highlight w:val="none"/>
              </w:rPr>
              <w:t>/h。</w:t>
            </w:r>
            <w:r>
              <w:rPr>
                <w:rFonts w:hint="eastAsia"/>
                <w:color w:val="000000"/>
                <w:sz w:val="24"/>
                <w:highlight w:val="none"/>
              </w:rPr>
              <w:t>喷雾</w:t>
            </w:r>
            <w:r>
              <w:rPr>
                <w:color w:val="000000"/>
                <w:sz w:val="24"/>
                <w:highlight w:val="none"/>
              </w:rPr>
              <w:t>系统每天开启</w:t>
            </w:r>
            <w:r>
              <w:rPr>
                <w:rFonts w:hint="eastAsia"/>
                <w:color w:val="000000"/>
                <w:sz w:val="24"/>
                <w:highlight w:val="none"/>
                <w:lang w:val="en-US" w:eastAsia="zh-CN"/>
              </w:rPr>
              <w:t>6</w:t>
            </w:r>
            <w:r>
              <w:rPr>
                <w:rFonts w:hint="eastAsia"/>
                <w:color w:val="000000"/>
                <w:sz w:val="24"/>
                <w:highlight w:val="none"/>
              </w:rPr>
              <w:t>次，每次开启</w:t>
            </w:r>
            <w:r>
              <w:rPr>
                <w:rFonts w:hint="eastAsia"/>
                <w:color w:val="000000"/>
                <w:sz w:val="24"/>
                <w:highlight w:val="none"/>
                <w:lang w:val="en-US" w:eastAsia="zh-CN"/>
              </w:rPr>
              <w:t>1</w:t>
            </w:r>
            <w:r>
              <w:rPr>
                <w:rFonts w:hint="eastAsia"/>
                <w:color w:val="000000"/>
                <w:sz w:val="24"/>
                <w:highlight w:val="none"/>
              </w:rPr>
              <w:t>0</w:t>
            </w:r>
            <w:r>
              <w:rPr>
                <w:color w:val="000000"/>
                <w:sz w:val="24"/>
                <w:highlight w:val="none"/>
              </w:rPr>
              <w:t>min，根据计算</w:t>
            </w:r>
            <w:r>
              <w:rPr>
                <w:rFonts w:hint="eastAsia"/>
                <w:color w:val="000000"/>
                <w:sz w:val="24"/>
                <w:highlight w:val="none"/>
                <w:lang w:val="en-US" w:eastAsia="zh-CN"/>
              </w:rPr>
              <w:t>1套喷雾系统</w:t>
            </w:r>
            <w:r>
              <w:rPr>
                <w:color w:val="000000"/>
                <w:sz w:val="24"/>
                <w:highlight w:val="none"/>
              </w:rPr>
              <w:t>用水量为</w:t>
            </w:r>
            <w:r>
              <w:rPr>
                <w:rFonts w:hint="eastAsia"/>
                <w:color w:val="000000"/>
                <w:sz w:val="24"/>
                <w:highlight w:val="none"/>
                <w:lang w:val="en-US" w:eastAsia="zh-CN"/>
              </w:rPr>
              <w:t>12</w:t>
            </w:r>
            <w:r>
              <w:rPr>
                <w:color w:val="000000"/>
                <w:sz w:val="24"/>
                <w:highlight w:val="none"/>
              </w:rPr>
              <w:t>m</w:t>
            </w:r>
            <w:r>
              <w:rPr>
                <w:color w:val="000000"/>
                <w:sz w:val="24"/>
                <w:highlight w:val="none"/>
                <w:vertAlign w:val="superscript"/>
              </w:rPr>
              <w:t>3</w:t>
            </w:r>
            <w:r>
              <w:rPr>
                <w:color w:val="000000"/>
                <w:sz w:val="24"/>
                <w:highlight w:val="none"/>
              </w:rPr>
              <w:t>/d，</w:t>
            </w:r>
            <w:r>
              <w:rPr>
                <w:rFonts w:hint="eastAsia"/>
                <w:color w:val="000000"/>
                <w:sz w:val="24"/>
                <w:highlight w:val="none"/>
                <w:lang w:val="en-US" w:eastAsia="zh-CN"/>
              </w:rPr>
              <w:t>3600</w:t>
            </w:r>
            <w:r>
              <w:rPr>
                <w:color w:val="000000"/>
                <w:sz w:val="24"/>
                <w:highlight w:val="none"/>
              </w:rPr>
              <w:t>m</w:t>
            </w:r>
            <w:r>
              <w:rPr>
                <w:color w:val="000000"/>
                <w:sz w:val="24"/>
                <w:highlight w:val="none"/>
                <w:vertAlign w:val="superscript"/>
              </w:rPr>
              <w:t>3</w:t>
            </w:r>
            <w:r>
              <w:rPr>
                <w:color w:val="000000"/>
                <w:sz w:val="24"/>
                <w:highlight w:val="none"/>
              </w:rPr>
              <w:t>/a。</w:t>
            </w:r>
          </w:p>
          <w:p w14:paraId="21A26353">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color w:val="000000"/>
                <w:sz w:val="24"/>
                <w:highlight w:val="none"/>
              </w:rPr>
            </w:pPr>
            <w:r>
              <w:rPr>
                <w:rFonts w:hint="eastAsia"/>
                <w:color w:val="000000"/>
                <w:sz w:val="24"/>
                <w:highlight w:val="none"/>
              </w:rPr>
              <w:t>（2）</w:t>
            </w:r>
            <w:r>
              <w:rPr>
                <w:rFonts w:hint="eastAsia"/>
                <w:color w:val="000000"/>
                <w:sz w:val="24"/>
                <w:highlight w:val="none"/>
                <w:lang w:val="en-US" w:eastAsia="zh-CN"/>
              </w:rPr>
              <w:t>筛分、水洗、脱水</w:t>
            </w:r>
            <w:r>
              <w:rPr>
                <w:rFonts w:hint="eastAsia"/>
                <w:color w:val="000000"/>
                <w:sz w:val="24"/>
                <w:highlight w:val="none"/>
              </w:rPr>
              <w:t>用水</w:t>
            </w:r>
            <w:r>
              <w:rPr>
                <w:color w:val="000000"/>
                <w:sz w:val="24"/>
                <w:highlight w:val="none"/>
              </w:rPr>
              <w:t>与排水</w:t>
            </w:r>
          </w:p>
          <w:p w14:paraId="306316C8">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sz w:val="24"/>
                <w:highlight w:val="none"/>
              </w:rPr>
            </w:pPr>
            <w:r>
              <w:rPr>
                <w:sz w:val="24"/>
                <w:szCs w:val="24"/>
                <w:highlight w:val="none"/>
                <w:u w:val="none"/>
              </w:rPr>
              <w:t>本项目</w:t>
            </w:r>
            <w:r>
              <w:rPr>
                <w:rFonts w:hint="eastAsia"/>
                <w:sz w:val="24"/>
                <w:szCs w:val="24"/>
                <w:highlight w:val="none"/>
                <w:u w:val="none"/>
                <w:lang w:val="en-US" w:eastAsia="zh-CN"/>
              </w:rPr>
              <w:t>的砂石筛分、水洗、脱水过程中</w:t>
            </w:r>
            <w:r>
              <w:rPr>
                <w:sz w:val="24"/>
                <w:szCs w:val="24"/>
                <w:highlight w:val="none"/>
                <w:u w:val="none"/>
              </w:rPr>
              <w:t>均</w:t>
            </w:r>
            <w:r>
              <w:rPr>
                <w:rFonts w:hint="eastAsia"/>
                <w:sz w:val="24"/>
                <w:szCs w:val="24"/>
                <w:highlight w:val="none"/>
                <w:u w:val="none"/>
                <w:lang w:val="en-US" w:eastAsia="zh-CN"/>
              </w:rPr>
              <w:t>会产生废</w:t>
            </w:r>
            <w:r>
              <w:rPr>
                <w:sz w:val="24"/>
                <w:szCs w:val="24"/>
                <w:highlight w:val="none"/>
                <w:u w:val="none"/>
              </w:rPr>
              <w:t>水，</w:t>
            </w:r>
            <w:r>
              <w:rPr>
                <w:rFonts w:hint="eastAsia"/>
                <w:sz w:val="24"/>
                <w:szCs w:val="24"/>
                <w:highlight w:val="none"/>
                <w:u w:val="none"/>
                <w:lang w:val="en-US" w:eastAsia="zh-CN"/>
              </w:rPr>
              <w:t>根据企业提供资料和类比</w:t>
            </w:r>
            <w:r>
              <w:rPr>
                <w:rFonts w:hint="eastAsia"/>
                <w:sz w:val="24"/>
                <w:highlight w:val="none"/>
                <w:u w:val="none"/>
                <w:lang w:eastAsia="zh-CN"/>
              </w:rPr>
              <w:t>叶县鸿鑫建材有限公司年处理30万吨废矿石再利用</w:t>
            </w:r>
            <w:r>
              <w:rPr>
                <w:rFonts w:hint="eastAsia"/>
                <w:sz w:val="24"/>
                <w:szCs w:val="24"/>
                <w:highlight w:val="none"/>
                <w:u w:val="none"/>
                <w:lang w:val="en-US" w:eastAsia="zh-CN"/>
              </w:rPr>
              <w:t>同类项目，则本项目筛分、水洗、脱水工序用水量为</w:t>
            </w:r>
            <w:r>
              <w:rPr>
                <w:rFonts w:hint="default"/>
                <w:sz w:val="24"/>
                <w:szCs w:val="24"/>
                <w:highlight w:val="none"/>
                <w:u w:val="none"/>
                <w:lang w:val="en-US" w:eastAsia="zh-CN"/>
              </w:rPr>
              <w:t>0.</w:t>
            </w:r>
            <w:r>
              <w:rPr>
                <w:rFonts w:hint="eastAsia"/>
                <w:sz w:val="24"/>
                <w:szCs w:val="24"/>
                <w:highlight w:val="none"/>
                <w:u w:val="none"/>
                <w:lang w:val="en-US" w:eastAsia="zh-CN"/>
              </w:rPr>
              <w:t>25</w:t>
            </w:r>
            <w:r>
              <w:rPr>
                <w:rFonts w:hint="default"/>
                <w:sz w:val="24"/>
                <w:szCs w:val="24"/>
                <w:highlight w:val="none"/>
                <w:u w:val="none"/>
                <w:lang w:val="en-US" w:eastAsia="zh-CN"/>
              </w:rPr>
              <w:t>m</w:t>
            </w:r>
            <w:r>
              <w:rPr>
                <w:rFonts w:hint="default"/>
                <w:sz w:val="24"/>
                <w:szCs w:val="24"/>
                <w:highlight w:val="none"/>
                <w:u w:val="none"/>
                <w:vertAlign w:val="superscript"/>
                <w:lang w:val="en-US" w:eastAsia="zh-CN"/>
              </w:rPr>
              <w:t>3</w:t>
            </w:r>
            <w:r>
              <w:rPr>
                <w:rFonts w:hint="default"/>
                <w:sz w:val="24"/>
                <w:szCs w:val="24"/>
                <w:highlight w:val="none"/>
                <w:u w:val="none"/>
                <w:lang w:val="en-US" w:eastAsia="zh-CN"/>
              </w:rPr>
              <w:t>/t</w:t>
            </w:r>
            <w:r>
              <w:rPr>
                <w:rFonts w:hint="eastAsia"/>
                <w:sz w:val="24"/>
                <w:szCs w:val="24"/>
                <w:highlight w:val="none"/>
                <w:u w:val="none"/>
                <w:lang w:val="en-US" w:eastAsia="zh-CN"/>
              </w:rPr>
              <w:t>-原料</w:t>
            </w:r>
            <w:r>
              <w:rPr>
                <w:rFonts w:hint="eastAsia"/>
                <w:sz w:val="24"/>
                <w:szCs w:val="24"/>
                <w:highlight w:val="none"/>
                <w:u w:val="none"/>
              </w:rPr>
              <w:t>，</w:t>
            </w:r>
            <w:r>
              <w:rPr>
                <w:rFonts w:hint="eastAsia"/>
                <w:sz w:val="24"/>
                <w:szCs w:val="24"/>
                <w:highlight w:val="none"/>
                <w:u w:val="none"/>
                <w:lang w:val="en-US" w:eastAsia="zh-CN"/>
              </w:rPr>
              <w:t>筛分、水洗、脱水</w:t>
            </w:r>
            <w:r>
              <w:rPr>
                <w:rFonts w:hint="eastAsia"/>
                <w:sz w:val="24"/>
                <w:szCs w:val="24"/>
                <w:highlight w:val="none"/>
                <w:u w:val="none"/>
              </w:rPr>
              <w:t>工序水的用量为</w:t>
            </w:r>
            <w:r>
              <w:rPr>
                <w:rFonts w:hint="eastAsia"/>
                <w:sz w:val="24"/>
                <w:szCs w:val="24"/>
                <w:highlight w:val="none"/>
                <w:u w:val="none"/>
                <w:lang w:val="en-US" w:eastAsia="zh-CN"/>
              </w:rPr>
              <w:t>25000</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w:t>
            </w:r>
            <w:r>
              <w:rPr>
                <w:rFonts w:hint="eastAsia"/>
                <w:sz w:val="24"/>
                <w:szCs w:val="24"/>
                <w:highlight w:val="none"/>
                <w:u w:val="none"/>
                <w:lang w:val="en-US" w:eastAsia="zh-CN"/>
              </w:rPr>
              <w:t>a（83.3</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w:t>
            </w:r>
            <w:r>
              <w:rPr>
                <w:rFonts w:hint="eastAsia"/>
                <w:sz w:val="24"/>
                <w:szCs w:val="24"/>
                <w:highlight w:val="none"/>
                <w:u w:val="none"/>
                <w:lang w:val="en-US" w:eastAsia="zh-CN"/>
              </w:rPr>
              <w:t>d），筛分、水洗、脱水</w:t>
            </w:r>
            <w:r>
              <w:rPr>
                <w:rFonts w:hint="eastAsia"/>
                <w:sz w:val="24"/>
                <w:szCs w:val="24"/>
                <w:highlight w:val="none"/>
                <w:u w:val="none"/>
              </w:rPr>
              <w:t>过程中水损耗</w:t>
            </w:r>
            <w:r>
              <w:rPr>
                <w:rFonts w:hint="eastAsia"/>
                <w:sz w:val="24"/>
                <w:szCs w:val="24"/>
                <w:highlight w:val="none"/>
                <w:u w:val="none"/>
                <w:lang w:val="en-US" w:eastAsia="zh-CN"/>
              </w:rPr>
              <w:t>31</w:t>
            </w:r>
            <w:r>
              <w:rPr>
                <w:rFonts w:hint="eastAsia"/>
                <w:sz w:val="24"/>
                <w:szCs w:val="24"/>
                <w:highlight w:val="none"/>
                <w:u w:val="none"/>
              </w:rPr>
              <w:t>%</w:t>
            </w:r>
            <w:r>
              <w:rPr>
                <w:rFonts w:hint="eastAsia"/>
                <w:sz w:val="24"/>
                <w:szCs w:val="24"/>
                <w:highlight w:val="none"/>
                <w:u w:val="none"/>
                <w:lang w:eastAsia="zh-CN"/>
              </w:rPr>
              <w:t>（</w:t>
            </w:r>
            <w:r>
              <w:rPr>
                <w:rFonts w:hint="eastAsia"/>
                <w:sz w:val="24"/>
                <w:szCs w:val="24"/>
                <w:highlight w:val="none"/>
                <w:u w:val="none"/>
                <w:lang w:val="en-US" w:eastAsia="zh-CN"/>
              </w:rPr>
              <w:t>①蒸发损耗按1%，②成品砂石带走的水分按10%，③底泥带走水分按20%，底泥含水率为25%，则底泥含水量约为5000m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/a，经压滤机脱水后，泥饼含水量约为10%，本项目干泥饼量为原材料用量的0.01%，本项目年处理10万吨原材料，项目干泥饼产生量为10t/a，则压滤后泥饼带走水量约为1m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/a</w:t>
            </w:r>
            <w:r>
              <w:rPr>
                <w:rFonts w:hint="eastAsia"/>
                <w:sz w:val="24"/>
                <w:szCs w:val="24"/>
                <w:highlight w:val="none"/>
                <w:u w:val="none"/>
                <w:lang w:eastAsia="zh-CN"/>
              </w:rPr>
              <w:t>）</w:t>
            </w:r>
            <w:r>
              <w:rPr>
                <w:rFonts w:hint="eastAsia"/>
                <w:sz w:val="24"/>
                <w:szCs w:val="24"/>
                <w:highlight w:val="none"/>
                <w:u w:val="none"/>
              </w:rPr>
              <w:t>，</w:t>
            </w:r>
            <w:r>
              <w:rPr>
                <w:rFonts w:hint="eastAsia"/>
                <w:sz w:val="24"/>
                <w:szCs w:val="24"/>
                <w:highlight w:val="none"/>
                <w:u w:val="none"/>
                <w:lang w:val="en-US" w:eastAsia="zh-CN"/>
              </w:rPr>
              <w:t>经过损耗则本项目筛分、水洗、脱水需要的新鲜水补充量为9.17m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/d，2751m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/a</w:t>
            </w:r>
            <w:r>
              <w:rPr>
                <w:rFonts w:hint="eastAsia"/>
                <w:sz w:val="24"/>
                <w:szCs w:val="24"/>
                <w:highlight w:val="none"/>
                <w:u w:val="none"/>
              </w:rPr>
              <w:t>。</w:t>
            </w:r>
            <w:r>
              <w:rPr>
                <w:rFonts w:hint="eastAsia"/>
                <w:sz w:val="24"/>
                <w:szCs w:val="24"/>
                <w:highlight w:val="none"/>
                <w:u w:val="none"/>
                <w:lang w:val="en-US" w:eastAsia="zh-CN"/>
              </w:rPr>
              <w:t>筛分、水洗、脱水工序产生的</w:t>
            </w:r>
            <w:r>
              <w:rPr>
                <w:rFonts w:hint="eastAsia"/>
                <w:sz w:val="24"/>
                <w:highlight w:val="none"/>
                <w:u w:val="none"/>
              </w:rPr>
              <w:t>废水量为</w:t>
            </w:r>
            <w:r>
              <w:rPr>
                <w:rFonts w:hint="eastAsia"/>
                <w:sz w:val="24"/>
                <w:highlight w:val="none"/>
                <w:u w:val="none"/>
                <w:lang w:val="en-US" w:eastAsia="zh-CN"/>
              </w:rPr>
              <w:t>74.16</w:t>
            </w:r>
            <w:r>
              <w:rPr>
                <w:rFonts w:hint="eastAsia"/>
                <w:sz w:val="24"/>
                <w:highlight w:val="none"/>
                <w:u w:val="none"/>
              </w:rPr>
              <w:t>m</w:t>
            </w:r>
            <w:r>
              <w:rPr>
                <w:rFonts w:hint="eastAsia"/>
                <w:sz w:val="24"/>
                <w:highlight w:val="none"/>
                <w:u w:val="none"/>
                <w:vertAlign w:val="superscript"/>
              </w:rPr>
              <w:t>3</w:t>
            </w:r>
            <w:r>
              <w:rPr>
                <w:rFonts w:hint="eastAsia"/>
                <w:sz w:val="24"/>
                <w:highlight w:val="none"/>
                <w:u w:val="none"/>
              </w:rPr>
              <w:t>/d</w:t>
            </w:r>
            <w:r>
              <w:rPr>
                <w:rFonts w:hint="eastAsia"/>
                <w:sz w:val="24"/>
                <w:highlight w:val="none"/>
                <w:u w:val="none"/>
                <w:lang w:eastAsia="zh-CN"/>
              </w:rPr>
              <w:t>（</w:t>
            </w:r>
            <w:r>
              <w:rPr>
                <w:rFonts w:hint="eastAsia"/>
                <w:sz w:val="24"/>
                <w:szCs w:val="24"/>
                <w:highlight w:val="none"/>
                <w:u w:val="none"/>
                <w:lang w:val="en-US" w:eastAsia="zh-CN"/>
              </w:rPr>
              <w:t>22249m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/a），</w:t>
            </w:r>
            <w:r>
              <w:rPr>
                <w:rFonts w:hint="eastAsia"/>
                <w:sz w:val="24"/>
                <w:highlight w:val="none"/>
                <w:u w:val="none"/>
              </w:rPr>
              <w:t>产生的废水经</w:t>
            </w:r>
            <w:r>
              <w:rPr>
                <w:rFonts w:hint="eastAsia"/>
                <w:sz w:val="24"/>
                <w:highlight w:val="none"/>
                <w:u w:val="none"/>
                <w:lang w:val="en-US" w:eastAsia="zh-CN"/>
              </w:rPr>
              <w:t>过污水池和沉淀罐</w:t>
            </w:r>
            <w:r>
              <w:rPr>
                <w:rFonts w:hint="eastAsia"/>
                <w:sz w:val="24"/>
                <w:highlight w:val="none"/>
                <w:u w:val="none"/>
                <w:lang w:eastAsia="zh-CN"/>
              </w:rPr>
              <w:t>浓缩沉淀</w:t>
            </w:r>
            <w:r>
              <w:rPr>
                <w:rFonts w:hint="eastAsia"/>
                <w:sz w:val="24"/>
                <w:highlight w:val="none"/>
                <w:u w:val="none"/>
              </w:rPr>
              <w:t>后，上清液流至清水池循环利用回用于生产，不外排。</w:t>
            </w:r>
          </w:p>
          <w:p w14:paraId="4B8E5D79">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3</w:t>
            </w:r>
            <w:r>
              <w:rPr>
                <w:rFonts w:hint="eastAsia"/>
                <w:color w:val="000000"/>
                <w:sz w:val="24"/>
                <w:highlight w:val="none"/>
              </w:rPr>
              <w:t>）</w:t>
            </w:r>
            <w:r>
              <w:rPr>
                <w:rFonts w:hint="eastAsia"/>
                <w:color w:val="000000"/>
                <w:sz w:val="24"/>
                <w:highlight w:val="none"/>
                <w:lang w:val="en-US" w:eastAsia="zh-CN"/>
              </w:rPr>
              <w:t>水泥稳定土</w:t>
            </w:r>
            <w:r>
              <w:rPr>
                <w:rFonts w:hint="eastAsia"/>
                <w:color w:val="000000"/>
                <w:sz w:val="24"/>
                <w:highlight w:val="none"/>
              </w:rPr>
              <w:t>用水</w:t>
            </w:r>
          </w:p>
          <w:p w14:paraId="16FFC7E8">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sz w:val="24"/>
                <w:highlight w:val="none"/>
              </w:rPr>
            </w:pPr>
            <w:r>
              <w:rPr>
                <w:sz w:val="24"/>
                <w:szCs w:val="24"/>
                <w:highlight w:val="none"/>
                <w:u w:val="none"/>
              </w:rPr>
              <w:t>本项目</w:t>
            </w:r>
            <w:r>
              <w:rPr>
                <w:rFonts w:hint="eastAsia"/>
                <w:sz w:val="24"/>
                <w:szCs w:val="24"/>
                <w:highlight w:val="none"/>
                <w:u w:val="none"/>
                <w:lang w:val="en-US" w:eastAsia="zh-CN"/>
              </w:rPr>
              <w:t>的水稳在搅拌时会少量多次的加入水，水和其他原料混合搅拌，搅拌后得到成品，水稳年产20万吨，加入水的用量约占原料的10%，其中水稳</w:t>
            </w:r>
            <w:r>
              <w:rPr>
                <w:rFonts w:hint="eastAsia"/>
                <w:sz w:val="24"/>
                <w:szCs w:val="24"/>
                <w:highlight w:val="none"/>
                <w:u w:val="none"/>
              </w:rPr>
              <w:t>用量为</w:t>
            </w:r>
            <w:r>
              <w:rPr>
                <w:rFonts w:hint="eastAsia"/>
                <w:sz w:val="24"/>
                <w:szCs w:val="24"/>
                <w:highlight w:val="none"/>
                <w:u w:val="none"/>
                <w:lang w:val="en-US" w:eastAsia="zh-CN"/>
              </w:rPr>
              <w:t>20000</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w:t>
            </w:r>
            <w:r>
              <w:rPr>
                <w:rFonts w:hint="eastAsia"/>
                <w:sz w:val="24"/>
                <w:szCs w:val="24"/>
                <w:highlight w:val="none"/>
                <w:u w:val="none"/>
                <w:lang w:val="en-US" w:eastAsia="zh-CN"/>
              </w:rPr>
              <w:t>a，用于的搅拌的水存在于产品本身，不外排。</w:t>
            </w:r>
          </w:p>
          <w:p w14:paraId="10B3D891">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4</w:t>
            </w:r>
            <w:r>
              <w:rPr>
                <w:rFonts w:hint="eastAsia"/>
                <w:color w:val="000000"/>
                <w:sz w:val="24"/>
                <w:highlight w:val="none"/>
              </w:rPr>
              <w:t>）</w:t>
            </w:r>
            <w:r>
              <w:rPr>
                <w:color w:val="000000"/>
                <w:sz w:val="24"/>
                <w:highlight w:val="none"/>
              </w:rPr>
              <w:t>车辆冲洗</w:t>
            </w:r>
            <w:r>
              <w:rPr>
                <w:rFonts w:hint="eastAsia"/>
                <w:color w:val="000000"/>
                <w:sz w:val="24"/>
                <w:highlight w:val="none"/>
              </w:rPr>
              <w:t>用水</w:t>
            </w:r>
            <w:r>
              <w:rPr>
                <w:color w:val="000000"/>
                <w:sz w:val="24"/>
                <w:highlight w:val="none"/>
              </w:rPr>
              <w:t>及排水</w:t>
            </w:r>
          </w:p>
          <w:p w14:paraId="1D7F347B">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rFonts w:hint="eastAsia" w:eastAsia="宋体"/>
                <w:sz w:val="24"/>
                <w:highlight w:val="none"/>
                <w:u w:val="none"/>
                <w:lang w:eastAsia="zh-CN"/>
              </w:rPr>
            </w:pPr>
            <w:r>
              <w:rPr>
                <w:sz w:val="24"/>
                <w:szCs w:val="24"/>
                <w:highlight w:val="none"/>
                <w:u w:val="none"/>
              </w:rPr>
              <w:t>项目年运输原料</w:t>
            </w:r>
            <w:r>
              <w:rPr>
                <w:rFonts w:hint="eastAsia"/>
                <w:sz w:val="24"/>
                <w:szCs w:val="24"/>
                <w:highlight w:val="none"/>
                <w:u w:val="none"/>
                <w:lang w:val="en-US" w:eastAsia="zh-CN"/>
              </w:rPr>
              <w:t>或成品由汽车运输，需要冲洗车辆运货量按600000</w:t>
            </w:r>
            <w:r>
              <w:rPr>
                <w:sz w:val="24"/>
                <w:szCs w:val="24"/>
                <w:highlight w:val="none"/>
                <w:u w:val="none"/>
              </w:rPr>
              <w:t>吨</w:t>
            </w:r>
            <w:r>
              <w:rPr>
                <w:rFonts w:hint="eastAsia"/>
                <w:sz w:val="24"/>
                <w:szCs w:val="24"/>
                <w:highlight w:val="none"/>
                <w:u w:val="none"/>
                <w:lang w:val="en-US" w:eastAsia="zh-CN"/>
              </w:rPr>
              <w:t>来计</w:t>
            </w:r>
            <w:r>
              <w:rPr>
                <w:sz w:val="24"/>
                <w:szCs w:val="24"/>
                <w:highlight w:val="none"/>
                <w:u w:val="none"/>
              </w:rPr>
              <w:t>，</w:t>
            </w:r>
            <w:r>
              <w:rPr>
                <w:rFonts w:hint="eastAsia"/>
                <w:sz w:val="24"/>
                <w:szCs w:val="24"/>
                <w:highlight w:val="none"/>
                <w:u w:val="none"/>
                <w:lang w:val="en-US" w:eastAsia="zh-CN"/>
              </w:rPr>
              <w:t>运输车平均载重量按30t考虑，运输车辆为20000辆次/a，</w:t>
            </w:r>
            <w:r>
              <w:rPr>
                <w:rFonts w:hint="eastAsia"/>
                <w:sz w:val="24"/>
                <w:szCs w:val="24"/>
                <w:highlight w:val="none"/>
                <w:u w:val="none"/>
              </w:rPr>
              <w:t>年工作3</w:t>
            </w:r>
            <w:r>
              <w:rPr>
                <w:rFonts w:hint="eastAsia"/>
                <w:sz w:val="24"/>
                <w:szCs w:val="24"/>
                <w:highlight w:val="none"/>
                <w:u w:val="none"/>
                <w:lang w:val="en-US" w:eastAsia="zh-CN"/>
              </w:rPr>
              <w:t>0</w:t>
            </w:r>
            <w:r>
              <w:rPr>
                <w:rFonts w:hint="eastAsia"/>
                <w:sz w:val="24"/>
                <w:szCs w:val="24"/>
                <w:highlight w:val="none"/>
                <w:u w:val="none"/>
              </w:rPr>
              <w:t>0天，根</w:t>
            </w:r>
            <w:r>
              <w:rPr>
                <w:rFonts w:hint="eastAsia"/>
                <w:sz w:val="24"/>
                <w:szCs w:val="24"/>
                <w:highlight w:val="none"/>
                <w:u w:val="none"/>
                <w:lang w:val="en-US" w:eastAsia="zh-CN"/>
              </w:rPr>
              <w:t>据</w:t>
            </w:r>
            <w:r>
              <w:rPr>
                <w:rFonts w:hint="default" w:ascii="Times New Roman" w:hAnsi="Times New Roman" w:eastAsia="宋体" w:cs="Times New Roman"/>
                <w:color w:val="auto"/>
                <w:kern w:val="2"/>
                <w:sz w:val="24"/>
                <w:highlight w:val="none"/>
                <w:u w:val="none"/>
                <w:lang w:val="en-US" w:eastAsia="zh-CN" w:bidi="ar-SA"/>
              </w:rPr>
              <w:t>河南省地方标准《工业与城镇生活用水定额》（DB41/T385-2020）</w:t>
            </w:r>
            <w:r>
              <w:rPr>
                <w:rFonts w:hint="eastAsia"/>
                <w:sz w:val="24"/>
                <w:szCs w:val="24"/>
                <w:highlight w:val="none"/>
                <w:u w:val="none"/>
              </w:rPr>
              <w:t>中“6.</w:t>
            </w:r>
            <w:r>
              <w:rPr>
                <w:rFonts w:hint="eastAsia"/>
                <w:sz w:val="24"/>
                <w:szCs w:val="24"/>
                <w:highlight w:val="none"/>
                <w:u w:val="none"/>
                <w:lang w:val="en-US" w:eastAsia="zh-CN"/>
              </w:rPr>
              <w:t xml:space="preserve">5 </w:t>
            </w:r>
            <w:r>
              <w:rPr>
                <w:rFonts w:hint="eastAsia"/>
                <w:sz w:val="24"/>
                <w:szCs w:val="24"/>
                <w:highlight w:val="none"/>
                <w:u w:val="none"/>
              </w:rPr>
              <w:t>居民服务、修理和其他服务业”表4</w:t>
            </w:r>
            <w:r>
              <w:rPr>
                <w:rFonts w:hint="eastAsia"/>
                <w:sz w:val="24"/>
                <w:szCs w:val="24"/>
                <w:highlight w:val="none"/>
                <w:u w:val="none"/>
                <w:lang w:val="en-US" w:eastAsia="zh-CN"/>
              </w:rPr>
              <w:t xml:space="preserve">4 </w:t>
            </w:r>
            <w:r>
              <w:rPr>
                <w:rFonts w:hint="eastAsia"/>
                <w:sz w:val="24"/>
                <w:szCs w:val="24"/>
                <w:highlight w:val="none"/>
                <w:u w:val="none"/>
              </w:rPr>
              <w:t>大</w:t>
            </w:r>
            <w:r>
              <w:rPr>
                <w:rFonts w:hint="eastAsia"/>
                <w:sz w:val="24"/>
                <w:szCs w:val="24"/>
                <w:highlight w:val="none"/>
                <w:u w:val="none"/>
                <w:lang w:val="en-US" w:eastAsia="zh-CN"/>
              </w:rPr>
              <w:t>中</w:t>
            </w:r>
            <w:r>
              <w:rPr>
                <w:rFonts w:hint="eastAsia"/>
                <w:sz w:val="24"/>
                <w:szCs w:val="24"/>
                <w:highlight w:val="none"/>
                <w:u w:val="none"/>
              </w:rPr>
              <w:t>型车冲洗用水定额为70L/（辆·次），则</w:t>
            </w:r>
            <w:r>
              <w:rPr>
                <w:rFonts w:hint="eastAsia"/>
                <w:sz w:val="24"/>
                <w:szCs w:val="24"/>
                <w:highlight w:val="none"/>
                <w:u w:val="none"/>
                <w:lang w:val="en-US" w:eastAsia="zh-CN"/>
              </w:rPr>
              <w:t>本</w:t>
            </w:r>
            <w:r>
              <w:rPr>
                <w:rFonts w:hint="eastAsia"/>
                <w:sz w:val="24"/>
                <w:szCs w:val="24"/>
                <w:highlight w:val="none"/>
                <w:u w:val="none"/>
              </w:rPr>
              <w:t>项目车辆冲洗用水量约为</w:t>
            </w:r>
            <w:r>
              <w:rPr>
                <w:rFonts w:hint="eastAsia"/>
                <w:sz w:val="24"/>
                <w:szCs w:val="24"/>
                <w:highlight w:val="none"/>
                <w:u w:val="none"/>
                <w:lang w:val="en-US" w:eastAsia="zh-CN"/>
              </w:rPr>
              <w:t>4.66</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/d</w:t>
            </w:r>
            <w:r>
              <w:rPr>
                <w:rFonts w:hint="eastAsia"/>
                <w:sz w:val="24"/>
                <w:szCs w:val="24"/>
                <w:highlight w:val="none"/>
                <w:u w:val="none"/>
                <w:lang w:eastAsia="zh-CN"/>
              </w:rPr>
              <w:t>，</w:t>
            </w:r>
            <w:r>
              <w:rPr>
                <w:rFonts w:hint="eastAsia"/>
                <w:sz w:val="24"/>
                <w:szCs w:val="24"/>
                <w:highlight w:val="none"/>
                <w:u w:val="none"/>
                <w:lang w:val="en-US" w:eastAsia="zh-CN"/>
              </w:rPr>
              <w:t>1400</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/a</w:t>
            </w:r>
            <w:r>
              <w:rPr>
                <w:rFonts w:hint="eastAsia"/>
                <w:sz w:val="24"/>
                <w:szCs w:val="24"/>
                <w:highlight w:val="none"/>
                <w:u w:val="none"/>
                <w:lang w:eastAsia="zh-CN"/>
              </w:rPr>
              <w:t>，</w:t>
            </w:r>
            <w:r>
              <w:rPr>
                <w:rFonts w:hint="eastAsia"/>
                <w:sz w:val="24"/>
                <w:szCs w:val="24"/>
                <w:highlight w:val="none"/>
                <w:u w:val="none"/>
                <w:lang w:val="en-US" w:eastAsia="zh-CN"/>
              </w:rPr>
              <w:t>车辆冲洗废水</w:t>
            </w:r>
            <w:r>
              <w:rPr>
                <w:rFonts w:hint="eastAsia"/>
                <w:sz w:val="24"/>
                <w:highlight w:val="none"/>
                <w:u w:val="none"/>
              </w:rPr>
              <w:t>损耗按20%计算，</w:t>
            </w:r>
            <w:r>
              <w:rPr>
                <w:rFonts w:hint="eastAsia"/>
                <w:sz w:val="24"/>
                <w:highlight w:val="none"/>
                <w:u w:val="none"/>
                <w:lang w:val="en-US" w:eastAsia="zh-CN"/>
              </w:rPr>
              <w:t>那么</w:t>
            </w:r>
            <w:r>
              <w:rPr>
                <w:rFonts w:hint="eastAsia"/>
                <w:sz w:val="24"/>
                <w:highlight w:val="none"/>
                <w:u w:val="none"/>
              </w:rPr>
              <w:t>产生</w:t>
            </w:r>
            <w:r>
              <w:rPr>
                <w:rFonts w:hint="eastAsia"/>
                <w:sz w:val="24"/>
                <w:highlight w:val="none"/>
                <w:u w:val="none"/>
                <w:lang w:val="en-US" w:eastAsia="zh-CN"/>
              </w:rPr>
              <w:t>回用的</w:t>
            </w:r>
            <w:r>
              <w:rPr>
                <w:rFonts w:hint="eastAsia"/>
                <w:sz w:val="24"/>
                <w:highlight w:val="none"/>
                <w:u w:val="none"/>
              </w:rPr>
              <w:t>废水量为</w:t>
            </w:r>
            <w:r>
              <w:rPr>
                <w:rFonts w:hint="eastAsia"/>
                <w:sz w:val="24"/>
                <w:highlight w:val="none"/>
                <w:u w:val="none"/>
                <w:lang w:val="en-US" w:eastAsia="zh-CN"/>
              </w:rPr>
              <w:t>3.73</w:t>
            </w:r>
            <w:r>
              <w:rPr>
                <w:rFonts w:hint="eastAsia"/>
                <w:sz w:val="24"/>
                <w:highlight w:val="none"/>
                <w:u w:val="none"/>
              </w:rPr>
              <w:t>m</w:t>
            </w:r>
            <w:r>
              <w:rPr>
                <w:rFonts w:hint="eastAsia"/>
                <w:sz w:val="24"/>
                <w:highlight w:val="none"/>
                <w:u w:val="none"/>
                <w:vertAlign w:val="superscript"/>
              </w:rPr>
              <w:t>3</w:t>
            </w:r>
            <w:r>
              <w:rPr>
                <w:rFonts w:hint="eastAsia"/>
                <w:sz w:val="24"/>
                <w:highlight w:val="none"/>
                <w:u w:val="none"/>
              </w:rPr>
              <w:t>/d</w:t>
            </w:r>
            <w:r>
              <w:rPr>
                <w:rFonts w:hint="eastAsia"/>
                <w:sz w:val="24"/>
                <w:highlight w:val="none"/>
                <w:u w:val="none"/>
                <w:lang w:eastAsia="zh-CN"/>
              </w:rPr>
              <w:t>，</w:t>
            </w:r>
            <w:r>
              <w:rPr>
                <w:rFonts w:hint="eastAsia"/>
                <w:sz w:val="24"/>
                <w:highlight w:val="none"/>
                <w:u w:val="none"/>
                <w:lang w:val="en-US" w:eastAsia="zh-CN"/>
              </w:rPr>
              <w:t>1120</w:t>
            </w:r>
            <w:r>
              <w:rPr>
                <w:rFonts w:hint="eastAsia"/>
                <w:sz w:val="24"/>
                <w:highlight w:val="none"/>
                <w:u w:val="none"/>
              </w:rPr>
              <w:t>m</w:t>
            </w:r>
            <w:r>
              <w:rPr>
                <w:rFonts w:hint="eastAsia"/>
                <w:sz w:val="24"/>
                <w:highlight w:val="none"/>
                <w:u w:val="none"/>
                <w:vertAlign w:val="superscript"/>
              </w:rPr>
              <w:t>3</w:t>
            </w:r>
            <w:r>
              <w:rPr>
                <w:rFonts w:hint="eastAsia"/>
                <w:sz w:val="24"/>
                <w:highlight w:val="none"/>
                <w:u w:val="none"/>
              </w:rPr>
              <w:t>/a</w:t>
            </w:r>
            <w:r>
              <w:rPr>
                <w:rFonts w:hint="eastAsia"/>
                <w:sz w:val="24"/>
                <w:highlight w:val="none"/>
                <w:u w:val="none"/>
                <w:lang w:eastAsia="zh-CN"/>
              </w:rPr>
              <w:t>，</w:t>
            </w:r>
            <w:r>
              <w:rPr>
                <w:rFonts w:hint="eastAsia"/>
                <w:sz w:val="24"/>
                <w:highlight w:val="none"/>
                <w:u w:val="none"/>
                <w:lang w:val="en-US" w:eastAsia="zh-CN"/>
              </w:rPr>
              <w:t>在厂区内设置</w:t>
            </w:r>
            <w:r>
              <w:rPr>
                <w:rFonts w:hint="eastAsia"/>
                <w:sz w:val="24"/>
                <w:highlight w:val="none"/>
                <w:u w:val="none"/>
                <w:lang w:eastAsia="zh-CN"/>
              </w:rPr>
              <w:t>车辆冲洗装置及沉淀池（</w:t>
            </w:r>
            <w:r>
              <w:rPr>
                <w:rFonts w:hint="eastAsia"/>
                <w:sz w:val="24"/>
                <w:highlight w:val="none"/>
                <w:u w:val="none"/>
                <w:lang w:val="en-US" w:eastAsia="zh-CN"/>
              </w:rPr>
              <w:t>5m</w:t>
            </w:r>
            <w:r>
              <w:rPr>
                <w:rFonts w:hint="eastAsia"/>
                <w:sz w:val="24"/>
                <w:highlight w:val="none"/>
                <w:u w:val="none"/>
                <w:vertAlign w:val="superscript"/>
                <w:lang w:val="en-US" w:eastAsia="zh-CN"/>
              </w:rPr>
              <w:t>3</w:t>
            </w:r>
            <w:r>
              <w:rPr>
                <w:rFonts w:hint="eastAsia"/>
                <w:sz w:val="24"/>
                <w:highlight w:val="none"/>
                <w:u w:val="none"/>
                <w:lang w:eastAsia="zh-CN"/>
              </w:rPr>
              <w:t>），</w:t>
            </w:r>
            <w:r>
              <w:rPr>
                <w:rFonts w:hint="eastAsia"/>
                <w:sz w:val="24"/>
                <w:highlight w:val="none"/>
                <w:u w:val="none"/>
                <w:lang w:val="en-US" w:eastAsia="zh-CN"/>
              </w:rPr>
              <w:t>车辆冲洗废水</w:t>
            </w:r>
            <w:r>
              <w:rPr>
                <w:rFonts w:hint="eastAsia"/>
                <w:sz w:val="24"/>
                <w:highlight w:val="none"/>
                <w:u w:val="none"/>
                <w:lang w:eastAsia="zh-CN"/>
              </w:rPr>
              <w:t>经</w:t>
            </w:r>
            <w:r>
              <w:rPr>
                <w:rFonts w:hint="eastAsia"/>
                <w:sz w:val="24"/>
                <w:highlight w:val="none"/>
                <w:u w:val="none"/>
                <w:lang w:val="en-US" w:eastAsia="zh-CN"/>
              </w:rPr>
              <w:t>过</w:t>
            </w:r>
            <w:r>
              <w:rPr>
                <w:rFonts w:hint="eastAsia"/>
                <w:sz w:val="24"/>
                <w:highlight w:val="none"/>
                <w:u w:val="none"/>
                <w:lang w:eastAsia="zh-CN"/>
              </w:rPr>
              <w:t>沉淀池沉淀后</w:t>
            </w:r>
            <w:r>
              <w:rPr>
                <w:rFonts w:hint="eastAsia"/>
                <w:sz w:val="24"/>
                <w:highlight w:val="none"/>
                <w:u w:val="none"/>
                <w:lang w:val="en-US" w:eastAsia="zh-CN"/>
              </w:rPr>
              <w:t>继续</w:t>
            </w:r>
            <w:r>
              <w:rPr>
                <w:rFonts w:hint="eastAsia"/>
                <w:sz w:val="24"/>
                <w:highlight w:val="none"/>
                <w:u w:val="none"/>
                <w:lang w:eastAsia="zh-CN"/>
              </w:rPr>
              <w:t>回用，不外排。</w:t>
            </w:r>
          </w:p>
          <w:p w14:paraId="0AAA4ABA">
            <w:pPr>
              <w:keepNext w:val="0"/>
              <w:keepLines w:val="0"/>
              <w:pageBreakBefore w:val="0"/>
              <w:widowControl w:val="0"/>
              <w:numPr>
                <w:ilvl w:val="0"/>
                <w:numId w:val="0"/>
              </w:numPr>
              <w:kinsoku/>
              <w:wordWrap/>
              <w:overflowPunct/>
              <w:topLinePunct w:val="0"/>
              <w:bidi w:val="0"/>
              <w:adjustRightInd w:val="0"/>
              <w:snapToGrid w:val="0"/>
              <w:spacing w:line="500" w:lineRule="exact"/>
              <w:ind w:firstLine="480" w:firstLineChars="200"/>
              <w:textAlignment w:val="auto"/>
              <w:rPr>
                <w:rFonts w:hint="eastAsia" w:ascii="Times New Roman" w:hAnsi="Times New Roman" w:eastAsia="宋体" w:cs="Times New Roman"/>
                <w:color w:val="000000"/>
                <w:sz w:val="24"/>
                <w:highlight w:val="none"/>
                <w:lang w:eastAsia="zh-CN"/>
              </w:rPr>
            </w:pPr>
            <w:r>
              <w:rPr>
                <w:rFonts w:hint="eastAsia" w:ascii="Times New Roman" w:hAnsi="Times New Roman" w:eastAsia="宋体" w:cs="Times New Roman"/>
                <w:color w:val="000000"/>
                <w:kern w:val="2"/>
                <w:sz w:val="24"/>
                <w:szCs w:val="21"/>
                <w:highlight w:val="none"/>
                <w:lang w:val="en-US" w:eastAsia="zh-CN" w:bidi="ar-SA"/>
              </w:rPr>
              <w:t>（</w:t>
            </w:r>
            <w:r>
              <w:rPr>
                <w:rFonts w:hint="eastAsia" w:cs="Times New Roman"/>
                <w:color w:val="000000"/>
                <w:kern w:val="2"/>
                <w:sz w:val="24"/>
                <w:szCs w:val="21"/>
                <w:highlight w:val="none"/>
                <w:lang w:val="en-US" w:eastAsia="zh-CN" w:bidi="ar-SA"/>
              </w:rPr>
              <w:t>5</w:t>
            </w:r>
            <w:r>
              <w:rPr>
                <w:rFonts w:hint="eastAsia" w:ascii="Times New Roman" w:hAnsi="Times New Roman" w:eastAsia="宋体" w:cs="Times New Roman"/>
                <w:color w:val="000000"/>
                <w:kern w:val="2"/>
                <w:sz w:val="24"/>
                <w:szCs w:val="21"/>
                <w:highlight w:val="none"/>
                <w:lang w:val="en-US" w:eastAsia="zh-CN" w:bidi="ar-SA"/>
              </w:rPr>
              <w:t>）</w:t>
            </w:r>
            <w:r>
              <w:rPr>
                <w:rFonts w:hint="eastAsia" w:ascii="Times New Roman" w:hAnsi="Times New Roman" w:eastAsia="宋体" w:cs="Times New Roman"/>
                <w:color w:val="000000"/>
                <w:sz w:val="24"/>
                <w:highlight w:val="none"/>
                <w:lang w:eastAsia="zh-CN"/>
              </w:rPr>
              <w:t>生活用水及排水</w:t>
            </w:r>
          </w:p>
          <w:p w14:paraId="12FC5A21">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eastAsia="宋体" w:cs="Times New Roman"/>
                <w:color w:val="auto"/>
                <w:kern w:val="2"/>
                <w:sz w:val="24"/>
                <w:highlight w:val="none"/>
                <w:lang w:val="en-US" w:eastAsia="zh-CN" w:bidi="ar-SA"/>
              </w:rPr>
            </w:pPr>
            <w:r>
              <w:rPr>
                <w:sz w:val="24"/>
                <w:highlight w:val="none"/>
              </w:rPr>
              <w:t>厂区内生活污水主要为职工日常生活用水。该项目共有工作人员</w:t>
            </w:r>
            <w:r>
              <w:rPr>
                <w:rFonts w:hint="eastAsia"/>
                <w:sz w:val="24"/>
                <w:highlight w:val="none"/>
                <w:lang w:val="en-US" w:eastAsia="zh-CN"/>
              </w:rPr>
              <w:t>15</w:t>
            </w:r>
            <w:r>
              <w:rPr>
                <w:sz w:val="24"/>
                <w:highlight w:val="none"/>
              </w:rPr>
              <w:t>人，均不在厂区内住宿，根据</w:t>
            </w:r>
            <w:r>
              <w:rPr>
                <w:rFonts w:hint="default" w:ascii="Times New Roman" w:hAnsi="Times New Roman" w:eastAsia="宋体" w:cs="Times New Roman"/>
                <w:color w:val="auto"/>
                <w:kern w:val="2"/>
                <w:sz w:val="24"/>
                <w:highlight w:val="none"/>
                <w:lang w:val="en-US" w:eastAsia="zh-CN" w:bidi="ar-SA"/>
              </w:rPr>
              <w:t>河南省地方标准《工业与城镇生活用水定额》（DB41/T385-2020）</w:t>
            </w:r>
            <w:r>
              <w:rPr>
                <w:sz w:val="24"/>
                <w:highlight w:val="none"/>
              </w:rPr>
              <w:t>中的相关标准，员工用水定额按照</w:t>
            </w:r>
            <w:r>
              <w:rPr>
                <w:rFonts w:hint="default" w:ascii="Times New Roman" w:hAnsi="Times New Roman" w:cs="Times New Roman"/>
                <w:color w:val="auto"/>
                <w:kern w:val="2"/>
                <w:sz w:val="24"/>
                <w:highlight w:val="none"/>
                <w:lang w:val="en-US" w:eastAsia="zh-CN" w:bidi="ar-SA"/>
              </w:rPr>
              <w:t>40</w:t>
            </w:r>
            <w:r>
              <w:rPr>
                <w:rFonts w:hint="default" w:ascii="Times New Roman" w:hAnsi="Times New Roman" w:eastAsia="宋体" w:cs="Times New Roman"/>
                <w:color w:val="auto"/>
                <w:kern w:val="2"/>
                <w:sz w:val="24"/>
                <w:highlight w:val="none"/>
                <w:lang w:val="en-US" w:eastAsia="zh-CN" w:bidi="ar-SA"/>
              </w:rPr>
              <w:t>L/人·d</w:t>
            </w:r>
            <w:r>
              <w:rPr>
                <w:rFonts w:hint="eastAsia" w:ascii="Times New Roman" w:hAnsi="Times New Roman" w:cs="Times New Roman"/>
                <w:color w:val="auto"/>
                <w:kern w:val="2"/>
                <w:sz w:val="24"/>
                <w:highlight w:val="none"/>
                <w:lang w:val="en-US" w:eastAsia="zh-CN" w:bidi="ar-SA"/>
              </w:rPr>
              <w:t>计，</w:t>
            </w:r>
            <w:r>
              <w:rPr>
                <w:sz w:val="24"/>
                <w:highlight w:val="none"/>
              </w:rPr>
              <w:t>按年工作日3</w:t>
            </w:r>
            <w:r>
              <w:rPr>
                <w:rFonts w:hint="eastAsia"/>
                <w:sz w:val="24"/>
                <w:highlight w:val="none"/>
                <w:lang w:val="en-US" w:eastAsia="zh-CN"/>
              </w:rPr>
              <w:t>0</w:t>
            </w:r>
            <w:r>
              <w:rPr>
                <w:sz w:val="24"/>
                <w:highlight w:val="none"/>
              </w:rPr>
              <w:t>0天计，则生活用水量为0.</w:t>
            </w:r>
            <w:r>
              <w:rPr>
                <w:rFonts w:hint="eastAsia"/>
                <w:sz w:val="24"/>
                <w:highlight w:val="none"/>
                <w:lang w:val="en-US" w:eastAsia="zh-CN"/>
              </w:rPr>
              <w:t>6</w:t>
            </w:r>
            <w:r>
              <w:rPr>
                <w:sz w:val="24"/>
                <w:highlight w:val="none"/>
              </w:rPr>
              <w:t>m</w:t>
            </w:r>
            <w:r>
              <w:rPr>
                <w:sz w:val="24"/>
                <w:highlight w:val="none"/>
                <w:vertAlign w:val="superscript"/>
              </w:rPr>
              <w:t>3</w:t>
            </w:r>
            <w:r>
              <w:rPr>
                <w:sz w:val="24"/>
                <w:highlight w:val="none"/>
              </w:rPr>
              <w:t>/d，</w:t>
            </w:r>
            <w:r>
              <w:rPr>
                <w:rFonts w:hint="eastAsia"/>
                <w:sz w:val="24"/>
                <w:highlight w:val="none"/>
                <w:lang w:val="en-US" w:eastAsia="zh-CN"/>
              </w:rPr>
              <w:t>180</w:t>
            </w:r>
            <w:r>
              <w:rPr>
                <w:sz w:val="24"/>
                <w:highlight w:val="none"/>
              </w:rPr>
              <w:t>m</w:t>
            </w:r>
            <w:r>
              <w:rPr>
                <w:sz w:val="24"/>
                <w:highlight w:val="none"/>
                <w:vertAlign w:val="superscript"/>
              </w:rPr>
              <w:t>3</w:t>
            </w:r>
            <w:r>
              <w:rPr>
                <w:sz w:val="24"/>
                <w:highlight w:val="none"/>
              </w:rPr>
              <w:t>/a，以80%的产污系数计算，生活污水产生量为0.</w:t>
            </w:r>
            <w:r>
              <w:rPr>
                <w:rFonts w:hint="eastAsia"/>
                <w:sz w:val="24"/>
                <w:highlight w:val="none"/>
                <w:lang w:val="en-US" w:eastAsia="zh-CN"/>
              </w:rPr>
              <w:t>48</w:t>
            </w:r>
            <w:r>
              <w:rPr>
                <w:sz w:val="24"/>
                <w:highlight w:val="none"/>
              </w:rPr>
              <w:t>m</w:t>
            </w:r>
            <w:r>
              <w:rPr>
                <w:sz w:val="24"/>
                <w:highlight w:val="none"/>
                <w:vertAlign w:val="superscript"/>
              </w:rPr>
              <w:t>3</w:t>
            </w:r>
            <w:r>
              <w:rPr>
                <w:sz w:val="24"/>
                <w:highlight w:val="none"/>
              </w:rPr>
              <w:t>/d，</w:t>
            </w:r>
            <w:r>
              <w:rPr>
                <w:rFonts w:hint="eastAsia"/>
                <w:sz w:val="24"/>
                <w:highlight w:val="none"/>
                <w:lang w:val="en-US" w:eastAsia="zh-CN"/>
              </w:rPr>
              <w:t>144</w:t>
            </w:r>
            <w:r>
              <w:rPr>
                <w:sz w:val="24"/>
                <w:highlight w:val="none"/>
              </w:rPr>
              <w:t>m</w:t>
            </w:r>
            <w:r>
              <w:rPr>
                <w:sz w:val="24"/>
                <w:highlight w:val="none"/>
                <w:vertAlign w:val="superscript"/>
              </w:rPr>
              <w:t>3</w:t>
            </w:r>
            <w:r>
              <w:rPr>
                <w:sz w:val="24"/>
                <w:highlight w:val="none"/>
              </w:rPr>
              <w:t>/a。参照张自杰主编《排水工程》（中国建筑工业出版社）所提供的《典型的生活污水水质》，考虑生活污水中含粪尿污水，取生活污水污染物含量为：CODcr</w:t>
            </w:r>
            <w:r>
              <w:rPr>
                <w:rFonts w:hint="eastAsia"/>
                <w:sz w:val="24"/>
                <w:highlight w:val="none"/>
                <w:lang w:eastAsia="zh-CN"/>
              </w:rPr>
              <w:t>：</w:t>
            </w:r>
            <w:r>
              <w:rPr>
                <w:sz w:val="24"/>
                <w:highlight w:val="none"/>
              </w:rPr>
              <w:t>350mg/L，BOD</w:t>
            </w:r>
            <w:r>
              <w:rPr>
                <w:sz w:val="24"/>
                <w:highlight w:val="none"/>
                <w:vertAlign w:val="subscript"/>
              </w:rPr>
              <w:t>5</w:t>
            </w:r>
            <w:r>
              <w:rPr>
                <w:rFonts w:hint="eastAsia"/>
                <w:sz w:val="24"/>
                <w:highlight w:val="none"/>
                <w:vertAlign w:val="baseline"/>
                <w:lang w:eastAsia="zh-CN"/>
              </w:rPr>
              <w:t>：</w:t>
            </w:r>
            <w:r>
              <w:rPr>
                <w:sz w:val="24"/>
                <w:highlight w:val="none"/>
              </w:rPr>
              <w:t>200mg/L，SS</w:t>
            </w:r>
            <w:r>
              <w:rPr>
                <w:rFonts w:hint="eastAsia"/>
                <w:sz w:val="24"/>
                <w:highlight w:val="none"/>
                <w:lang w:eastAsia="zh-CN"/>
              </w:rPr>
              <w:t>：</w:t>
            </w:r>
            <w:r>
              <w:rPr>
                <w:sz w:val="24"/>
                <w:highlight w:val="none"/>
              </w:rPr>
              <w:t>200mg/L，NH</w:t>
            </w:r>
            <w:r>
              <w:rPr>
                <w:sz w:val="24"/>
                <w:highlight w:val="none"/>
                <w:vertAlign w:val="subscript"/>
              </w:rPr>
              <w:t>3</w:t>
            </w:r>
            <w:r>
              <w:rPr>
                <w:sz w:val="24"/>
                <w:highlight w:val="none"/>
              </w:rPr>
              <w:t>-N</w:t>
            </w:r>
            <w:r>
              <w:rPr>
                <w:rFonts w:hint="eastAsia"/>
                <w:sz w:val="24"/>
                <w:highlight w:val="none"/>
                <w:lang w:eastAsia="zh-CN"/>
              </w:rPr>
              <w:t>：</w:t>
            </w:r>
            <w:r>
              <w:rPr>
                <w:sz w:val="24"/>
                <w:highlight w:val="none"/>
              </w:rPr>
              <w:t>30mg/L。项目生活污水经化粪池处理后（通过查阅资料，化粪池对各种污染物的去除率为COD：15%</w:t>
            </w:r>
            <w:r>
              <w:rPr>
                <w:rFonts w:hint="eastAsia"/>
                <w:sz w:val="24"/>
                <w:highlight w:val="none"/>
              </w:rPr>
              <w:t>，</w:t>
            </w:r>
            <w:r>
              <w:rPr>
                <w:sz w:val="24"/>
                <w:highlight w:val="none"/>
              </w:rPr>
              <w:t>BOD</w:t>
            </w:r>
            <w:r>
              <w:rPr>
                <w:sz w:val="24"/>
                <w:highlight w:val="none"/>
                <w:vertAlign w:val="subscript"/>
              </w:rPr>
              <w:t>5</w:t>
            </w:r>
            <w:r>
              <w:rPr>
                <w:sz w:val="24"/>
                <w:highlight w:val="none"/>
              </w:rPr>
              <w:t>：9%，SS：30%，NH</w:t>
            </w:r>
            <w:r>
              <w:rPr>
                <w:sz w:val="24"/>
                <w:highlight w:val="none"/>
                <w:vertAlign w:val="subscript"/>
              </w:rPr>
              <w:t>3</w:t>
            </w:r>
            <w:r>
              <w:rPr>
                <w:sz w:val="24"/>
                <w:highlight w:val="none"/>
              </w:rPr>
              <w:t>-N：3%。），排放浓度</w:t>
            </w:r>
            <w:r>
              <w:rPr>
                <w:rFonts w:hint="eastAsia"/>
                <w:sz w:val="24"/>
                <w:highlight w:val="none"/>
                <w:lang w:val="en-US" w:eastAsia="zh-CN"/>
              </w:rPr>
              <w:t>分别为</w:t>
            </w:r>
            <w:r>
              <w:rPr>
                <w:sz w:val="24"/>
                <w:highlight w:val="none"/>
              </w:rPr>
              <w:t>CODcr</w:t>
            </w:r>
            <w:r>
              <w:rPr>
                <w:rFonts w:hint="eastAsia"/>
                <w:sz w:val="24"/>
                <w:highlight w:val="none"/>
                <w:lang w:eastAsia="zh-CN"/>
              </w:rPr>
              <w:t>：</w:t>
            </w:r>
            <w:r>
              <w:rPr>
                <w:sz w:val="24"/>
                <w:highlight w:val="none"/>
              </w:rPr>
              <w:t>297.5mg/L，BOD</w:t>
            </w:r>
            <w:r>
              <w:rPr>
                <w:sz w:val="24"/>
                <w:highlight w:val="none"/>
                <w:vertAlign w:val="subscript"/>
              </w:rPr>
              <w:t>5</w:t>
            </w:r>
            <w:r>
              <w:rPr>
                <w:rFonts w:hint="eastAsia"/>
                <w:sz w:val="24"/>
                <w:highlight w:val="none"/>
                <w:vertAlign w:val="baseline"/>
                <w:lang w:eastAsia="zh-CN"/>
              </w:rPr>
              <w:t>：</w:t>
            </w:r>
            <w:r>
              <w:rPr>
                <w:sz w:val="24"/>
                <w:highlight w:val="none"/>
              </w:rPr>
              <w:t>182mg/L，SS</w:t>
            </w:r>
            <w:r>
              <w:rPr>
                <w:rFonts w:hint="eastAsia"/>
                <w:sz w:val="24"/>
                <w:highlight w:val="none"/>
                <w:lang w:eastAsia="zh-CN"/>
              </w:rPr>
              <w:t>：</w:t>
            </w:r>
            <w:r>
              <w:rPr>
                <w:sz w:val="24"/>
                <w:highlight w:val="none"/>
              </w:rPr>
              <w:t>140mg/L，NH</w:t>
            </w:r>
            <w:r>
              <w:rPr>
                <w:sz w:val="24"/>
                <w:highlight w:val="none"/>
                <w:vertAlign w:val="subscript"/>
              </w:rPr>
              <w:t>3</w:t>
            </w:r>
            <w:r>
              <w:rPr>
                <w:sz w:val="24"/>
                <w:highlight w:val="none"/>
              </w:rPr>
              <w:t>-N</w:t>
            </w:r>
            <w:r>
              <w:rPr>
                <w:rFonts w:hint="eastAsia"/>
                <w:sz w:val="24"/>
                <w:highlight w:val="none"/>
                <w:lang w:eastAsia="zh-CN"/>
              </w:rPr>
              <w:t>：</w:t>
            </w:r>
            <w:r>
              <w:rPr>
                <w:sz w:val="24"/>
                <w:highlight w:val="none"/>
              </w:rPr>
              <w:t>29.1mg/L。</w:t>
            </w:r>
            <w:r>
              <w:rPr>
                <w:rFonts w:hint="eastAsia"/>
                <w:sz w:val="24"/>
                <w:highlight w:val="none"/>
                <w:lang w:val="en-US" w:eastAsia="zh-CN"/>
              </w:rPr>
              <w:t>本</w:t>
            </w:r>
            <w:r>
              <w:rPr>
                <w:sz w:val="24"/>
                <w:highlight w:val="none"/>
              </w:rPr>
              <w:t>项目</w:t>
            </w:r>
            <w:r>
              <w:rPr>
                <w:rFonts w:hint="eastAsia"/>
                <w:sz w:val="24"/>
                <w:highlight w:val="none"/>
                <w:lang w:eastAsia="zh-CN"/>
              </w:rPr>
              <w:t>产生的生活污水</w:t>
            </w:r>
            <w:r>
              <w:rPr>
                <w:rFonts w:hint="eastAsia"/>
                <w:sz w:val="24"/>
                <w:highlight w:val="none"/>
                <w:lang w:val="en-US" w:eastAsia="zh-CN"/>
              </w:rPr>
              <w:t>经过</w:t>
            </w:r>
            <w:r>
              <w:rPr>
                <w:rFonts w:hint="eastAsia"/>
                <w:sz w:val="24"/>
                <w:highlight w:val="none"/>
                <w:lang w:eastAsia="zh-CN"/>
              </w:rPr>
              <w:t>化粪池处理后用于周围农田施肥，</w:t>
            </w:r>
            <w:r>
              <w:rPr>
                <w:rFonts w:hint="eastAsia"/>
                <w:sz w:val="24"/>
                <w:highlight w:val="none"/>
                <w:lang w:val="en-US" w:eastAsia="zh-CN"/>
              </w:rPr>
              <w:t>资源化利用，不外排。</w:t>
            </w:r>
          </w:p>
          <w:p w14:paraId="5DF48B6A">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eastAsia" w:ascii="Times New Roman" w:hAnsi="Times New Roman" w:eastAsia="宋体" w:cs="Times New Roman"/>
                <w:color w:val="000000"/>
                <w:sz w:val="24"/>
                <w:highlight w:val="none"/>
                <w:u w:val="none"/>
              </w:rPr>
            </w:pPr>
            <w:r>
              <w:rPr>
                <w:rFonts w:hint="eastAsia" w:ascii="Times New Roman" w:hAnsi="Times New Roman" w:eastAsia="宋体" w:cs="Times New Roman"/>
                <w:color w:val="000000"/>
                <w:sz w:val="24"/>
                <w:highlight w:val="none"/>
                <w:u w:val="none"/>
                <w:lang w:eastAsia="zh-CN"/>
              </w:rPr>
              <w:t>（</w:t>
            </w:r>
            <w:r>
              <w:rPr>
                <w:rFonts w:hint="eastAsia" w:cs="Times New Roman"/>
                <w:color w:val="000000"/>
                <w:sz w:val="24"/>
                <w:highlight w:val="none"/>
                <w:u w:val="none"/>
                <w:lang w:val="en-US" w:eastAsia="zh-CN"/>
              </w:rPr>
              <w:t>6</w:t>
            </w:r>
            <w:r>
              <w:rPr>
                <w:rFonts w:hint="eastAsia" w:ascii="Times New Roman" w:hAnsi="Times New Roman" w:eastAsia="宋体" w:cs="Times New Roman"/>
                <w:color w:val="000000"/>
                <w:sz w:val="24"/>
                <w:highlight w:val="none"/>
                <w:u w:val="none"/>
                <w:lang w:eastAsia="zh-CN"/>
              </w:rPr>
              <w:t>）</w:t>
            </w:r>
            <w:r>
              <w:rPr>
                <w:rFonts w:hint="eastAsia" w:ascii="Times New Roman" w:hAnsi="Times New Roman" w:eastAsia="宋体" w:cs="Times New Roman"/>
                <w:color w:val="000000"/>
                <w:sz w:val="24"/>
                <w:highlight w:val="none"/>
                <w:u w:val="none"/>
              </w:rPr>
              <w:t>初期雨水</w:t>
            </w:r>
          </w:p>
          <w:p w14:paraId="2B6DFCFE">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rFonts w:hint="eastAsia"/>
                <w:sz w:val="24"/>
                <w:highlight w:val="none"/>
                <w:u w:val="none"/>
              </w:rPr>
            </w:pPr>
            <w:r>
              <w:rPr>
                <w:sz w:val="24"/>
                <w:highlight w:val="none"/>
                <w:u w:val="none"/>
              </w:rPr>
              <w:t>本项目</w:t>
            </w:r>
            <w:r>
              <w:rPr>
                <w:rFonts w:hint="eastAsia"/>
                <w:sz w:val="24"/>
                <w:highlight w:val="none"/>
                <w:u w:val="none"/>
                <w:lang w:val="en-US" w:eastAsia="zh-CN"/>
              </w:rPr>
              <w:t>位</w:t>
            </w:r>
            <w:r>
              <w:rPr>
                <w:sz w:val="24"/>
                <w:highlight w:val="none"/>
                <w:u w:val="none"/>
              </w:rPr>
              <w:t>于</w:t>
            </w:r>
            <w:r>
              <w:rPr>
                <w:rFonts w:hint="default" w:ascii="Times New Roman" w:hAnsi="Times New Roman" w:cs="Times New Roman"/>
                <w:sz w:val="24"/>
                <w:highlight w:val="none"/>
                <w:u w:val="none"/>
              </w:rPr>
              <w:t>河南省平顶山市叶县</w:t>
            </w:r>
            <w:r>
              <w:rPr>
                <w:rFonts w:hint="default" w:ascii="Times New Roman" w:hAnsi="Times New Roman" w:cs="Times New Roman"/>
                <w:sz w:val="24"/>
                <w:highlight w:val="none"/>
                <w:u w:val="none"/>
                <w:lang w:val="en-US" w:eastAsia="zh-CN"/>
              </w:rPr>
              <w:t>廉村镇湾张村东南地叶廉路北侧</w:t>
            </w:r>
            <w:r>
              <w:rPr>
                <w:sz w:val="24"/>
                <w:highlight w:val="none"/>
                <w:u w:val="none"/>
              </w:rPr>
              <w:t>，经调查区域气象条件，本项目易产生径流的强降水多集中在夏季，部分季节如秋冬季很难形成径流，</w:t>
            </w:r>
            <w:r>
              <w:rPr>
                <w:rFonts w:hint="eastAsia"/>
                <w:sz w:val="24"/>
                <w:highlight w:val="none"/>
                <w:u w:val="none"/>
              </w:rPr>
              <w:t>雨水沉淀物主要为泥沙，评价建议在厂区</w:t>
            </w:r>
            <w:r>
              <w:rPr>
                <w:rFonts w:hint="eastAsia"/>
                <w:sz w:val="24"/>
                <w:highlight w:val="none"/>
                <w:u w:val="none"/>
                <w:lang w:val="en-US" w:eastAsia="zh-CN"/>
              </w:rPr>
              <w:t>地势较低一</w:t>
            </w:r>
            <w:r>
              <w:rPr>
                <w:rFonts w:hint="eastAsia"/>
                <w:sz w:val="24"/>
                <w:highlight w:val="none"/>
                <w:u w:val="none"/>
              </w:rPr>
              <w:t>侧</w:t>
            </w:r>
            <w:r>
              <w:rPr>
                <w:sz w:val="24"/>
                <w:highlight w:val="none"/>
                <w:u w:val="none"/>
              </w:rPr>
              <w:t>建设一座</w:t>
            </w:r>
            <w:r>
              <w:rPr>
                <w:rFonts w:hint="eastAsia"/>
                <w:sz w:val="24"/>
                <w:highlight w:val="none"/>
                <w:u w:val="none"/>
                <w:lang w:val="en-US" w:eastAsia="zh-CN"/>
              </w:rPr>
              <w:t>10</w:t>
            </w:r>
            <w:r>
              <w:rPr>
                <w:sz w:val="24"/>
                <w:highlight w:val="none"/>
                <w:u w:val="none"/>
              </w:rPr>
              <w:t>m</w:t>
            </w:r>
            <w:r>
              <w:rPr>
                <w:sz w:val="24"/>
                <w:highlight w:val="none"/>
                <w:u w:val="none"/>
                <w:vertAlign w:val="superscript"/>
              </w:rPr>
              <w:t>3</w:t>
            </w:r>
            <w:r>
              <w:rPr>
                <w:sz w:val="24"/>
                <w:highlight w:val="none"/>
                <w:u w:val="none"/>
              </w:rPr>
              <w:t>的初期雨水收集池</w:t>
            </w:r>
            <w:r>
              <w:rPr>
                <w:rFonts w:hint="eastAsia"/>
                <w:sz w:val="24"/>
                <w:highlight w:val="none"/>
                <w:u w:val="none"/>
                <w:lang w:val="en-US" w:eastAsia="zh-CN"/>
              </w:rPr>
              <w:t>或者沉淀池</w:t>
            </w:r>
            <w:r>
              <w:rPr>
                <w:sz w:val="24"/>
                <w:highlight w:val="none"/>
                <w:u w:val="none"/>
              </w:rPr>
              <w:t>，</w:t>
            </w:r>
            <w:r>
              <w:rPr>
                <w:rFonts w:hint="eastAsia"/>
                <w:sz w:val="24"/>
                <w:highlight w:val="none"/>
                <w:u w:val="none"/>
              </w:rPr>
              <w:t>初期雨水经雨水渠汇入雨水收集池，经雨水收集池收集后用于厂区道路洒水降尘</w:t>
            </w:r>
            <w:r>
              <w:rPr>
                <w:rFonts w:hint="eastAsia"/>
                <w:sz w:val="24"/>
                <w:highlight w:val="none"/>
                <w:u w:val="none"/>
                <w:lang w:val="en-US" w:eastAsia="zh-CN"/>
              </w:rPr>
              <w:t>和车辆</w:t>
            </w:r>
            <w:r>
              <w:rPr>
                <w:rFonts w:hint="eastAsia"/>
                <w:sz w:val="24"/>
                <w:highlight w:val="none"/>
                <w:u w:val="none"/>
              </w:rPr>
              <w:t>。</w:t>
            </w:r>
          </w:p>
          <w:p w14:paraId="44A346E7">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供电</w:t>
            </w:r>
          </w:p>
          <w:p w14:paraId="6E70296F">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本项目用电由市政电网供给</w:t>
            </w:r>
            <w:r>
              <w:rPr>
                <w:rFonts w:hint="default" w:ascii="Times New Roman" w:hAnsi="Times New Roman" w:eastAsia="宋体" w:cs="Times New Roman"/>
                <w:color w:val="auto"/>
                <w:kern w:val="0"/>
                <w:sz w:val="24"/>
                <w:szCs w:val="24"/>
                <w:highlight w:val="none"/>
              </w:rPr>
              <w:t>，电力供应充足，供电保证率较高</w:t>
            </w:r>
            <w:r>
              <w:rPr>
                <w:rFonts w:hint="default" w:ascii="Times New Roman" w:hAnsi="Times New Roman" w:eastAsia="宋体" w:cs="Times New Roman"/>
                <w:color w:val="auto"/>
                <w:sz w:val="24"/>
                <w:highlight w:val="none"/>
              </w:rPr>
              <w:t>。</w:t>
            </w:r>
          </w:p>
          <w:p w14:paraId="5C84B761">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b/>
                <w:color w:val="auto"/>
                <w:sz w:val="24"/>
                <w:szCs w:val="24"/>
                <w:highlight w:val="none"/>
              </w:rPr>
            </w:pPr>
            <w:r>
              <w:rPr>
                <w:rFonts w:hint="eastAsia" w:ascii="Times New Roman" w:hAnsi="Times New Roman" w:cs="Times New Roman"/>
                <w:b/>
                <w:color w:val="auto"/>
                <w:sz w:val="24"/>
                <w:szCs w:val="24"/>
                <w:highlight w:val="none"/>
                <w:lang w:val="en-US" w:eastAsia="zh-CN"/>
              </w:rPr>
              <w:t>8</w:t>
            </w:r>
            <w:r>
              <w:rPr>
                <w:rFonts w:hint="default" w:ascii="Times New Roman" w:hAnsi="Times New Roman" w:cs="Times New Roman"/>
                <w:b/>
                <w:color w:val="auto"/>
                <w:sz w:val="24"/>
                <w:szCs w:val="24"/>
                <w:highlight w:val="none"/>
              </w:rPr>
              <w:t>、平面布局</w:t>
            </w:r>
            <w:r>
              <w:rPr>
                <w:rFonts w:hint="default" w:ascii="Times New Roman" w:hAnsi="Times New Roman" w:cs="Times New Roman"/>
                <w:b/>
                <w:color w:val="auto"/>
                <w:sz w:val="24"/>
                <w:szCs w:val="24"/>
                <w:highlight w:val="none"/>
                <w:lang w:val="en-US" w:eastAsia="zh-CN"/>
              </w:rPr>
              <w:t>合理性</w:t>
            </w:r>
            <w:r>
              <w:rPr>
                <w:rFonts w:hint="default" w:ascii="Times New Roman" w:hAnsi="Times New Roman" w:cs="Times New Roman"/>
                <w:b/>
                <w:color w:val="auto"/>
                <w:sz w:val="24"/>
                <w:szCs w:val="24"/>
                <w:highlight w:val="none"/>
              </w:rPr>
              <w:t>分析</w:t>
            </w:r>
          </w:p>
          <w:p w14:paraId="35312EB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厂区总平面布置原则：建设项目必须符合生产行业要求，满足生产工艺需求和安全生产要求。物流与人流分离，生产区与办公区分离，供电、供水线路简捷，土地利用及投资合理，建筑物平面布局大方，突出与环境协调。本项目是在满足生产工艺流程的前提下，考虑运输、安全、卫生等要求，结合项目用地的自然地形条件，各种设施不同功能进行分区和组合，力求平面布置紧凑合理节省用地，有利生产，方便管理，具体内容如下：</w:t>
            </w:r>
          </w:p>
          <w:p w14:paraId="63965B32">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本项目选址位于</w:t>
            </w:r>
            <w:r>
              <w:rPr>
                <w:rFonts w:hint="default" w:ascii="Times New Roman" w:hAnsi="Times New Roman" w:eastAsia="宋体" w:cs="Times New Roman"/>
                <w:color w:val="auto"/>
                <w:kern w:val="0"/>
                <w:sz w:val="24"/>
                <w:szCs w:val="24"/>
                <w:highlight w:val="none"/>
                <w:lang w:val="en-US" w:eastAsia="zh-CN" w:bidi="ar"/>
              </w:rPr>
              <w:t>河南省平顶山市叶县廉村镇湾张村东南地叶廉路北侧</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利用已批复地块进行生产建设。</w:t>
            </w:r>
            <w:r>
              <w:rPr>
                <w:rFonts w:hint="default" w:ascii="Times New Roman" w:hAnsi="Times New Roman" w:cs="Times New Roman"/>
                <w:color w:val="auto"/>
                <w:sz w:val="24"/>
                <w:szCs w:val="24"/>
                <w:highlight w:val="none"/>
              </w:rPr>
              <w:t>根据企业提供的本项目厂</w:t>
            </w:r>
            <w:r>
              <w:rPr>
                <w:rFonts w:hint="default" w:ascii="Times New Roman" w:hAnsi="Times New Roman" w:cs="Times New Roman"/>
                <w:color w:val="auto"/>
                <w:sz w:val="24"/>
                <w:szCs w:val="24"/>
                <w:highlight w:val="none"/>
                <w:lang w:val="en-US" w:eastAsia="zh-CN"/>
              </w:rPr>
              <w:t>房的</w:t>
            </w:r>
            <w:r>
              <w:rPr>
                <w:rFonts w:hint="default" w:ascii="Times New Roman" w:hAnsi="Times New Roman" w:cs="Times New Roman"/>
                <w:color w:val="auto"/>
                <w:sz w:val="24"/>
                <w:szCs w:val="24"/>
                <w:highlight w:val="none"/>
              </w:rPr>
              <w:t>平面布局图，</w:t>
            </w:r>
            <w:r>
              <w:rPr>
                <w:rFonts w:hint="default" w:ascii="Times New Roman" w:hAnsi="Times New Roman" w:cs="Times New Roman"/>
                <w:color w:val="auto"/>
                <w:sz w:val="24"/>
                <w:szCs w:val="24"/>
                <w:highlight w:val="none"/>
                <w:lang w:val="en-US" w:eastAsia="zh-CN"/>
              </w:rPr>
              <w:t>本项目的</w:t>
            </w:r>
            <w:r>
              <w:rPr>
                <w:rFonts w:hint="default" w:ascii="Times New Roman" w:hAnsi="Times New Roman" w:cs="Times New Roman"/>
                <w:color w:val="auto"/>
                <w:sz w:val="24"/>
                <w:szCs w:val="24"/>
                <w:highlight w:val="none"/>
              </w:rPr>
              <w:t>平面布置较为合理，主要体现在以下几个方面：</w:t>
            </w:r>
          </w:p>
          <w:p w14:paraId="132068A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lang w:val="en-US" w:eastAsia="zh-CN"/>
              </w:rPr>
              <w:t>厂房</w:t>
            </w:r>
            <w:r>
              <w:rPr>
                <w:rFonts w:hint="default" w:ascii="Times New Roman" w:hAnsi="Times New Roman" w:cs="Times New Roman"/>
                <w:color w:val="auto"/>
                <w:sz w:val="24"/>
                <w:szCs w:val="24"/>
                <w:highlight w:val="none"/>
              </w:rPr>
              <w:t>内生产区</w:t>
            </w:r>
            <w:r>
              <w:rPr>
                <w:rFonts w:hint="eastAsia" w:cs="Times New Roman"/>
                <w:color w:val="auto"/>
                <w:sz w:val="24"/>
                <w:szCs w:val="24"/>
                <w:highlight w:val="none"/>
                <w:lang w:val="en-US" w:eastAsia="zh-CN"/>
              </w:rPr>
              <w:t>分别位于厂房北侧和西南侧，</w:t>
            </w:r>
            <w:r>
              <w:rPr>
                <w:rFonts w:hint="default" w:ascii="Times New Roman" w:hAnsi="Times New Roman" w:cs="Times New Roman"/>
                <w:color w:val="auto"/>
                <w:sz w:val="24"/>
                <w:szCs w:val="24"/>
                <w:highlight w:val="none"/>
                <w:lang w:val="en-US" w:eastAsia="zh-CN"/>
              </w:rPr>
              <w:t>原料存放区</w:t>
            </w:r>
            <w:r>
              <w:rPr>
                <w:rFonts w:hint="eastAsia" w:cs="Times New Roman"/>
                <w:color w:val="auto"/>
                <w:sz w:val="24"/>
                <w:szCs w:val="24"/>
                <w:highlight w:val="none"/>
                <w:lang w:val="en-US" w:eastAsia="zh-CN"/>
              </w:rPr>
              <w:t>为了方便运输暂存于生产线旁边位于厂房中部两侧，</w:t>
            </w:r>
            <w:r>
              <w:rPr>
                <w:rFonts w:hint="default" w:ascii="Times New Roman" w:hAnsi="Times New Roman" w:cs="Times New Roman"/>
                <w:color w:val="auto"/>
                <w:sz w:val="24"/>
                <w:szCs w:val="24"/>
                <w:highlight w:val="none"/>
                <w:lang w:val="en-US" w:eastAsia="zh-CN"/>
              </w:rPr>
              <w:t>成品存放区</w:t>
            </w:r>
            <w:r>
              <w:rPr>
                <w:rFonts w:hint="eastAsia" w:cs="Times New Roman"/>
                <w:color w:val="auto"/>
                <w:sz w:val="24"/>
                <w:szCs w:val="24"/>
                <w:highlight w:val="none"/>
                <w:lang w:val="en-US" w:eastAsia="zh-CN"/>
              </w:rPr>
              <w:t>一般位于东北侧和南侧区域</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厂房中部流出道路</w:t>
            </w:r>
            <w:r>
              <w:rPr>
                <w:rFonts w:hint="default" w:ascii="Times New Roman" w:hAnsi="Times New Roman" w:cs="Times New Roman"/>
                <w:color w:val="auto"/>
                <w:sz w:val="24"/>
                <w:szCs w:val="24"/>
                <w:highlight w:val="none"/>
              </w:rPr>
              <w:t>有利于物流和人流的</w:t>
            </w:r>
            <w:r>
              <w:rPr>
                <w:rFonts w:hint="eastAsia" w:cs="Times New Roman"/>
                <w:color w:val="auto"/>
                <w:sz w:val="24"/>
                <w:szCs w:val="24"/>
                <w:highlight w:val="none"/>
                <w:lang w:val="en-US" w:eastAsia="zh-CN"/>
              </w:rPr>
              <w:t>流通管理</w:t>
            </w:r>
            <w:r>
              <w:rPr>
                <w:rFonts w:hint="default" w:ascii="Times New Roman" w:hAnsi="Times New Roman" w:cs="Times New Roman"/>
                <w:color w:val="auto"/>
                <w:sz w:val="24"/>
                <w:szCs w:val="24"/>
                <w:highlight w:val="none"/>
              </w:rPr>
              <w:t>。</w:t>
            </w:r>
          </w:p>
          <w:p w14:paraId="263618D2">
            <w:pPr>
              <w:pStyle w:val="22"/>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textAlignment w:val="auto"/>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cs="Times New Roman"/>
                <w:color w:val="auto"/>
                <w:sz w:val="24"/>
                <w:szCs w:val="24"/>
                <w:highlight w:val="none"/>
              </w:rPr>
              <w:t>（2）本项目生产设备均位于生产</w:t>
            </w:r>
            <w:r>
              <w:rPr>
                <w:rFonts w:hint="default" w:ascii="Times New Roman" w:hAnsi="Times New Roman" w:cs="Times New Roman"/>
                <w:color w:val="auto"/>
                <w:sz w:val="24"/>
                <w:szCs w:val="24"/>
                <w:highlight w:val="none"/>
                <w:lang w:val="en-US" w:eastAsia="zh-CN"/>
              </w:rPr>
              <w:t>厂房</w:t>
            </w:r>
            <w:r>
              <w:rPr>
                <w:rFonts w:hint="default" w:ascii="Times New Roman" w:hAnsi="Times New Roman" w:cs="Times New Roman"/>
                <w:color w:val="auto"/>
                <w:sz w:val="24"/>
                <w:szCs w:val="24"/>
                <w:highlight w:val="none"/>
              </w:rPr>
              <w:t>内，</w:t>
            </w:r>
            <w:r>
              <w:rPr>
                <w:rFonts w:hint="default" w:ascii="Times New Roman" w:hAnsi="Times New Roman" w:cs="Times New Roman"/>
                <w:color w:val="auto"/>
                <w:sz w:val="24"/>
                <w:szCs w:val="24"/>
                <w:highlight w:val="none"/>
                <w:lang w:val="en-US" w:eastAsia="zh-CN"/>
              </w:rPr>
              <w:t>且厂房是1栋1层，</w:t>
            </w:r>
            <w:r>
              <w:rPr>
                <w:rFonts w:hint="default" w:ascii="Times New Roman" w:hAnsi="Times New Roman" w:cs="Times New Roman"/>
                <w:color w:val="auto"/>
                <w:sz w:val="24"/>
                <w:szCs w:val="24"/>
                <w:highlight w:val="none"/>
              </w:rPr>
              <w:t>生产</w:t>
            </w:r>
            <w:r>
              <w:rPr>
                <w:rFonts w:hint="default" w:ascii="Times New Roman" w:hAnsi="Times New Roman" w:cs="Times New Roman"/>
                <w:color w:val="auto"/>
                <w:sz w:val="24"/>
                <w:szCs w:val="24"/>
                <w:highlight w:val="none"/>
                <w:lang w:val="en-US" w:eastAsia="zh-CN"/>
              </w:rPr>
              <w:t>厂房</w:t>
            </w:r>
            <w:r>
              <w:rPr>
                <w:rFonts w:hint="default" w:ascii="Times New Roman" w:hAnsi="Times New Roman" w:cs="Times New Roman"/>
                <w:color w:val="auto"/>
                <w:sz w:val="24"/>
                <w:szCs w:val="24"/>
                <w:highlight w:val="none"/>
              </w:rPr>
              <w:t>按</w:t>
            </w:r>
            <w:r>
              <w:rPr>
                <w:rFonts w:hint="default" w:ascii="Times New Roman" w:hAnsi="Times New Roman" w:cs="Times New Roman"/>
                <w:color w:val="auto"/>
                <w:sz w:val="24"/>
                <w:szCs w:val="24"/>
                <w:highlight w:val="none"/>
                <w:lang w:val="en-US" w:eastAsia="zh-CN"/>
              </w:rPr>
              <w:t>生产</w:t>
            </w:r>
            <w:r>
              <w:rPr>
                <w:rFonts w:hint="default" w:ascii="Times New Roman" w:hAnsi="Times New Roman" w:cs="Times New Roman"/>
                <w:color w:val="auto"/>
                <w:sz w:val="24"/>
                <w:szCs w:val="24"/>
                <w:highlight w:val="none"/>
              </w:rPr>
              <w:t>工序划分区域，产生污染物的工序集中，便于废气收集。</w:t>
            </w:r>
          </w:p>
          <w:p w14:paraId="23E977B3">
            <w:pPr>
              <w:pStyle w:val="35"/>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highlight w:val="none"/>
              </w:rPr>
            </w:pPr>
            <w:r>
              <w:rPr>
                <w:rFonts w:hint="default" w:ascii="Times New Roman" w:hAnsi="Times New Roman" w:cs="Times New Roman"/>
                <w:color w:val="auto"/>
                <w:kern w:val="2"/>
                <w:sz w:val="24"/>
                <w:szCs w:val="24"/>
                <w:highlight w:val="none"/>
                <w:u w:val="none"/>
                <w:lang w:val="en-US" w:eastAsia="zh-CN" w:bidi="ar-SA"/>
              </w:rPr>
              <w:t>总体而言，工艺流程的各个环节合理顺畅，物料的走向短捷便利，功能区独立设置，便于使用和管理，因此，本项目平面布置合理。</w:t>
            </w:r>
          </w:p>
          <w:p w14:paraId="3444153D">
            <w:pPr>
              <w:pStyle w:val="35"/>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highlight w:val="none"/>
              </w:rPr>
            </w:pPr>
            <w:r>
              <w:rPr>
                <w:rFonts w:hint="default" w:ascii="Times New Roman" w:hAnsi="Times New Roman" w:cs="Times New Roman"/>
                <w:b/>
                <w:bCs/>
                <w:highlight w:val="none"/>
              </w:rPr>
              <w:t>9、</w:t>
            </w:r>
            <w:r>
              <w:rPr>
                <w:rFonts w:hint="eastAsia" w:hAnsi="Times New Roman" w:cs="Times New Roman"/>
                <w:b/>
                <w:bCs/>
                <w:highlight w:val="none"/>
                <w:lang w:val="en-US" w:eastAsia="zh-CN"/>
              </w:rPr>
              <w:t>用</w:t>
            </w:r>
            <w:r>
              <w:rPr>
                <w:rFonts w:hint="default" w:ascii="Times New Roman" w:hAnsi="Times New Roman" w:cs="Times New Roman"/>
                <w:b/>
                <w:bCs/>
                <w:highlight w:val="none"/>
              </w:rPr>
              <w:t>水平衡</w:t>
            </w:r>
            <w:r>
              <w:rPr>
                <w:rFonts w:hint="eastAsia" w:hAnsi="Times New Roman" w:cs="Times New Roman"/>
                <w:b/>
                <w:bCs/>
                <w:highlight w:val="none"/>
                <w:lang w:val="en-US" w:eastAsia="zh-CN"/>
              </w:rPr>
              <w:t>和物料平衡</w:t>
            </w:r>
            <w:r>
              <w:rPr>
                <w:rFonts w:hint="default" w:ascii="Times New Roman" w:hAnsi="Times New Roman" w:cs="Times New Roman"/>
                <w:b/>
                <w:bCs/>
                <w:highlight w:val="none"/>
              </w:rPr>
              <w:t>分析</w:t>
            </w:r>
          </w:p>
          <w:p w14:paraId="5F26F4F3">
            <w:pPr>
              <w:pStyle w:val="35"/>
              <w:keepNext w:val="0"/>
              <w:keepLines w:val="0"/>
              <w:pageBreakBefore w:val="0"/>
              <w:widowControl w:val="0"/>
              <w:kinsoku/>
              <w:wordWrap/>
              <w:overflowPunct/>
              <w:topLinePunct w:val="0"/>
              <w:bidi w:val="0"/>
              <w:spacing w:line="240" w:lineRule="auto"/>
              <w:ind w:firstLine="0"/>
              <w:jc w:val="center"/>
              <w:textAlignment w:val="auto"/>
              <w:rPr>
                <w:rFonts w:hint="default" w:ascii="Times New Roman" w:hAnsi="Times New Roman" w:cs="Times New Roman"/>
                <w:highlight w:val="none"/>
              </w:rPr>
            </w:pPr>
            <w:r>
              <w:rPr>
                <w:rFonts w:hint="default" w:ascii="Times New Roman" w:hAnsi="Times New Roman" w:cs="Times New Roman"/>
                <w:highlight w:val="none"/>
              </w:rPr>
              <w:t>本项目</w:t>
            </w:r>
            <w:r>
              <w:rPr>
                <w:rFonts w:hint="eastAsia" w:hAnsi="Times New Roman" w:cs="Times New Roman"/>
                <w:highlight w:val="none"/>
                <w:lang w:val="en-US" w:eastAsia="zh-CN"/>
              </w:rPr>
              <w:t>补充循环用</w:t>
            </w:r>
            <w:r>
              <w:rPr>
                <w:rFonts w:hint="default" w:ascii="Times New Roman" w:hAnsi="Times New Roman" w:cs="Times New Roman"/>
                <w:highlight w:val="none"/>
              </w:rPr>
              <w:t>水平衡</w:t>
            </w:r>
            <w:r>
              <w:rPr>
                <w:rFonts w:hint="eastAsia" w:hAnsi="Times New Roman" w:cs="Times New Roman"/>
                <w:highlight w:val="none"/>
                <w:lang w:val="en-US" w:eastAsia="zh-CN"/>
              </w:rPr>
              <w:t>分析</w:t>
            </w:r>
            <w:r>
              <w:rPr>
                <w:rFonts w:hint="default" w:ascii="Times New Roman" w:hAnsi="Times New Roman" w:cs="Times New Roman"/>
                <w:highlight w:val="none"/>
              </w:rPr>
              <w:t>见图</w:t>
            </w:r>
            <w:r>
              <w:rPr>
                <w:rFonts w:hint="eastAsia" w:hAnsi="Times New Roman" w:cs="Times New Roman"/>
                <w:highlight w:val="none"/>
                <w:lang w:val="en-US" w:eastAsia="zh-CN"/>
              </w:rPr>
              <w:t>1，物料平衡分析见图2</w:t>
            </w:r>
            <w:r>
              <w:rPr>
                <w:rFonts w:hint="default" w:ascii="Times New Roman" w:hAnsi="Times New Roman" w:cs="Times New Roman"/>
                <w:highlight w:val="none"/>
              </w:rPr>
              <w:t>。</w:t>
            </w:r>
            <w:r>
              <w:drawing>
                <wp:inline distT="0" distB="0" distL="114300" distR="114300">
                  <wp:extent cx="5156835" cy="3190240"/>
                  <wp:effectExtent l="0" t="0" r="9525" b="1016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17"/>
                          <a:stretch>
                            <a:fillRect/>
                          </a:stretch>
                        </pic:blipFill>
                        <pic:spPr>
                          <a:xfrm>
                            <a:off x="0" y="0"/>
                            <a:ext cx="5156835" cy="3190240"/>
                          </a:xfrm>
                          <a:prstGeom prst="rect">
                            <a:avLst/>
                          </a:prstGeom>
                          <a:noFill/>
                          <a:ln>
                            <a:noFill/>
                          </a:ln>
                        </pic:spPr>
                      </pic:pic>
                    </a:graphicData>
                  </a:graphic>
                </wp:inline>
              </w:drawing>
            </w:r>
          </w:p>
          <w:p w14:paraId="5EE65701">
            <w:pPr>
              <w:pStyle w:val="2"/>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eastAsia="黑体"/>
                <w:b w:val="0"/>
                <w:bCs/>
                <w:color w:val="000000"/>
                <w:sz w:val="24"/>
                <w:szCs w:val="24"/>
                <w:highlight w:val="none"/>
              </w:rPr>
            </w:pPr>
            <w:r>
              <w:rPr>
                <w:rFonts w:hint="eastAsia" w:cs="Times New Roman"/>
                <w:b/>
                <w:bCs w:val="0"/>
                <w:sz w:val="24"/>
                <w:szCs w:val="24"/>
                <w:highlight w:val="none"/>
                <w:lang w:val="en-US" w:eastAsia="zh-CN"/>
              </w:rPr>
              <w:t xml:space="preserve">图1 </w:t>
            </w:r>
            <w:r>
              <w:rPr>
                <w:rFonts w:hint="default" w:ascii="Times New Roman" w:hAnsi="Times New Roman" w:cs="Times New Roman"/>
                <w:b/>
                <w:bCs w:val="0"/>
                <w:sz w:val="24"/>
                <w:szCs w:val="24"/>
                <w:highlight w:val="none"/>
              </w:rPr>
              <w:t>项目</w:t>
            </w:r>
            <w:r>
              <w:rPr>
                <w:rFonts w:hint="eastAsia" w:cs="Times New Roman"/>
                <w:b/>
                <w:bCs w:val="0"/>
                <w:sz w:val="24"/>
                <w:szCs w:val="24"/>
                <w:highlight w:val="none"/>
                <w:lang w:val="en-US" w:eastAsia="zh-CN"/>
              </w:rPr>
              <w:t>补充循环用</w:t>
            </w:r>
            <w:r>
              <w:rPr>
                <w:rFonts w:hint="default" w:ascii="Times New Roman" w:hAnsi="Times New Roman" w:cs="Times New Roman"/>
                <w:b/>
                <w:bCs w:val="0"/>
                <w:sz w:val="24"/>
                <w:szCs w:val="24"/>
                <w:highlight w:val="none"/>
              </w:rPr>
              <w:t>水平衡图</w:t>
            </w:r>
          </w:p>
          <w:p w14:paraId="41587462">
            <w:pPr>
              <w:jc w:val="center"/>
              <w:rPr>
                <w:highlight w:val="none"/>
              </w:rPr>
            </w:pPr>
            <w:r>
              <w:drawing>
                <wp:inline distT="0" distB="0" distL="114300" distR="114300">
                  <wp:extent cx="5147310" cy="3101975"/>
                  <wp:effectExtent l="0" t="0" r="3810" b="6985"/>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18"/>
                          <a:srcRect l="3591" t="1730"/>
                          <a:stretch>
                            <a:fillRect/>
                          </a:stretch>
                        </pic:blipFill>
                        <pic:spPr>
                          <a:xfrm>
                            <a:off x="0" y="0"/>
                            <a:ext cx="5147310" cy="3101975"/>
                          </a:xfrm>
                          <a:prstGeom prst="rect">
                            <a:avLst/>
                          </a:prstGeom>
                          <a:noFill/>
                          <a:ln>
                            <a:noFill/>
                          </a:ln>
                        </pic:spPr>
                      </pic:pic>
                    </a:graphicData>
                  </a:graphic>
                </wp:inline>
              </w:drawing>
            </w:r>
          </w:p>
          <w:p w14:paraId="7DFD612E">
            <w:pPr>
              <w:pStyle w:val="2"/>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highlight w:val="none"/>
              </w:rPr>
            </w:pPr>
            <w:r>
              <w:rPr>
                <w:rFonts w:hint="eastAsia" w:cs="Times New Roman"/>
                <w:b/>
                <w:bCs w:val="0"/>
                <w:sz w:val="24"/>
                <w:szCs w:val="24"/>
                <w:highlight w:val="none"/>
                <w:lang w:val="en-US" w:eastAsia="zh-CN"/>
              </w:rPr>
              <w:t xml:space="preserve">图2 </w:t>
            </w:r>
            <w:r>
              <w:rPr>
                <w:rFonts w:hint="default" w:ascii="Times New Roman" w:hAnsi="Times New Roman" w:cs="Times New Roman"/>
                <w:b/>
                <w:bCs w:val="0"/>
                <w:sz w:val="24"/>
                <w:szCs w:val="24"/>
                <w:highlight w:val="none"/>
              </w:rPr>
              <w:t>项目</w:t>
            </w:r>
            <w:r>
              <w:rPr>
                <w:rFonts w:hint="eastAsia" w:cs="Times New Roman"/>
                <w:b/>
                <w:bCs w:val="0"/>
                <w:sz w:val="24"/>
                <w:szCs w:val="24"/>
                <w:highlight w:val="none"/>
                <w:lang w:val="en-US" w:eastAsia="zh-CN"/>
              </w:rPr>
              <w:t>物料</w:t>
            </w:r>
            <w:r>
              <w:rPr>
                <w:rFonts w:hint="default" w:ascii="Times New Roman" w:hAnsi="Times New Roman" w:cs="Times New Roman"/>
                <w:b/>
                <w:bCs w:val="0"/>
                <w:sz w:val="24"/>
                <w:szCs w:val="24"/>
                <w:highlight w:val="none"/>
              </w:rPr>
              <w:t>平衡图</w:t>
            </w:r>
          </w:p>
        </w:tc>
      </w:tr>
      <w:tr w14:paraId="0DB6D4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21" w:hRule="atLeast"/>
          <w:jc w:val="center"/>
        </w:trPr>
        <w:tc>
          <w:tcPr>
            <w:tcW w:w="817" w:type="dxa"/>
            <w:noWrap w:val="0"/>
            <w:vAlign w:val="center"/>
          </w:tcPr>
          <w:p w14:paraId="2BA82EFD">
            <w:pPr>
              <w:pStyle w:val="20"/>
              <w:adjustRightInd w:val="0"/>
              <w:snapToGrid w:val="0"/>
              <w:spacing w:before="0" w:beforeAutospacing="0" w:after="0" w:afterAutospacing="0"/>
              <w:jc w:val="center"/>
              <w:rPr>
                <w:rFonts w:hint="default" w:ascii="Times New Roman" w:hAnsi="Times New Roman" w:cs="Times New Roman"/>
                <w:b/>
                <w:szCs w:val="24"/>
                <w:highlight w:val="none"/>
                <w:lang w:val="en-US" w:eastAsia="zh-CN"/>
              </w:rPr>
            </w:pPr>
            <w:r>
              <w:rPr>
                <w:rFonts w:hint="default" w:ascii="Times New Roman" w:hAnsi="Times New Roman" w:cs="Times New Roman"/>
                <w:b/>
                <w:szCs w:val="24"/>
                <w:highlight w:val="none"/>
                <w:lang w:val="en-US" w:eastAsia="zh-CN"/>
              </w:rPr>
              <w:t>工艺流程和产排污环节</w:t>
            </w:r>
          </w:p>
        </w:tc>
        <w:tc>
          <w:tcPr>
            <w:tcW w:w="8243" w:type="dxa"/>
            <w:noWrap w:val="0"/>
            <w:vAlign w:val="top"/>
          </w:tcPr>
          <w:p w14:paraId="0E3105D8">
            <w:pPr>
              <w:pStyle w:val="35"/>
              <w:keepNext w:val="0"/>
              <w:keepLines w:val="0"/>
              <w:pageBreakBefore w:val="0"/>
              <w:widowControl w:val="0"/>
              <w:kinsoku/>
              <w:wordWrap/>
              <w:overflowPunct/>
              <w:topLinePunct w:val="0"/>
              <w:autoSpaceDE/>
              <w:autoSpaceDN/>
              <w:bidi w:val="0"/>
              <w:spacing w:line="500" w:lineRule="exact"/>
              <w:rPr>
                <w:rFonts w:hint="default" w:ascii="Times New Roman" w:hAnsi="Times New Roman" w:eastAsia="宋体" w:cs="Times New Roman"/>
                <w:b/>
                <w:bCs/>
                <w:highlight w:val="none"/>
                <w:lang w:val="en-US" w:eastAsia="zh-CN"/>
              </w:rPr>
            </w:pPr>
            <w:r>
              <w:rPr>
                <w:rFonts w:hint="default" w:ascii="Times New Roman" w:hAnsi="Times New Roman" w:cs="Times New Roman"/>
                <w:b/>
                <w:bCs/>
                <w:highlight w:val="none"/>
              </w:rPr>
              <w:t>1、工艺流程</w:t>
            </w:r>
            <w:r>
              <w:rPr>
                <w:rFonts w:hint="default" w:ascii="Times New Roman" w:hAnsi="Times New Roman" w:cs="Times New Roman"/>
                <w:b/>
                <w:bCs/>
                <w:highlight w:val="none"/>
                <w:lang w:val="en-US" w:eastAsia="zh-CN"/>
              </w:rPr>
              <w:t>简述</w:t>
            </w:r>
          </w:p>
          <w:p w14:paraId="2A4B18C7">
            <w:pPr>
              <w:keepNext w:val="0"/>
              <w:keepLines w:val="0"/>
              <w:pageBreakBefore w:val="0"/>
              <w:widowControl w:val="0"/>
              <w:kinsoku/>
              <w:wordWrap/>
              <w:overflowPunct/>
              <w:topLinePunct w:val="0"/>
              <w:autoSpaceDE/>
              <w:autoSpaceDN/>
              <w:bidi w:val="0"/>
              <w:adjustRightInd w:val="0"/>
              <w:snapToGrid w:val="0"/>
              <w:spacing w:line="500" w:lineRule="exact"/>
              <w:ind w:left="0" w:firstLine="480" w:firstLineChars="200"/>
              <w:jc w:val="left"/>
              <w:textAlignment w:val="auto"/>
              <w:rPr>
                <w:rFonts w:hint="default" w:ascii="Times New Roman" w:hAnsi="Times New Roman" w:eastAsia="黑体" w:cs="Times New Roman"/>
                <w:bCs/>
                <w:color w:val="auto"/>
                <w:sz w:val="24"/>
                <w:szCs w:val="21"/>
                <w:highlight w:val="none"/>
                <w:lang w:val="en-US" w:eastAsia="zh-CN"/>
              </w:rPr>
            </w:pPr>
            <w:r>
              <w:rPr>
                <w:rFonts w:hint="default" w:ascii="Times New Roman" w:hAnsi="Times New Roman" w:eastAsia="黑体" w:cs="Times New Roman"/>
                <w:bCs/>
                <w:color w:val="auto"/>
                <w:sz w:val="24"/>
                <w:szCs w:val="21"/>
                <w:highlight w:val="none"/>
              </w:rPr>
              <w:t>1.1施工期</w:t>
            </w:r>
            <w:r>
              <w:rPr>
                <w:rFonts w:hint="default" w:ascii="Times New Roman" w:hAnsi="Times New Roman" w:eastAsia="黑体" w:cs="Times New Roman"/>
                <w:bCs/>
                <w:color w:val="auto"/>
                <w:sz w:val="24"/>
                <w:szCs w:val="21"/>
                <w:highlight w:val="none"/>
                <w:lang w:val="en-US" w:eastAsia="zh-CN"/>
              </w:rPr>
              <w:t>环节产污分析</w:t>
            </w:r>
          </w:p>
          <w:p w14:paraId="08D0BA45">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firstLine="482" w:firstLineChars="0"/>
              <w:jc w:val="left"/>
              <w:textAlignment w:val="baseline"/>
              <w:rPr>
                <w:rFonts w:hint="default" w:ascii="Times New Roman" w:hAnsi="Times New Roman" w:cs="Times New Roman"/>
                <w:bCs/>
                <w:color w:val="000000"/>
                <w:sz w:val="24"/>
                <w:szCs w:val="24"/>
                <w:highlight w:val="none"/>
                <w:lang w:eastAsia="zh-CN"/>
              </w:rPr>
            </w:pPr>
            <w:r>
              <w:rPr>
                <w:rFonts w:hint="default" w:ascii="Times New Roman" w:hAnsi="Times New Roman" w:eastAsia="宋体" w:cs="Times New Roman"/>
                <w:color w:val="auto"/>
                <w:kern w:val="0"/>
                <w:sz w:val="24"/>
                <w:szCs w:val="24"/>
                <w:highlight w:val="none"/>
                <w:lang w:val="en-US" w:eastAsia="zh-CN" w:bidi="ar-SA"/>
              </w:rPr>
              <w:t>本项目位于叶县廉村镇湾张村东南地叶廉路北侧，利用空地进行设计建设，目前</w:t>
            </w:r>
            <w:r>
              <w:rPr>
                <w:rFonts w:hint="default" w:ascii="Times New Roman" w:hAnsi="Times New Roman" w:cs="Times New Roman"/>
                <w:sz w:val="24"/>
                <w:highlight w:val="none"/>
              </w:rPr>
              <w:t>主要为</w:t>
            </w:r>
            <w:r>
              <w:rPr>
                <w:rFonts w:hint="default" w:ascii="Times New Roman" w:hAnsi="Times New Roman" w:cs="Times New Roman"/>
                <w:sz w:val="24"/>
                <w:highlight w:val="none"/>
                <w:lang w:val="en-US" w:eastAsia="zh-CN"/>
              </w:rPr>
              <w:t>生产</w:t>
            </w:r>
            <w:r>
              <w:rPr>
                <w:rFonts w:hint="default" w:ascii="Times New Roman" w:hAnsi="Times New Roman" w:cs="Times New Roman"/>
                <w:sz w:val="24"/>
                <w:highlight w:val="none"/>
              </w:rPr>
              <w:t>项目的厂房建设及设备的安装以及项目配套的环保工程的建设</w:t>
            </w:r>
            <w:r>
              <w:rPr>
                <w:rFonts w:hint="default" w:ascii="Times New Roman" w:hAnsi="Times New Roman" w:cs="Times New Roman"/>
                <w:sz w:val="24"/>
                <w:highlight w:val="none"/>
                <w:lang w:eastAsia="zh-CN"/>
              </w:rPr>
              <w:t>。</w:t>
            </w:r>
            <w:r>
              <w:rPr>
                <w:rFonts w:hint="default" w:ascii="Times New Roman" w:hAnsi="Times New Roman" w:cs="Times New Roman"/>
                <w:bCs/>
                <w:color w:val="000000"/>
                <w:sz w:val="24"/>
                <w:szCs w:val="24"/>
                <w:highlight w:val="none"/>
              </w:rPr>
              <w:t>施工期对环境产生影响的主要因素为施工扬尘、</w:t>
            </w:r>
            <w:r>
              <w:rPr>
                <w:rFonts w:hint="default" w:ascii="Times New Roman" w:hAnsi="Times New Roman" w:cs="Times New Roman"/>
                <w:bCs/>
                <w:color w:val="000000"/>
                <w:sz w:val="24"/>
                <w:szCs w:val="24"/>
                <w:highlight w:val="none"/>
                <w:lang w:val="en-US" w:eastAsia="zh-CN"/>
              </w:rPr>
              <w:t>施工废水、施工机械</w:t>
            </w:r>
            <w:r>
              <w:rPr>
                <w:rFonts w:hint="default" w:ascii="Times New Roman" w:hAnsi="Times New Roman" w:cs="Times New Roman"/>
                <w:bCs/>
                <w:color w:val="000000"/>
                <w:sz w:val="24"/>
                <w:szCs w:val="24"/>
                <w:highlight w:val="none"/>
              </w:rPr>
              <w:t>噪声、建筑</w:t>
            </w:r>
            <w:r>
              <w:rPr>
                <w:rFonts w:hint="default" w:ascii="Times New Roman" w:hAnsi="Times New Roman" w:cs="Times New Roman"/>
                <w:bCs/>
                <w:color w:val="000000"/>
                <w:sz w:val="24"/>
                <w:szCs w:val="24"/>
                <w:highlight w:val="none"/>
                <w:lang w:val="en-US" w:eastAsia="zh-CN"/>
              </w:rPr>
              <w:t>垃圾和</w:t>
            </w:r>
            <w:r>
              <w:rPr>
                <w:rFonts w:hint="default" w:ascii="Times New Roman" w:hAnsi="Times New Roman" w:cs="Times New Roman"/>
                <w:bCs/>
                <w:color w:val="000000"/>
                <w:sz w:val="24"/>
                <w:szCs w:val="24"/>
                <w:highlight w:val="none"/>
              </w:rPr>
              <w:t>生活垃圾</w:t>
            </w:r>
            <w:r>
              <w:rPr>
                <w:rFonts w:hint="default" w:ascii="Times New Roman" w:hAnsi="Times New Roman" w:cs="Times New Roman"/>
                <w:bCs/>
                <w:color w:val="000000"/>
                <w:sz w:val="24"/>
                <w:szCs w:val="24"/>
                <w:highlight w:val="none"/>
                <w:lang w:eastAsia="zh-CN"/>
              </w:rPr>
              <w:t>。</w:t>
            </w:r>
          </w:p>
          <w:p w14:paraId="17A8A44C">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firstLine="482" w:firstLineChars="0"/>
              <w:jc w:val="left"/>
              <w:textAlignment w:val="baseline"/>
              <w:rPr>
                <w:rFonts w:hint="default" w:ascii="Times New Roman" w:hAnsi="Times New Roman" w:cs="Times New Roman"/>
                <w:bCs/>
                <w:color w:val="000000"/>
                <w:sz w:val="24"/>
                <w:szCs w:val="24"/>
                <w:highlight w:val="none"/>
                <w:lang w:val="en-US" w:eastAsia="zh-CN"/>
              </w:rPr>
            </w:pPr>
            <w:r>
              <w:rPr>
                <w:rFonts w:hint="default" w:ascii="Times New Roman" w:hAnsi="Times New Roman" w:cs="Times New Roman"/>
                <w:bCs/>
                <w:color w:val="000000"/>
                <w:sz w:val="24"/>
                <w:szCs w:val="24"/>
                <w:highlight w:val="none"/>
                <w:lang w:val="en-US" w:eastAsia="zh-CN"/>
              </w:rPr>
              <w:t>本项目施工期工序及产污环节见下图所示。</w:t>
            </w:r>
          </w:p>
          <w:p w14:paraId="30854C9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000000"/>
                <w:sz w:val="24"/>
                <w:szCs w:val="24"/>
                <w:highlight w:val="none"/>
                <w:lang w:val="en-US" w:eastAsia="zh-CN"/>
              </w:rPr>
            </w:pPr>
            <w:r>
              <w:rPr>
                <w:rFonts w:hint="default" w:ascii="Times New Roman" w:hAnsi="Times New Roman" w:cs="Times New Roman"/>
                <w:b/>
                <w:color w:val="000000"/>
                <w:kern w:val="0"/>
                <w:szCs w:val="21"/>
                <w:highlight w:val="none"/>
              </w:rPr>
              <mc:AlternateContent>
                <mc:Choice Requires="wpg">
                  <w:drawing>
                    <wp:anchor distT="0" distB="0" distL="114300" distR="114300" simplePos="0" relativeHeight="251664384" behindDoc="0" locked="0" layoutInCell="1" allowOverlap="1">
                      <wp:simplePos x="0" y="0"/>
                      <wp:positionH relativeFrom="column">
                        <wp:posOffset>576580</wp:posOffset>
                      </wp:positionH>
                      <wp:positionV relativeFrom="paragraph">
                        <wp:posOffset>36195</wp:posOffset>
                      </wp:positionV>
                      <wp:extent cx="4084955" cy="1957070"/>
                      <wp:effectExtent l="0" t="0" r="14605" b="8890"/>
                      <wp:wrapNone/>
                      <wp:docPr id="329" name="组合 329"/>
                      <wp:cNvGraphicFramePr/>
                      <a:graphic xmlns:a="http://schemas.openxmlformats.org/drawingml/2006/main">
                        <a:graphicData uri="http://schemas.microsoft.com/office/word/2010/wordprocessingGroup">
                          <wpg:wgp>
                            <wpg:cNvGrpSpPr/>
                            <wpg:grpSpPr>
                              <a:xfrm>
                                <a:off x="0" y="0"/>
                                <a:ext cx="4084955" cy="1957236"/>
                                <a:chOff x="3370" y="4827"/>
                                <a:chExt cx="6374" cy="3058"/>
                              </a:xfrm>
                            </wpg:grpSpPr>
                            <wps:wsp>
                              <wps:cNvPr id="305" name="文本框 305"/>
                              <wps:cNvSpPr txBox="1"/>
                              <wps:spPr>
                                <a:xfrm>
                                  <a:off x="3455" y="5651"/>
                                  <a:ext cx="1218" cy="462"/>
                                </a:xfrm>
                                <a:prstGeom prst="rect">
                                  <a:avLst/>
                                </a:prstGeom>
                                <a:noFill/>
                                <a:ln w="12700" cap="flat" cmpd="sng">
                                  <a:solidFill>
                                    <a:srgbClr val="000000"/>
                                  </a:solidFill>
                                  <a:prstDash val="solid"/>
                                  <a:miter/>
                                  <a:headEnd type="none" w="med" len="med"/>
                                  <a:tailEnd type="none" w="med" len="med"/>
                                </a:ln>
                              </wps:spPr>
                              <wps:txbx>
                                <w:txbxContent>
                                  <w:p w14:paraId="557CA470">
                                    <w:r>
                                      <w:rPr>
                                        <w:rFonts w:hint="eastAsia"/>
                                      </w:rPr>
                                      <w:t>基础工程</w:t>
                                    </w:r>
                                  </w:p>
                                </w:txbxContent>
                              </wps:txbx>
                              <wps:bodyPr upright="1"/>
                            </wps:wsp>
                            <wps:wsp>
                              <wps:cNvPr id="306" name="文本框 306"/>
                              <wps:cNvSpPr txBox="1"/>
                              <wps:spPr>
                                <a:xfrm>
                                  <a:off x="5147" y="5651"/>
                                  <a:ext cx="1218" cy="462"/>
                                </a:xfrm>
                                <a:prstGeom prst="rect">
                                  <a:avLst/>
                                </a:prstGeom>
                                <a:noFill/>
                                <a:ln w="12700" cap="flat" cmpd="sng">
                                  <a:solidFill>
                                    <a:srgbClr val="000000"/>
                                  </a:solidFill>
                                  <a:prstDash val="solid"/>
                                  <a:miter/>
                                  <a:headEnd type="none" w="med" len="med"/>
                                  <a:tailEnd type="none" w="med" len="med"/>
                                </a:ln>
                              </wps:spPr>
                              <wps:txbx>
                                <w:txbxContent>
                                  <w:p w14:paraId="655A1A15">
                                    <w:r>
                                      <w:rPr>
                                        <w:rFonts w:hint="eastAsia"/>
                                      </w:rPr>
                                      <w:t>主体工程</w:t>
                                    </w:r>
                                  </w:p>
                                </w:txbxContent>
                              </wps:txbx>
                              <wps:bodyPr upright="1"/>
                            </wps:wsp>
                            <wps:wsp>
                              <wps:cNvPr id="307" name="文本框 307"/>
                              <wps:cNvSpPr txBox="1"/>
                              <wps:spPr>
                                <a:xfrm>
                                  <a:off x="6826" y="5651"/>
                                  <a:ext cx="1218" cy="462"/>
                                </a:xfrm>
                                <a:prstGeom prst="rect">
                                  <a:avLst/>
                                </a:prstGeom>
                                <a:noFill/>
                                <a:ln w="12700" cap="flat" cmpd="sng">
                                  <a:solidFill>
                                    <a:srgbClr val="000000"/>
                                  </a:solidFill>
                                  <a:prstDash val="solid"/>
                                  <a:miter/>
                                  <a:headEnd type="none" w="med" len="med"/>
                                  <a:tailEnd type="none" w="med" len="med"/>
                                </a:ln>
                              </wps:spPr>
                              <wps:txbx>
                                <w:txbxContent>
                                  <w:p w14:paraId="47219DBC">
                                    <w:r>
                                      <w:rPr>
                                        <w:rFonts w:hint="eastAsia"/>
                                      </w:rPr>
                                      <w:t>装修工程</w:t>
                                    </w:r>
                                  </w:p>
                                </w:txbxContent>
                              </wps:txbx>
                              <wps:bodyPr upright="1"/>
                            </wps:wsp>
                            <wps:wsp>
                              <wps:cNvPr id="308" name="文本框 308"/>
                              <wps:cNvSpPr txBox="1"/>
                              <wps:spPr>
                                <a:xfrm>
                                  <a:off x="8505" y="5651"/>
                                  <a:ext cx="1218" cy="462"/>
                                </a:xfrm>
                                <a:prstGeom prst="rect">
                                  <a:avLst/>
                                </a:prstGeom>
                                <a:noFill/>
                                <a:ln w="12700" cap="flat" cmpd="sng">
                                  <a:solidFill>
                                    <a:srgbClr val="000000"/>
                                  </a:solidFill>
                                  <a:prstDash val="solid"/>
                                  <a:miter/>
                                  <a:headEnd type="none" w="med" len="med"/>
                                  <a:tailEnd type="none" w="med" len="med"/>
                                </a:ln>
                              </wps:spPr>
                              <wps:txbx>
                                <w:txbxContent>
                                  <w:p w14:paraId="19B9D88D">
                                    <w:r>
                                      <w:rPr>
                                        <w:rFonts w:hint="eastAsia"/>
                                      </w:rPr>
                                      <w:t>设备安装</w:t>
                                    </w:r>
                                  </w:p>
                                </w:txbxContent>
                              </wps:txbx>
                              <wps:bodyPr upright="1"/>
                            </wps:wsp>
                            <wps:wsp>
                              <wps:cNvPr id="309" name="文本框 309"/>
                              <wps:cNvSpPr txBox="1"/>
                              <wps:spPr>
                                <a:xfrm>
                                  <a:off x="8490" y="6555"/>
                                  <a:ext cx="1218" cy="451"/>
                                </a:xfrm>
                                <a:prstGeom prst="rect">
                                  <a:avLst/>
                                </a:prstGeom>
                                <a:noFill/>
                                <a:ln w="12700" cap="flat" cmpd="sng">
                                  <a:solidFill>
                                    <a:srgbClr val="000000"/>
                                  </a:solidFill>
                                  <a:prstDash val="solid"/>
                                  <a:miter/>
                                  <a:headEnd type="none" w="med" len="med"/>
                                  <a:tailEnd type="none" w="med" len="med"/>
                                </a:ln>
                              </wps:spPr>
                              <wps:txbx>
                                <w:txbxContent>
                                  <w:p w14:paraId="1D810E02">
                                    <w:r>
                                      <w:rPr>
                                        <w:rFonts w:hint="eastAsia"/>
                                      </w:rPr>
                                      <w:t>工程验收</w:t>
                                    </w:r>
                                  </w:p>
                                </w:txbxContent>
                              </wps:txbx>
                              <wps:bodyPr upright="1"/>
                            </wps:wsp>
                            <wps:wsp>
                              <wps:cNvPr id="310" name="文本框 310"/>
                              <wps:cNvSpPr txBox="1"/>
                              <wps:spPr>
                                <a:xfrm>
                                  <a:off x="8526" y="7469"/>
                                  <a:ext cx="1218" cy="416"/>
                                </a:xfrm>
                                <a:prstGeom prst="rect">
                                  <a:avLst/>
                                </a:prstGeom>
                                <a:noFill/>
                                <a:ln w="12700" cap="flat" cmpd="sng">
                                  <a:solidFill>
                                    <a:srgbClr val="000000"/>
                                  </a:solidFill>
                                  <a:prstDash val="solid"/>
                                  <a:miter/>
                                  <a:headEnd type="none" w="med" len="med"/>
                                  <a:tailEnd type="none" w="med" len="med"/>
                                </a:ln>
                              </wps:spPr>
                              <wps:txbx>
                                <w:txbxContent>
                                  <w:p w14:paraId="6A7AF310">
                                    <w:r>
                                      <w:rPr>
                                        <w:rFonts w:hint="eastAsia"/>
                                      </w:rPr>
                                      <w:t>交付使用</w:t>
                                    </w:r>
                                  </w:p>
                                </w:txbxContent>
                              </wps:txbx>
                              <wps:bodyPr upright="1"/>
                            </wps:wsp>
                            <wps:wsp>
                              <wps:cNvPr id="311" name="直接连接符 311"/>
                              <wps:cNvCnPr/>
                              <wps:spPr>
                                <a:xfrm>
                                  <a:off x="4678" y="5889"/>
                                  <a:ext cx="454" cy="0"/>
                                </a:xfrm>
                                <a:prstGeom prst="line">
                                  <a:avLst/>
                                </a:prstGeom>
                                <a:ln w="12700" cap="flat" cmpd="sng">
                                  <a:solidFill>
                                    <a:srgbClr val="000000"/>
                                  </a:solidFill>
                                  <a:prstDash val="solid"/>
                                  <a:headEnd type="none" w="med" len="med"/>
                                  <a:tailEnd type="triangle" w="med" len="med"/>
                                </a:ln>
                              </wps:spPr>
                              <wps:bodyPr upright="1"/>
                            </wps:wsp>
                            <wps:wsp>
                              <wps:cNvPr id="312" name="文本框 312"/>
                              <wps:cNvSpPr txBox="1"/>
                              <wps:spPr>
                                <a:xfrm>
                                  <a:off x="3370" y="4841"/>
                                  <a:ext cx="1282" cy="475"/>
                                </a:xfrm>
                                <a:prstGeom prst="rect">
                                  <a:avLst/>
                                </a:prstGeom>
                                <a:noFill/>
                                <a:ln w="15875">
                                  <a:noFill/>
                                </a:ln>
                              </wps:spPr>
                              <wps:txbx>
                                <w:txbxContent>
                                  <w:p w14:paraId="5C0F5CD8">
                                    <w:r>
                                      <w:rPr>
                                        <w:rFonts w:hint="eastAsia"/>
                                      </w:rPr>
                                      <w:t>扬尘、噪声</w:t>
                                    </w:r>
                                  </w:p>
                                </w:txbxContent>
                              </wps:txbx>
                              <wps:bodyPr upright="1"/>
                            </wps:wsp>
                            <wps:wsp>
                              <wps:cNvPr id="313" name="文本框 313"/>
                              <wps:cNvSpPr txBox="1"/>
                              <wps:spPr>
                                <a:xfrm>
                                  <a:off x="3404" y="6538"/>
                                  <a:ext cx="1218" cy="702"/>
                                </a:xfrm>
                                <a:prstGeom prst="rect">
                                  <a:avLst/>
                                </a:prstGeom>
                                <a:noFill/>
                                <a:ln w="15875">
                                  <a:noFill/>
                                </a:ln>
                              </wps:spPr>
                              <wps:txbx>
                                <w:txbxContent>
                                  <w:p w14:paraId="57F2E0A0">
                                    <w:pPr>
                                      <w:jc w:val="center"/>
                                    </w:pPr>
                                    <w:r>
                                      <w:rPr>
                                        <w:rFonts w:hint="eastAsia"/>
                                      </w:rPr>
                                      <w:t>废土石、建筑垃圾</w:t>
                                    </w:r>
                                  </w:p>
                                </w:txbxContent>
                              </wps:txbx>
                              <wps:bodyPr upright="1"/>
                            </wps:wsp>
                            <wps:wsp>
                              <wps:cNvPr id="314" name="直接连接符 314"/>
                              <wps:cNvCnPr/>
                              <wps:spPr>
                                <a:xfrm flipV="1">
                                  <a:off x="5824" y="5176"/>
                                  <a:ext cx="0" cy="466"/>
                                </a:xfrm>
                                <a:prstGeom prst="line">
                                  <a:avLst/>
                                </a:prstGeom>
                                <a:ln w="12700" cap="flat" cmpd="sng">
                                  <a:solidFill>
                                    <a:srgbClr val="000000"/>
                                  </a:solidFill>
                                  <a:prstDash val="dash"/>
                                  <a:headEnd type="none" w="med" len="med"/>
                                  <a:tailEnd type="triangle" w="med" len="med"/>
                                </a:ln>
                              </wps:spPr>
                              <wps:bodyPr upright="1"/>
                            </wps:wsp>
                            <wps:wsp>
                              <wps:cNvPr id="315" name="直接连接符 315"/>
                              <wps:cNvCnPr/>
                              <wps:spPr>
                                <a:xfrm>
                                  <a:off x="5823" y="6107"/>
                                  <a:ext cx="0" cy="465"/>
                                </a:xfrm>
                                <a:prstGeom prst="line">
                                  <a:avLst/>
                                </a:prstGeom>
                                <a:ln w="12700" cap="flat" cmpd="sng">
                                  <a:solidFill>
                                    <a:srgbClr val="000000"/>
                                  </a:solidFill>
                                  <a:prstDash val="dash"/>
                                  <a:headEnd type="none" w="med" len="med"/>
                                  <a:tailEnd type="triangle" w="med" len="med"/>
                                </a:ln>
                              </wps:spPr>
                              <wps:bodyPr upright="1"/>
                            </wps:wsp>
                            <wps:wsp>
                              <wps:cNvPr id="316" name="文本框 316"/>
                              <wps:cNvSpPr txBox="1"/>
                              <wps:spPr>
                                <a:xfrm>
                                  <a:off x="5102" y="4827"/>
                                  <a:ext cx="1421" cy="478"/>
                                </a:xfrm>
                                <a:prstGeom prst="rect">
                                  <a:avLst/>
                                </a:prstGeom>
                                <a:noFill/>
                                <a:ln w="15875">
                                  <a:noFill/>
                                </a:ln>
                              </wps:spPr>
                              <wps:txbx>
                                <w:txbxContent>
                                  <w:p w14:paraId="32784CDA">
                                    <w:r>
                                      <w:rPr>
                                        <w:rFonts w:hint="eastAsia"/>
                                      </w:rPr>
                                      <w:t>扬尘、噪声</w:t>
                                    </w:r>
                                  </w:p>
                                </w:txbxContent>
                              </wps:txbx>
                              <wps:bodyPr upright="1"/>
                            </wps:wsp>
                            <wps:wsp>
                              <wps:cNvPr id="317" name="文本框 317"/>
                              <wps:cNvSpPr txBox="1"/>
                              <wps:spPr>
                                <a:xfrm>
                                  <a:off x="8681" y="4843"/>
                                  <a:ext cx="868" cy="516"/>
                                </a:xfrm>
                                <a:prstGeom prst="rect">
                                  <a:avLst/>
                                </a:prstGeom>
                                <a:noFill/>
                                <a:ln w="15875">
                                  <a:noFill/>
                                </a:ln>
                              </wps:spPr>
                              <wps:txbx>
                                <w:txbxContent>
                                  <w:p w14:paraId="3FA9D784">
                                    <w:r>
                                      <w:rPr>
                                        <w:rFonts w:hint="eastAsia"/>
                                      </w:rPr>
                                      <w:t>噪声</w:t>
                                    </w:r>
                                  </w:p>
                                </w:txbxContent>
                              </wps:txbx>
                              <wps:bodyPr upright="1"/>
                            </wps:wsp>
                            <wps:wsp>
                              <wps:cNvPr id="318" name="文本框 318"/>
                              <wps:cNvSpPr txBox="1"/>
                              <wps:spPr>
                                <a:xfrm>
                                  <a:off x="6813" y="6565"/>
                                  <a:ext cx="1166" cy="480"/>
                                </a:xfrm>
                                <a:prstGeom prst="rect">
                                  <a:avLst/>
                                </a:prstGeom>
                                <a:noFill/>
                                <a:ln w="15875">
                                  <a:noFill/>
                                </a:ln>
                              </wps:spPr>
                              <wps:txbx>
                                <w:txbxContent>
                                  <w:p w14:paraId="3A6B3F2A">
                                    <w:r>
                                      <w:rPr>
                                        <w:rFonts w:hint="eastAsia"/>
                                      </w:rPr>
                                      <w:t>建筑垃圾</w:t>
                                    </w:r>
                                  </w:p>
                                </w:txbxContent>
                              </wps:txbx>
                              <wps:bodyPr upright="1"/>
                            </wps:wsp>
                            <wps:wsp>
                              <wps:cNvPr id="319" name="文本框 319"/>
                              <wps:cNvSpPr txBox="1"/>
                              <wps:spPr>
                                <a:xfrm>
                                  <a:off x="5212" y="6522"/>
                                  <a:ext cx="1210" cy="716"/>
                                </a:xfrm>
                                <a:prstGeom prst="rect">
                                  <a:avLst/>
                                </a:prstGeom>
                                <a:noFill/>
                                <a:ln w="15875">
                                  <a:noFill/>
                                </a:ln>
                              </wps:spPr>
                              <wps:txbx>
                                <w:txbxContent>
                                  <w:p w14:paraId="63CA2D1C">
                                    <w:pPr>
                                      <w:jc w:val="center"/>
                                      <w:rPr>
                                        <w:rFonts w:hint="eastAsia"/>
                                      </w:rPr>
                                    </w:pPr>
                                    <w:r>
                                      <w:rPr>
                                        <w:rFonts w:hint="eastAsia"/>
                                      </w:rPr>
                                      <w:t>废水、</w:t>
                                    </w:r>
                                  </w:p>
                                  <w:p w14:paraId="01D23314">
                                    <w:pPr>
                                      <w:jc w:val="center"/>
                                    </w:pPr>
                                    <w:r>
                                      <w:rPr>
                                        <w:rFonts w:hint="eastAsia"/>
                                      </w:rPr>
                                      <w:t>建筑垃圾</w:t>
                                    </w:r>
                                  </w:p>
                                </w:txbxContent>
                              </wps:txbx>
                              <wps:bodyPr upright="1"/>
                            </wps:wsp>
                            <wps:wsp>
                              <wps:cNvPr id="320" name="直接连接符 320"/>
                              <wps:cNvCnPr/>
                              <wps:spPr>
                                <a:xfrm>
                                  <a:off x="6377" y="5877"/>
                                  <a:ext cx="454" cy="0"/>
                                </a:xfrm>
                                <a:prstGeom prst="line">
                                  <a:avLst/>
                                </a:prstGeom>
                                <a:ln w="12700" cap="flat" cmpd="sng">
                                  <a:solidFill>
                                    <a:srgbClr val="000000"/>
                                  </a:solidFill>
                                  <a:prstDash val="solid"/>
                                  <a:headEnd type="none" w="med" len="med"/>
                                  <a:tailEnd type="triangle" w="med" len="med"/>
                                </a:ln>
                              </wps:spPr>
                              <wps:bodyPr upright="1"/>
                            </wps:wsp>
                            <wps:wsp>
                              <wps:cNvPr id="321" name="直接连接符 321"/>
                              <wps:cNvCnPr/>
                              <wps:spPr>
                                <a:xfrm>
                                  <a:off x="8052" y="5889"/>
                                  <a:ext cx="454" cy="0"/>
                                </a:xfrm>
                                <a:prstGeom prst="line">
                                  <a:avLst/>
                                </a:prstGeom>
                                <a:ln w="12700" cap="flat" cmpd="sng">
                                  <a:solidFill>
                                    <a:srgbClr val="000000"/>
                                  </a:solidFill>
                                  <a:prstDash val="solid"/>
                                  <a:headEnd type="none" w="med" len="med"/>
                                  <a:tailEnd type="triangle" w="med" len="med"/>
                                </a:ln>
                              </wps:spPr>
                              <wps:bodyPr upright="1"/>
                            </wps:wsp>
                            <wps:wsp>
                              <wps:cNvPr id="322" name="直接连接符 322"/>
                              <wps:cNvCnPr/>
                              <wps:spPr>
                                <a:xfrm rot="5400000">
                                  <a:off x="8878" y="6345"/>
                                  <a:ext cx="454" cy="0"/>
                                </a:xfrm>
                                <a:prstGeom prst="line">
                                  <a:avLst/>
                                </a:prstGeom>
                                <a:ln w="12700" cap="flat" cmpd="sng">
                                  <a:solidFill>
                                    <a:srgbClr val="000000"/>
                                  </a:solidFill>
                                  <a:prstDash val="solid"/>
                                  <a:headEnd type="none" w="med" len="med"/>
                                  <a:tailEnd type="triangle" w="med" len="med"/>
                                </a:ln>
                              </wps:spPr>
                              <wps:bodyPr upright="1"/>
                            </wps:wsp>
                            <wps:wsp>
                              <wps:cNvPr id="323" name="直接连接符 323"/>
                              <wps:cNvCnPr/>
                              <wps:spPr>
                                <a:xfrm rot="5400000">
                                  <a:off x="8907" y="7253"/>
                                  <a:ext cx="454" cy="0"/>
                                </a:xfrm>
                                <a:prstGeom prst="line">
                                  <a:avLst/>
                                </a:prstGeom>
                                <a:ln w="12700" cap="flat" cmpd="sng">
                                  <a:solidFill>
                                    <a:srgbClr val="000000"/>
                                  </a:solidFill>
                                  <a:prstDash val="solid"/>
                                  <a:headEnd type="none" w="med" len="med"/>
                                  <a:tailEnd type="triangle" w="med" len="med"/>
                                </a:ln>
                              </wps:spPr>
                              <wps:bodyPr upright="1"/>
                            </wps:wsp>
                            <wps:wsp>
                              <wps:cNvPr id="324" name="直接连接符 324"/>
                              <wps:cNvCnPr/>
                              <wps:spPr>
                                <a:xfrm flipV="1">
                                  <a:off x="9065" y="5176"/>
                                  <a:ext cx="0" cy="466"/>
                                </a:xfrm>
                                <a:prstGeom prst="line">
                                  <a:avLst/>
                                </a:prstGeom>
                                <a:ln w="12700" cap="flat" cmpd="sng">
                                  <a:solidFill>
                                    <a:srgbClr val="000000"/>
                                  </a:solidFill>
                                  <a:prstDash val="dash"/>
                                  <a:headEnd type="none" w="med" len="med"/>
                                  <a:tailEnd type="triangle" w="med" len="med"/>
                                </a:ln>
                              </wps:spPr>
                              <wps:bodyPr upright="1"/>
                            </wps:wsp>
                            <wps:wsp>
                              <wps:cNvPr id="325" name="直接连接符 325"/>
                              <wps:cNvCnPr/>
                              <wps:spPr>
                                <a:xfrm flipV="1">
                                  <a:off x="7409" y="5145"/>
                                  <a:ext cx="0" cy="466"/>
                                </a:xfrm>
                                <a:prstGeom prst="line">
                                  <a:avLst/>
                                </a:prstGeom>
                                <a:ln w="12700" cap="flat" cmpd="sng">
                                  <a:solidFill>
                                    <a:srgbClr val="000000"/>
                                  </a:solidFill>
                                  <a:prstDash val="dash"/>
                                  <a:headEnd type="none" w="med" len="med"/>
                                  <a:tailEnd type="triangle" w="med" len="med"/>
                                </a:ln>
                              </wps:spPr>
                              <wps:bodyPr upright="1"/>
                            </wps:wsp>
                            <wps:wsp>
                              <wps:cNvPr id="326" name="直接连接符 326"/>
                              <wps:cNvCnPr/>
                              <wps:spPr>
                                <a:xfrm flipV="1">
                                  <a:off x="4021" y="5176"/>
                                  <a:ext cx="0" cy="466"/>
                                </a:xfrm>
                                <a:prstGeom prst="line">
                                  <a:avLst/>
                                </a:prstGeom>
                                <a:ln w="12700" cap="flat" cmpd="sng">
                                  <a:solidFill>
                                    <a:srgbClr val="000000"/>
                                  </a:solidFill>
                                  <a:prstDash val="dash"/>
                                  <a:headEnd type="none" w="med" len="med"/>
                                  <a:tailEnd type="triangle" w="med" len="med"/>
                                </a:ln>
                              </wps:spPr>
                              <wps:bodyPr upright="1"/>
                            </wps:wsp>
                            <wps:wsp>
                              <wps:cNvPr id="327" name="直接连接符 327"/>
                              <wps:cNvCnPr/>
                              <wps:spPr>
                                <a:xfrm>
                                  <a:off x="4021" y="6118"/>
                                  <a:ext cx="0" cy="465"/>
                                </a:xfrm>
                                <a:prstGeom prst="line">
                                  <a:avLst/>
                                </a:prstGeom>
                                <a:ln w="12700" cap="flat" cmpd="sng">
                                  <a:solidFill>
                                    <a:srgbClr val="000000"/>
                                  </a:solidFill>
                                  <a:prstDash val="dash"/>
                                  <a:headEnd type="none" w="med" len="med"/>
                                  <a:tailEnd type="triangle" w="med" len="med"/>
                                </a:ln>
                              </wps:spPr>
                              <wps:bodyPr upright="1"/>
                            </wps:wsp>
                            <wps:wsp>
                              <wps:cNvPr id="328" name="直接连接符 328"/>
                              <wps:cNvCnPr/>
                              <wps:spPr>
                                <a:xfrm>
                                  <a:off x="7409" y="6118"/>
                                  <a:ext cx="0" cy="465"/>
                                </a:xfrm>
                                <a:prstGeom prst="line">
                                  <a:avLst/>
                                </a:prstGeom>
                                <a:ln w="12700" cap="flat" cmpd="sng">
                                  <a:solidFill>
                                    <a:srgbClr val="000000"/>
                                  </a:solidFill>
                                  <a:prstDash val="dash"/>
                                  <a:headEnd type="none" w="med" len="med"/>
                                  <a:tailEnd type="triangle" w="med" len="med"/>
                                </a:ln>
                              </wps:spPr>
                              <wps:bodyPr upright="1"/>
                            </wps:wsp>
                          </wpg:wgp>
                        </a:graphicData>
                      </a:graphic>
                    </wp:anchor>
                  </w:drawing>
                </mc:Choice>
                <mc:Fallback>
                  <w:pict>
                    <v:group id="_x0000_s1026" o:spid="_x0000_s1026" o:spt="203" style="position:absolute;left:0pt;margin-left:45.4pt;margin-top:2.85pt;height:154.1pt;width:321.65pt;z-index:251664384;mso-width-relative:page;mso-height-relative:page;" coordorigin="3370,4827" coordsize="6374,3058" o:gfxdata="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">
                      <o:lock v:ext="edit" aspectratio="f"/>
                      <v:shape id="_x0000_s1026" o:spid="_x0000_s1026" o:spt="202" type="#_x0000_t202" style="position:absolute;left:3455;top:5651;height:462;width:1218;" filled="f" stroked="t" coordsize="21600,21600" o:gfxdata="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JwB1L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557CA470">
                              <w:r>
                                <w:rPr>
                                  <w:rFonts w:hint="eastAsia"/>
                                </w:rPr>
                                <w:t>基础工程</w:t>
                              </w:r>
                            </w:p>
                          </w:txbxContent>
                        </v:textbox>
                      </v:shape>
                      <v:shape id="_x0000_s1026" o:spid="_x0000_s1026" o:spt="202" type="#_x0000_t202" style="position:absolute;left:5147;top:5651;height:462;width:1218;" filled="f" stroked="t" coordsize="21600,21600" o:gfxdata="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6fo7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655A1A15">
                              <w:r>
                                <w:rPr>
                                  <w:rFonts w:hint="eastAsia"/>
                                </w:rPr>
                                <w:t>主体工程</w:t>
                              </w:r>
                            </w:p>
                          </w:txbxContent>
                        </v:textbox>
                      </v:shape>
                      <v:shape id="_x0000_s1026" o:spid="_x0000_s1026" o:spt="202" type="#_x0000_t202" style="position:absolute;left:6826;top:5651;height:462;width:1218;" filled="f" stroked="t" coordsize="21600,21600" o:gfxdata="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wI6OL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47219DBC">
                              <w:r>
                                <w:rPr>
                                  <w:rFonts w:hint="eastAsia"/>
                                </w:rPr>
                                <w:t>装修工程</w:t>
                              </w:r>
                            </w:p>
                          </w:txbxContent>
                        </v:textbox>
                      </v:shape>
                      <v:shape id="_x0000_s1026" o:spid="_x0000_s1026" o:spt="202" type="#_x0000_t202" style="position:absolute;left:8505;top:5651;height:462;width:1218;" filled="f" stroked="t" coordsize="21600,21600" o:gfxdata="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p2uSr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w:txbxContent>
                            <w:p w14:paraId="19B9D88D">
                              <w:r>
                                <w:rPr>
                                  <w:rFonts w:hint="eastAsia"/>
                                </w:rPr>
                                <w:t>设备安装</w:t>
                              </w:r>
                            </w:p>
                          </w:txbxContent>
                        </v:textbox>
                      </v:shape>
                      <v:shape id="_x0000_s1026" o:spid="_x0000_s1026" o:spt="202" type="#_x0000_t202" style="position:absolute;left:8490;top:6555;height:451;width:1218;" filled="f" stroked="t" coordsize="21600,21600" o:gfxdata="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dEL0b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1D810E02">
                              <w:r>
                                <w:rPr>
                                  <w:rFonts w:hint="eastAsia"/>
                                </w:rPr>
                                <w:t>工程验收</w:t>
                              </w:r>
                            </w:p>
                          </w:txbxContent>
                        </v:textbox>
                      </v:shape>
                      <v:shape id="_x0000_s1026" o:spid="_x0000_s1026" o:spt="202" type="#_x0000_t202" style="position:absolute;left:8526;top:7469;height:416;width:1218;" filled="f" stroked="t" coordsize="21600,21600" o:gfxdata="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TI0kb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w:txbxContent>
                            <w:p w14:paraId="6A7AF310">
                              <w:r>
                                <w:rPr>
                                  <w:rFonts w:hint="eastAsia"/>
                                </w:rPr>
                                <w:t>交付使用</w:t>
                              </w:r>
                            </w:p>
                          </w:txbxContent>
                        </v:textbox>
                      </v:shape>
                      <v:line id="_x0000_s1026" o:spid="_x0000_s1026" o:spt="20" style="position:absolute;left:4678;top:5889;height:0;width:454;" filled="f" stroked="t" coordsize="21600,21600" o:gfxdata="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lqQD74A&#10;AADcAAAADwAAAAAAAAABACAAAAAiAAAAZHJzL2Rvd25yZXYueG1sUEsBAhQAFAAAAAgAh07iQDMv&#10;BZ47AAAAOQAAABAAAAAAAAAAAQAgAAAADQEAAGRycy9zaGFwZXhtbC54bWxQSwUGAAAAAAYABgBb&#10;AQAAtwMAAAAA&#10;">
                        <v:fill on="f" focussize="0,0"/>
                        <v:stroke weight="1pt" color="#000000" joinstyle="round" endarrow="block"/>
                        <v:imagedata o:title=""/>
                        <o:lock v:ext="edit" aspectratio="f"/>
                      </v:line>
                      <v:shape id="_x0000_s1026" o:spid="_x0000_s1026" o:spt="202" type="#_x0000_t202" style="position:absolute;left:3370;top:4841;height:475;width:1282;" filled="f" stroked="f" coordsize="21600,21600" o:gfxdata="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GgX&#10;ssEAAADc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14:paraId="5C0F5CD8">
                              <w:r>
                                <w:rPr>
                                  <w:rFonts w:hint="eastAsia"/>
                                </w:rPr>
                                <w:t>扬尘、噪声</w:t>
                              </w:r>
                            </w:p>
                          </w:txbxContent>
                        </v:textbox>
                      </v:shape>
                      <v:shape id="_x0000_s1026" o:spid="_x0000_s1026" o:spt="202" type="#_x0000_t202" style="position:absolute;left:3404;top:6538;height:702;width:1218;" filled="f" stroked="f" coordsize="21600,21600" o:gfxdata="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ySy&#10;KcEAAADc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14:paraId="57F2E0A0">
                              <w:pPr>
                                <w:jc w:val="center"/>
                              </w:pPr>
                              <w:r>
                                <w:rPr>
                                  <w:rFonts w:hint="eastAsia"/>
                                </w:rPr>
                                <w:t>废土石、建筑垃圾</w:t>
                              </w:r>
                            </w:p>
                          </w:txbxContent>
                        </v:textbox>
                      </v:shape>
                      <v:line id="_x0000_s1026" o:spid="_x0000_s1026" o:spt="20" style="position:absolute;left:5824;top:5176;flip:y;height:466;width:0;" filled="f" stroked="t" coordsize="21600,21600" o:gfxdata="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8+LL4A&#10;AADcAAAADwAAAAAAAAABACAAAAAiAAAAZHJzL2Rvd25yZXYueG1sUEsBAhQAFAAAAAgAh07iQDMv&#10;BZ47AAAAOQAAABAAAAAAAAAAAQAgAAAADQEAAGRycy9zaGFwZXhtbC54bWxQSwUGAAAAAAYABgBb&#10;AQAAtwMAAAAA&#10;">
                        <v:fill on="f" focussize="0,0"/>
                        <v:stroke weight="1pt" color="#000000" joinstyle="round" dashstyle="dash" endarrow="block"/>
                        <v:imagedata o:title=""/>
                        <o:lock v:ext="edit" aspectratio="f"/>
                      </v:line>
                      <v:line id="_x0000_s1026" o:spid="_x0000_s1026" o:spt="20" style="position:absolute;left:5823;top:6107;height:465;width:0;" filled="f" stroked="t" coordsize="21600,21600" o:gfxdata="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losn2/&#10;AAAA3AAAAA8AAAAAAAAAAQAgAAAAIgAAAGRycy9kb3ducmV2LnhtbFBLAQIUABQAAAAIAIdO4kAz&#10;LwWeOwAAADkAAAAQAAAAAAAAAAEAIAAAAA4BAABkcnMvc2hhcGV4bWwueG1sUEsFBgAAAAAGAAYA&#10;WwEAALgDAAAAAA==&#10;">
                        <v:fill on="f" focussize="0,0"/>
                        <v:stroke weight="1pt" color="#000000" joinstyle="round" dashstyle="dash" endarrow="block"/>
                        <v:imagedata o:title=""/>
                        <o:lock v:ext="edit" aspectratio="f"/>
                      </v:line>
                      <v:shape id="_x0000_s1026" o:spid="_x0000_s1026" o:spt="202" type="#_x0000_t202" style="position:absolute;left:5102;top:4827;height:478;width:1421;" filled="f" stroked="f" coordsize="21600,21600" o:gfxdata="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1MR&#10;scEAAADc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14:paraId="32784CDA">
                              <w:r>
                                <w:rPr>
                                  <w:rFonts w:hint="eastAsia"/>
                                </w:rPr>
                                <w:t>扬尘、噪声</w:t>
                              </w:r>
                            </w:p>
                          </w:txbxContent>
                        </v:textbox>
                      </v:shape>
                      <v:shape id="_x0000_s1026" o:spid="_x0000_s1026" o:spt="202" type="#_x0000_t202" style="position:absolute;left:8681;top:4843;height:516;width:868;" filled="f" stroked="f" coordsize="21600,21600" o:gfxdata="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B+0&#10;KsEAAADc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14:paraId="3FA9D784">
                              <w:r>
                                <w:rPr>
                                  <w:rFonts w:hint="eastAsia"/>
                                </w:rPr>
                                <w:t>噪声</w:t>
                              </w:r>
                            </w:p>
                          </w:txbxContent>
                        </v:textbox>
                      </v:shape>
                      <v:shape id="_x0000_s1026" o:spid="_x0000_s1026" o:spt="202" type="#_x0000_t202" style="position:absolute;left:6813;top:6565;height:480;width:1166;" filled="f" stroked="f" coordsize="21600,21600" o:gfxdata="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YAgWL4A&#10;AADcAAAADwAAAAAAAAABACAAAAAiAAAAZHJzL2Rvd25yZXYueG1sUEsBAhQAFAAAAAgAh07iQDMv&#10;BZ47AAAAOQAAABAAAAAAAAAAAQAgAAAADQEAAGRycy9zaGFwZXhtbC54bWxQSwUGAAAAAAYABgBb&#10;AQAAtwMAAAAA&#10;">
                        <v:fill on="f" focussize="0,0"/>
                        <v:stroke on="f" weight="1.25pt"/>
                        <v:imagedata o:title=""/>
                        <o:lock v:ext="edit" aspectratio="f"/>
                        <v:textbox>
                          <w:txbxContent>
                            <w:p w14:paraId="3A6B3F2A">
                              <w:r>
                                <w:rPr>
                                  <w:rFonts w:hint="eastAsia"/>
                                </w:rPr>
                                <w:t>建筑垃圾</w:t>
                              </w:r>
                            </w:p>
                          </w:txbxContent>
                        </v:textbox>
                      </v:shape>
                      <v:shape id="_x0000_s1026" o:spid="_x0000_s1026" o:spt="202" type="#_x0000_t202" style="position:absolute;left:5212;top:6522;height:716;width:1210;" filled="f" stroked="f" coordsize="21600,21600" o:gfxdata="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7M&#10;hcPCAAAA3AAAAA8AAAAAAAAAAQAgAAAAIgAAAGRycy9kb3ducmV2LnhtbFBLAQIUABQAAAAIAIdO&#10;4kAzLwWeOwAAADkAAAAQAAAAAAAAAAEAIAAAABEBAABkcnMvc2hhcGV4bWwueG1sUEsFBgAAAAAG&#10;AAYAWwEAALsDAAAAAA==&#10;">
                        <v:fill on="f" focussize="0,0"/>
                        <v:stroke on="f" weight="1.25pt"/>
                        <v:imagedata o:title=""/>
                        <o:lock v:ext="edit" aspectratio="f"/>
                        <v:textbox>
                          <w:txbxContent>
                            <w:p w14:paraId="63CA2D1C">
                              <w:pPr>
                                <w:jc w:val="center"/>
                                <w:rPr>
                                  <w:rFonts w:hint="eastAsia"/>
                                </w:rPr>
                              </w:pPr>
                              <w:r>
                                <w:rPr>
                                  <w:rFonts w:hint="eastAsia"/>
                                </w:rPr>
                                <w:t>废水、</w:t>
                              </w:r>
                            </w:p>
                            <w:p w14:paraId="01D23314">
                              <w:pPr>
                                <w:jc w:val="center"/>
                              </w:pPr>
                              <w:r>
                                <w:rPr>
                                  <w:rFonts w:hint="eastAsia"/>
                                </w:rPr>
                                <w:t>建筑垃圾</w:t>
                              </w:r>
                            </w:p>
                          </w:txbxContent>
                        </v:textbox>
                      </v:shape>
                      <v:line id="_x0000_s1026" o:spid="_x0000_s1026" o:spt="20" style="position:absolute;left:6377;top:5877;height:0;width:454;" filled="f" stroked="t" coordsize="21600,21600" o:gfxdata="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ev8pvQAA&#10;ANw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line>
                      <v:line id="_x0000_s1026" o:spid="_x0000_s1026" o:spt="20" style="position:absolute;left:8052;top:5889;height:0;width:454;" filled="f" stroked="t" coordsize="21600,21600" o:gfxdata="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DZasr4A&#10;AADcAAAADwAAAAAAAAABACAAAAAiAAAAZHJzL2Rvd25yZXYueG1sUEsBAhQAFAAAAAgAh07iQDMv&#10;BZ47AAAAOQAAABAAAAAAAAAAAQAgAAAADQEAAGRycy9zaGFwZXhtbC54bWxQSwUGAAAAAAYABgBb&#10;AQAAtwMAAAAA&#10;">
                        <v:fill on="f" focussize="0,0"/>
                        <v:stroke weight="1pt" color="#000000" joinstyle="round" endarrow="block"/>
                        <v:imagedata o:title=""/>
                        <o:lock v:ext="edit" aspectratio="f"/>
                      </v:line>
                      <v:line id="_x0000_s1026" o:spid="_x0000_s1026" o:spt="20" style="position:absolute;left:8878;top:6345;height:0;width:454;rotation:5898240f;" filled="f" stroked="t" coordsize="21600,21600" o:gfxdata="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e7PQL4A&#10;AADcAAAADwAAAAAAAAABACAAAAAiAAAAZHJzL2Rvd25yZXYueG1sUEsBAhQAFAAAAAgAh07iQDMv&#10;BZ47AAAAOQAAABAAAAAAAAAAAQAgAAAADQEAAGRycy9zaGFwZXhtbC54bWxQSwUGAAAAAAYABgBb&#10;AQAAtwMAAAAA&#10;">
                        <v:fill on="f" focussize="0,0"/>
                        <v:stroke weight="1pt" color="#000000" joinstyle="round" endarrow="block"/>
                        <v:imagedata o:title=""/>
                        <o:lock v:ext="edit" aspectratio="f"/>
                      </v:line>
                      <v:line id="_x0000_s1026" o:spid="_x0000_s1026" o:spt="20" style="position:absolute;left:8907;top:7253;height:0;width:454;rotation:5898240f;" filled="f" stroked="t" coordsize="21600,21600" o:gfxdata="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omrbvQAA&#10;ANw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line>
                      <v:line id="_x0000_s1026" o:spid="_x0000_s1026" o:spt="20" style="position:absolute;left:9065;top:5176;flip:y;height:466;width:0;" filled="f" stroked="t" coordsize="21600,21600" o:gfxdata="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7P0kb4A&#10;AADcAAAADwAAAAAAAAABACAAAAAiAAAAZHJzL2Rvd25yZXYueG1sUEsBAhQAFAAAAAgAh07iQDMv&#10;BZ47AAAAOQAAABAAAAAAAAAAAQAgAAAADQEAAGRycy9zaGFwZXhtbC54bWxQSwUGAAAAAAYABgBb&#10;AQAAtwMAAAAA&#10;">
                        <v:fill on="f" focussize="0,0"/>
                        <v:stroke weight="1pt" color="#000000" joinstyle="round" dashstyle="dash" endarrow="block"/>
                        <v:imagedata o:title=""/>
                        <o:lock v:ext="edit" aspectratio="f"/>
                      </v:line>
                      <v:line id="_x0000_s1026" o:spid="_x0000_s1026" o:spt="20" style="position:absolute;left:7409;top:5145;flip:y;height:466;width:0;" filled="f" stroked="t" coordsize="21600,21600" o:gfxdata="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9RCr4A&#10;AADcAAAADwAAAAAAAAABACAAAAAiAAAAZHJzL2Rvd25yZXYueG1sUEsBAhQAFAAAAAgAh07iQDMv&#10;BZ47AAAAOQAAABAAAAAAAAAAAQAgAAAADQEAAGRycy9zaGFwZXhtbC54bWxQSwUGAAAAAAYABgBb&#10;AQAAtwMAAAAA&#10;">
                        <v:fill on="f" focussize="0,0"/>
                        <v:stroke weight="1pt" color="#000000" joinstyle="round" dashstyle="dash" endarrow="block"/>
                        <v:imagedata o:title=""/>
                        <o:lock v:ext="edit" aspectratio="f"/>
                      </v:line>
                      <v:line id="_x0000_s1026" o:spid="_x0000_s1026" o:spt="20" style="position:absolute;left:4021;top:5176;flip:y;height:466;width:0;" filled="f" stroked="t" coordsize="21600,21600" o:gfxdata="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Lc99vQAA&#10;ANwAAAAPAAAAAAAAAAEAIAAAACIAAABkcnMvZG93bnJldi54bWxQSwECFAAUAAAACACHTuJAMy8F&#10;njsAAAA5AAAAEAAAAAAAAAABACAAAAAMAQAAZHJzL3NoYXBleG1sLnhtbFBLBQYAAAAABgAGAFsB&#10;AAC2AwAAAAA=&#10;">
                        <v:fill on="f" focussize="0,0"/>
                        <v:stroke weight="1pt" color="#000000" joinstyle="round" dashstyle="dash" endarrow="block"/>
                        <v:imagedata o:title=""/>
                        <o:lock v:ext="edit" aspectratio="f"/>
                      </v:line>
                      <v:line id="_x0000_s1026" o:spid="_x0000_s1026" o:spt="20" style="position:absolute;left:4021;top:6118;height:465;width:0;" filled="f" stroked="t" coordsize="21600,21600" o:gfxdata="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mkMs&#10;wAAAANwAAAAPAAAAAAAAAAEAIAAAACIAAABkcnMvZG93bnJldi54bWxQSwECFAAUAAAACACHTuJA&#10;My8FnjsAAAA5AAAAEAAAAAAAAAABACAAAAAPAQAAZHJzL3NoYXBleG1sLnhtbFBLBQYAAAAABgAG&#10;AFsBAAC5AwAAAAA=&#10;">
                        <v:fill on="f" focussize="0,0"/>
                        <v:stroke weight="1pt" color="#000000" joinstyle="round" dashstyle="dash" endarrow="block"/>
                        <v:imagedata o:title=""/>
                        <o:lock v:ext="edit" aspectratio="f"/>
                      </v:line>
                      <v:line id="_x0000_s1026" o:spid="_x0000_s1026" o:spt="20" style="position:absolute;left:7409;top:6118;height:465;width:0;" filled="f" stroked="t" coordsize="21600,21600" o:gfxdata="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F1168AAAA&#10;3AAAAA8AAAAAAAAAAQAgAAAAIgAAAGRycy9kb3ducmV2LnhtbFBLAQIUABQAAAAIAIdO4kAzLwWe&#10;OwAAADkAAAAQAAAAAAAAAAEAIAAAAAsBAABkcnMvc2hhcGV4bWwueG1sUEsFBgAAAAAGAAYAWwEA&#10;ALUDAAAAAA==&#10;">
                        <v:fill on="f" focussize="0,0"/>
                        <v:stroke weight="1pt" color="#000000" joinstyle="round" dashstyle="dash" endarrow="block"/>
                        <v:imagedata o:title=""/>
                        <o:lock v:ext="edit" aspectratio="f"/>
                      </v:line>
                    </v:group>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65408" behindDoc="0" locked="0" layoutInCell="1" allowOverlap="1">
                      <wp:simplePos x="0" y="0"/>
                      <wp:positionH relativeFrom="column">
                        <wp:posOffset>2912745</wp:posOffset>
                      </wp:positionH>
                      <wp:positionV relativeFrom="paragraph">
                        <wp:posOffset>31115</wp:posOffset>
                      </wp:positionV>
                      <wp:extent cx="551180" cy="311785"/>
                      <wp:effectExtent l="0" t="0" r="0" b="0"/>
                      <wp:wrapNone/>
                      <wp:docPr id="357" name="文本框 357"/>
                      <wp:cNvGraphicFramePr/>
                      <a:graphic xmlns:a="http://schemas.openxmlformats.org/drawingml/2006/main">
                        <a:graphicData uri="http://schemas.microsoft.com/office/word/2010/wordprocessingShape">
                          <wps:wsp>
                            <wps:cNvSpPr txBox="1"/>
                            <wps:spPr>
                              <a:xfrm>
                                <a:off x="0" y="0"/>
                                <a:ext cx="551180" cy="311785"/>
                              </a:xfrm>
                              <a:prstGeom prst="rect">
                                <a:avLst/>
                              </a:prstGeom>
                              <a:noFill/>
                              <a:ln w="15875">
                                <a:noFill/>
                              </a:ln>
                            </wps:spPr>
                            <wps:txbx>
                              <w:txbxContent>
                                <w:p w14:paraId="52F8D477">
                                  <w:r>
                                    <w:rPr>
                                      <w:rFonts w:hint="eastAsia"/>
                                    </w:rPr>
                                    <w:t>噪声</w:t>
                                  </w:r>
                                </w:p>
                              </w:txbxContent>
                            </wps:txbx>
                            <wps:bodyPr upright="1"/>
                          </wps:wsp>
                        </a:graphicData>
                      </a:graphic>
                    </wp:anchor>
                  </w:drawing>
                </mc:Choice>
                <mc:Fallback>
                  <w:pict>
                    <v:shape id="_x0000_s1026" o:spid="_x0000_s1026" o:spt="202" type="#_x0000_t202" style="position:absolute;left:0pt;margin-left:229.35pt;margin-top:2.45pt;height:24.55pt;width:43.4pt;z-index:251665408;mso-width-relative:page;mso-height-relative:page;" filled="f" stroked="f" coordsize="21600,21600" o:gfxdata="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MYqH72gAAAAgBAAAPAAAAAAAAAAEAIAAAACIAAABkcnMvZG93bnJldi54bWxQSwECFAAU&#10;AAAACACHTuJAlBQ7bLYBAABbAwAADgAAAAAAAAABACAAAAApAQAAZHJzL2Uyb0RvYy54bWxQSwUG&#10;AAAAAAYABgBZAQAAUQUAAAAA&#10;">
                      <v:fill on="f" focussize="0,0"/>
                      <v:stroke on="f" weight="1.25pt"/>
                      <v:imagedata o:title=""/>
                      <o:lock v:ext="edit" aspectratio="f"/>
                      <v:textbox>
                        <w:txbxContent>
                          <w:p w14:paraId="52F8D477">
                            <w:r>
                              <w:rPr>
                                <w:rFonts w:hint="eastAsia"/>
                              </w:rPr>
                              <w:t>噪声</w:t>
                            </w:r>
                          </w:p>
                        </w:txbxContent>
                      </v:textbox>
                    </v:shape>
                  </w:pict>
                </mc:Fallback>
              </mc:AlternateContent>
            </w:r>
          </w:p>
          <w:p w14:paraId="4D16BE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000000"/>
                <w:sz w:val="24"/>
                <w:szCs w:val="24"/>
                <w:highlight w:val="none"/>
                <w:lang w:val="en-US" w:eastAsia="zh-CN"/>
              </w:rPr>
            </w:pPr>
          </w:p>
          <w:p w14:paraId="50328F6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000000"/>
                <w:sz w:val="24"/>
                <w:szCs w:val="24"/>
                <w:highlight w:val="none"/>
                <w:lang w:val="en-US" w:eastAsia="zh-CN"/>
              </w:rPr>
            </w:pPr>
          </w:p>
          <w:p w14:paraId="427F0E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000000"/>
                <w:sz w:val="24"/>
                <w:szCs w:val="24"/>
                <w:highlight w:val="none"/>
                <w:lang w:val="en-US" w:eastAsia="zh-CN"/>
              </w:rPr>
            </w:pPr>
          </w:p>
          <w:p w14:paraId="12B210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000000"/>
                <w:sz w:val="24"/>
                <w:szCs w:val="24"/>
                <w:highlight w:val="none"/>
                <w:lang w:val="en-US" w:eastAsia="zh-CN"/>
              </w:rPr>
            </w:pPr>
          </w:p>
          <w:p w14:paraId="6954E8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000000"/>
                <w:sz w:val="24"/>
                <w:szCs w:val="24"/>
                <w:highlight w:val="none"/>
                <w:lang w:val="en-US" w:eastAsia="zh-CN"/>
              </w:rPr>
            </w:pPr>
          </w:p>
          <w:p w14:paraId="0C633039">
            <w:pPr>
              <w:pStyle w:val="2"/>
              <w:rPr>
                <w:rFonts w:hint="default" w:ascii="Times New Roman" w:hAnsi="Times New Roman" w:cs="Times New Roman"/>
                <w:b w:val="0"/>
                <w:bCs/>
                <w:color w:val="000000"/>
                <w:sz w:val="24"/>
                <w:szCs w:val="24"/>
                <w:highlight w:val="none"/>
                <w:lang w:val="en-US" w:eastAsia="zh-CN"/>
              </w:rPr>
            </w:pPr>
            <w:r>
              <w:rPr>
                <w:rFonts w:hint="default" w:ascii="Times New Roman" w:hAnsi="Times New Roman" w:cs="Times New Roman"/>
                <w:highlight w:val="none"/>
              </w:rPr>
              <mc:AlternateContent>
                <mc:Choice Requires="wps">
                  <w:drawing>
                    <wp:anchor distT="0" distB="0" distL="114300" distR="114300" simplePos="0" relativeHeight="251666432" behindDoc="0" locked="0" layoutInCell="1" allowOverlap="1">
                      <wp:simplePos x="0" y="0"/>
                      <wp:positionH relativeFrom="column">
                        <wp:posOffset>2778125</wp:posOffset>
                      </wp:positionH>
                      <wp:positionV relativeFrom="paragraph">
                        <wp:posOffset>287020</wp:posOffset>
                      </wp:positionV>
                      <wp:extent cx="740410" cy="304800"/>
                      <wp:effectExtent l="0" t="0" r="0" b="0"/>
                      <wp:wrapNone/>
                      <wp:docPr id="358" name="文本框 358"/>
                      <wp:cNvGraphicFramePr/>
                      <a:graphic xmlns:a="http://schemas.openxmlformats.org/drawingml/2006/main">
                        <a:graphicData uri="http://schemas.microsoft.com/office/word/2010/wordprocessingShape">
                          <wps:wsp>
                            <wps:cNvSpPr txBox="1"/>
                            <wps:spPr>
                              <a:xfrm>
                                <a:off x="0" y="0"/>
                                <a:ext cx="740410" cy="304800"/>
                              </a:xfrm>
                              <a:prstGeom prst="rect">
                                <a:avLst/>
                              </a:prstGeom>
                              <a:noFill/>
                              <a:ln w="15875">
                                <a:noFill/>
                              </a:ln>
                            </wps:spPr>
                            <wps:txbx>
                              <w:txbxContent>
                                <w:p w14:paraId="6C4BBC6A">
                                  <w:r>
                                    <w:rPr>
                                      <w:rFonts w:hint="eastAsia"/>
                                      <w:lang w:val="en-US" w:eastAsia="zh-CN"/>
                                    </w:rPr>
                                    <w:t>生活</w:t>
                                  </w:r>
                                  <w:r>
                                    <w:rPr>
                                      <w:rFonts w:hint="eastAsia"/>
                                    </w:rPr>
                                    <w:t>垃圾</w:t>
                                  </w:r>
                                </w:p>
                              </w:txbxContent>
                            </wps:txbx>
                            <wps:bodyPr upright="1"/>
                          </wps:wsp>
                        </a:graphicData>
                      </a:graphic>
                    </wp:anchor>
                  </w:drawing>
                </mc:Choice>
                <mc:Fallback>
                  <w:pict>
                    <v:shape id="_x0000_s1026" o:spid="_x0000_s1026" o:spt="202" type="#_x0000_t202" style="position:absolute;left:0pt;margin-left:218.75pt;margin-top:22.6pt;height:24pt;width:58.3pt;z-index:251666432;mso-width-relative:page;mso-height-relative:page;" filled="f" stroked="f" coordsize="21600,21600" o:gfxdata="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K3iqf9wAAAAJAQAADwAAAAAAAAABACAAAAAiAAAAZHJzL2Rvd25yZXYueG1sUEsB&#10;AhQAFAAAAAgAh07iQNWHtf64AQAAWwMAAA4AAAAAAAAAAQAgAAAAKwEAAGRycy9lMm9Eb2MueG1s&#10;UEsFBgAAAAAGAAYAWQEAAFUFAAAAAA==&#10;">
                      <v:fill on="f" focussize="0,0"/>
                      <v:stroke on="f" weight="1.25pt"/>
                      <v:imagedata o:title=""/>
                      <o:lock v:ext="edit" aspectratio="f"/>
                      <v:textbox>
                        <w:txbxContent>
                          <w:p w14:paraId="6C4BBC6A">
                            <w:r>
                              <w:rPr>
                                <w:rFonts w:hint="eastAsia"/>
                                <w:lang w:val="en-US" w:eastAsia="zh-CN"/>
                              </w:rPr>
                              <w:t>生活</w:t>
                            </w:r>
                            <w:r>
                              <w:rPr>
                                <w:rFonts w:hint="eastAsia"/>
                              </w:rPr>
                              <w:t>垃圾</w:t>
                            </w:r>
                          </w:p>
                        </w:txbxContent>
                      </v:textbox>
                    </v:shape>
                  </w:pict>
                </mc:Fallback>
              </mc:AlternateContent>
            </w:r>
          </w:p>
          <w:p w14:paraId="7572B5D7">
            <w:pPr>
              <w:rPr>
                <w:rFonts w:hint="default" w:ascii="Times New Roman" w:hAnsi="Times New Roman" w:cs="Times New Roman"/>
                <w:b w:val="0"/>
                <w:bCs/>
                <w:color w:val="000000"/>
                <w:sz w:val="24"/>
                <w:szCs w:val="24"/>
                <w:highlight w:val="none"/>
                <w:lang w:val="en-US" w:eastAsia="zh-CN"/>
              </w:rPr>
            </w:pPr>
          </w:p>
          <w:p w14:paraId="1B34B951">
            <w:pPr>
              <w:pStyle w:val="9"/>
              <w:ind w:firstLine="480"/>
              <w:jc w:val="center"/>
              <w:rPr>
                <w:rFonts w:hint="default" w:ascii="Times New Roman" w:hAnsi="Times New Roman" w:cs="Times New Roman"/>
                <w:color w:val="000000"/>
                <w:sz w:val="24"/>
                <w:szCs w:val="24"/>
                <w:highlight w:val="none"/>
                <w:lang w:val="en-US" w:eastAsia="zh-CN"/>
              </w:rPr>
            </w:pPr>
          </w:p>
          <w:p w14:paraId="4220B990">
            <w:pPr>
              <w:pStyle w:val="9"/>
              <w:keepNext w:val="0"/>
              <w:keepLines w:val="0"/>
              <w:pageBreakBefore w:val="0"/>
              <w:widowControl w:val="0"/>
              <w:kinsoku/>
              <w:wordWrap/>
              <w:overflowPunct/>
              <w:topLinePunct w:val="0"/>
              <w:bidi w:val="0"/>
              <w:spacing w:line="500" w:lineRule="exact"/>
              <w:ind w:firstLine="480"/>
              <w:jc w:val="center"/>
              <w:textAlignment w:val="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图</w:t>
            </w:r>
            <w:r>
              <w:rPr>
                <w:rFonts w:hint="eastAsia" w:ascii="Times New Roman" w:hAnsi="Times New Roman" w:cs="Times New Roman"/>
                <w:color w:val="000000"/>
                <w:sz w:val="24"/>
                <w:szCs w:val="24"/>
                <w:highlight w:val="none"/>
                <w:lang w:val="en-US" w:eastAsia="zh-CN"/>
              </w:rPr>
              <w:t>3</w:t>
            </w:r>
            <w:r>
              <w:rPr>
                <w:rFonts w:hint="default" w:ascii="Times New Roman" w:hAnsi="Times New Roman" w:cs="Times New Roman"/>
                <w:color w:val="000000"/>
                <w:sz w:val="24"/>
                <w:szCs w:val="24"/>
                <w:highlight w:val="none"/>
                <w:lang w:val="en-US" w:eastAsia="zh-CN"/>
              </w:rPr>
              <w:t xml:space="preserve"> 项目施工期工艺流程及产污环节示意图</w:t>
            </w:r>
          </w:p>
          <w:p w14:paraId="3CC05129">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黑体" w:cs="Times New Roman"/>
                <w:b w:val="0"/>
                <w:bCs/>
                <w:color w:val="000000"/>
                <w:kern w:val="0"/>
                <w:sz w:val="24"/>
                <w:highlight w:val="none"/>
              </w:rPr>
            </w:pPr>
            <w:r>
              <w:rPr>
                <w:rFonts w:hint="eastAsia" w:eastAsia="黑体" w:cs="Times New Roman"/>
                <w:b w:val="0"/>
                <w:bCs/>
                <w:color w:val="000000"/>
                <w:kern w:val="0"/>
                <w:sz w:val="24"/>
                <w:highlight w:val="none"/>
                <w:lang w:val="en-US" w:eastAsia="zh-CN"/>
              </w:rPr>
              <w:t xml:space="preserve">1.2 </w:t>
            </w:r>
            <w:r>
              <w:rPr>
                <w:rFonts w:hint="default" w:ascii="Times New Roman" w:hAnsi="Times New Roman" w:eastAsia="黑体" w:cs="Times New Roman"/>
                <w:b w:val="0"/>
                <w:bCs/>
                <w:color w:val="000000"/>
                <w:kern w:val="0"/>
                <w:sz w:val="24"/>
                <w:highlight w:val="none"/>
              </w:rPr>
              <w:t>施工期产排污环节</w:t>
            </w:r>
          </w:p>
          <w:p w14:paraId="0B411ADD">
            <w:pPr>
              <w:pStyle w:val="14"/>
              <w:keepNext w:val="0"/>
              <w:keepLines w:val="0"/>
              <w:pageBreakBefore w:val="0"/>
              <w:widowControl w:val="0"/>
              <w:kinsoku/>
              <w:wordWrap/>
              <w:overflowPunct/>
              <w:topLinePunct w:val="0"/>
              <w:bidi w:val="0"/>
              <w:spacing w:line="500" w:lineRule="exact"/>
              <w:ind w:firstLine="480"/>
              <w:textAlignment w:val="auto"/>
              <w:rPr>
                <w:rFonts w:hint="default" w:ascii="Times New Roman" w:hAnsi="Times New Roman" w:cs="Times New Roman"/>
                <w:bCs/>
                <w:color w:val="000000"/>
                <w:kern w:val="0"/>
                <w:sz w:val="24"/>
                <w:szCs w:val="24"/>
                <w:highlight w:val="none"/>
              </w:rPr>
            </w:pPr>
            <w:r>
              <w:rPr>
                <w:rFonts w:hint="default" w:ascii="Times New Roman" w:hAnsi="Times New Roman" w:cs="Times New Roman"/>
                <w:bCs/>
                <w:color w:val="000000"/>
                <w:kern w:val="0"/>
                <w:sz w:val="24"/>
                <w:szCs w:val="24"/>
                <w:highlight w:val="none"/>
              </w:rPr>
              <w:t>（1）废气：主要为施工过程中土方挖掘、装卸、堆存产生的扬尘和施工及运输车辆排放的尾气；</w:t>
            </w:r>
          </w:p>
          <w:p w14:paraId="58E8F8D0">
            <w:pPr>
              <w:pStyle w:val="14"/>
              <w:keepNext w:val="0"/>
              <w:keepLines w:val="0"/>
              <w:pageBreakBefore w:val="0"/>
              <w:widowControl w:val="0"/>
              <w:kinsoku/>
              <w:wordWrap/>
              <w:overflowPunct/>
              <w:topLinePunct w:val="0"/>
              <w:bidi w:val="0"/>
              <w:spacing w:line="500" w:lineRule="exact"/>
              <w:ind w:firstLine="480"/>
              <w:textAlignment w:val="auto"/>
              <w:rPr>
                <w:rFonts w:hint="default" w:ascii="Times New Roman" w:hAnsi="Times New Roman" w:cs="Times New Roman"/>
                <w:bCs/>
                <w:color w:val="000000"/>
                <w:kern w:val="0"/>
                <w:sz w:val="24"/>
                <w:szCs w:val="24"/>
                <w:highlight w:val="none"/>
              </w:rPr>
            </w:pPr>
            <w:r>
              <w:rPr>
                <w:rFonts w:hint="default" w:ascii="Times New Roman" w:hAnsi="Times New Roman" w:cs="Times New Roman"/>
                <w:bCs/>
                <w:color w:val="000000"/>
                <w:kern w:val="0"/>
                <w:sz w:val="24"/>
                <w:szCs w:val="24"/>
                <w:highlight w:val="none"/>
              </w:rPr>
              <w:t>（2）废水：主要为建筑施工废水（</w:t>
            </w:r>
            <w:r>
              <w:rPr>
                <w:rFonts w:hint="eastAsia" w:ascii="Times New Roman" w:hAnsi="Times New Roman" w:cs="Times New Roman"/>
                <w:bCs/>
                <w:color w:val="000000"/>
                <w:kern w:val="0"/>
                <w:sz w:val="24"/>
                <w:szCs w:val="24"/>
                <w:highlight w:val="none"/>
                <w:lang w:val="en-US" w:eastAsia="zh-CN"/>
              </w:rPr>
              <w:t>厂区建筑</w:t>
            </w:r>
            <w:r>
              <w:rPr>
                <w:rFonts w:hint="default" w:ascii="Times New Roman" w:hAnsi="Times New Roman" w:cs="Times New Roman"/>
                <w:bCs/>
                <w:color w:val="000000"/>
                <w:kern w:val="0"/>
                <w:sz w:val="24"/>
                <w:szCs w:val="24"/>
                <w:highlight w:val="none"/>
              </w:rPr>
              <w:t>废水、机械设备及运输车辆冲洗废水等）和施工人员生活污水；</w:t>
            </w:r>
          </w:p>
          <w:p w14:paraId="2F871C01">
            <w:pPr>
              <w:pStyle w:val="14"/>
              <w:keepNext w:val="0"/>
              <w:keepLines w:val="0"/>
              <w:pageBreakBefore w:val="0"/>
              <w:widowControl w:val="0"/>
              <w:kinsoku/>
              <w:wordWrap/>
              <w:overflowPunct/>
              <w:topLinePunct w:val="0"/>
              <w:bidi w:val="0"/>
              <w:spacing w:line="500" w:lineRule="exact"/>
              <w:ind w:firstLine="480"/>
              <w:textAlignment w:val="auto"/>
              <w:rPr>
                <w:rFonts w:hint="default" w:ascii="Times New Roman" w:hAnsi="Times New Roman" w:cs="Times New Roman"/>
                <w:bCs/>
                <w:color w:val="000000"/>
                <w:kern w:val="0"/>
                <w:sz w:val="24"/>
                <w:szCs w:val="24"/>
                <w:highlight w:val="none"/>
              </w:rPr>
            </w:pPr>
            <w:r>
              <w:rPr>
                <w:rFonts w:hint="default" w:ascii="Times New Roman" w:hAnsi="Times New Roman" w:cs="Times New Roman"/>
                <w:bCs/>
                <w:color w:val="000000"/>
                <w:kern w:val="0"/>
                <w:sz w:val="24"/>
                <w:szCs w:val="24"/>
                <w:highlight w:val="none"/>
              </w:rPr>
              <w:t>（3）噪声：施工机械噪声、施工作业噪声和运输车辆噪声；</w:t>
            </w:r>
          </w:p>
          <w:p w14:paraId="267C5AB8">
            <w:pPr>
              <w:pStyle w:val="35"/>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highlight w:val="none"/>
              </w:rPr>
            </w:pPr>
            <w:r>
              <w:rPr>
                <w:rFonts w:hint="default" w:ascii="Times New Roman" w:hAnsi="Times New Roman" w:cs="Times New Roman"/>
                <w:bCs/>
                <w:color w:val="000000"/>
                <w:kern w:val="0"/>
                <w:sz w:val="24"/>
                <w:highlight w:val="none"/>
              </w:rPr>
              <w:t>（4）固废：主要为建筑垃圾、施工人员生活垃圾。</w:t>
            </w:r>
          </w:p>
          <w:p w14:paraId="17463FFA">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黑体" w:cs="Times New Roman"/>
                <w:b w:val="0"/>
                <w:bCs w:val="0"/>
                <w:sz w:val="24"/>
                <w:highlight w:val="none"/>
              </w:rPr>
            </w:pPr>
            <w:r>
              <w:rPr>
                <w:rFonts w:hint="default" w:ascii="Times New Roman" w:hAnsi="Times New Roman" w:eastAsia="黑体" w:cs="Times New Roman"/>
                <w:b w:val="0"/>
                <w:bCs w:val="0"/>
                <w:sz w:val="24"/>
                <w:highlight w:val="none"/>
              </w:rPr>
              <w:t>1.</w:t>
            </w:r>
            <w:r>
              <w:rPr>
                <w:rFonts w:hint="default" w:ascii="Times New Roman" w:hAnsi="Times New Roman" w:eastAsia="黑体" w:cs="Times New Roman"/>
                <w:b w:val="0"/>
                <w:bCs w:val="0"/>
                <w:sz w:val="24"/>
                <w:highlight w:val="none"/>
                <w:lang w:val="en-US" w:eastAsia="zh-CN"/>
              </w:rPr>
              <w:t>3</w:t>
            </w:r>
            <w:r>
              <w:rPr>
                <w:rFonts w:hint="default" w:ascii="Times New Roman" w:hAnsi="Times New Roman" w:eastAsia="黑体" w:cs="Times New Roman"/>
                <w:b w:val="0"/>
                <w:bCs w:val="0"/>
                <w:sz w:val="24"/>
                <w:highlight w:val="none"/>
              </w:rPr>
              <w:t>运营期</w:t>
            </w:r>
            <w:r>
              <w:rPr>
                <w:rFonts w:hint="default" w:ascii="Times New Roman" w:hAnsi="Times New Roman" w:eastAsia="黑体" w:cs="Times New Roman"/>
                <w:b w:val="0"/>
                <w:bCs w:val="0"/>
                <w:sz w:val="24"/>
                <w:szCs w:val="24"/>
                <w:highlight w:val="none"/>
                <w:lang w:val="en-US" w:eastAsia="zh-CN"/>
              </w:rPr>
              <w:t>工艺流程和产排污环节</w:t>
            </w:r>
          </w:p>
          <w:p w14:paraId="60B7C15B">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sz w:val="24"/>
                <w:highlight w:val="none"/>
                <w:u w:val="none"/>
              </w:rPr>
            </w:pPr>
            <w:r>
              <w:rPr>
                <w:rFonts w:hint="default" w:ascii="Times New Roman" w:hAnsi="Times New Roman" w:cs="Times New Roman"/>
                <w:sz w:val="24"/>
                <w:highlight w:val="none"/>
                <w:u w:val="none"/>
                <w:lang w:val="en-US" w:eastAsia="zh-CN"/>
              </w:rPr>
              <w:t>（一）砂石</w:t>
            </w:r>
            <w:r>
              <w:rPr>
                <w:rFonts w:hint="default" w:ascii="Times New Roman" w:hAnsi="Times New Roman" w:cs="Times New Roman"/>
                <w:sz w:val="24"/>
                <w:highlight w:val="none"/>
                <w:u w:val="none"/>
              </w:rPr>
              <w:t>生产线工艺流程：</w:t>
            </w:r>
          </w:p>
          <w:p w14:paraId="637991E8">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cs="Times New Roman"/>
                <w:color w:val="000000"/>
                <w:sz w:val="24"/>
                <w:highlight w:val="none"/>
                <w:u w:val="none"/>
              </w:rPr>
            </w:pPr>
            <w:r>
              <w:rPr>
                <w:rFonts w:hint="default" w:ascii="Times New Roman" w:hAnsi="Times New Roman" w:cs="Times New Roman"/>
                <w:color w:val="000000"/>
                <w:sz w:val="24"/>
                <w:highlight w:val="none"/>
                <w:u w:val="none"/>
              </w:rPr>
              <w:fldChar w:fldCharType="begin"/>
            </w:r>
            <w:r>
              <w:rPr>
                <w:rFonts w:hint="default" w:ascii="Times New Roman" w:hAnsi="Times New Roman" w:cs="Times New Roman"/>
                <w:color w:val="000000"/>
                <w:sz w:val="24"/>
                <w:highlight w:val="none"/>
                <w:u w:val="none"/>
              </w:rPr>
              <w:instrText xml:space="preserve"> = 1 \* GB3 </w:instrText>
            </w:r>
            <w:r>
              <w:rPr>
                <w:rFonts w:hint="default" w:ascii="Times New Roman" w:hAnsi="Times New Roman" w:cs="Times New Roman"/>
                <w:color w:val="000000"/>
                <w:sz w:val="24"/>
                <w:highlight w:val="none"/>
                <w:u w:val="none"/>
              </w:rPr>
              <w:fldChar w:fldCharType="separate"/>
            </w:r>
            <w:r>
              <w:rPr>
                <w:rFonts w:hint="default" w:ascii="Times New Roman" w:hAnsi="Times New Roman" w:cs="Times New Roman"/>
                <w:color w:val="000000"/>
                <w:sz w:val="24"/>
                <w:highlight w:val="none"/>
                <w:u w:val="none"/>
              </w:rPr>
              <w:t>①</w:t>
            </w:r>
            <w:r>
              <w:rPr>
                <w:rFonts w:hint="default" w:ascii="Times New Roman" w:hAnsi="Times New Roman" w:cs="Times New Roman"/>
                <w:color w:val="000000"/>
                <w:sz w:val="24"/>
                <w:highlight w:val="none"/>
                <w:u w:val="none"/>
              </w:rPr>
              <w:fldChar w:fldCharType="end"/>
            </w:r>
            <w:r>
              <w:rPr>
                <w:rFonts w:hint="default" w:ascii="Times New Roman" w:hAnsi="Times New Roman" w:cs="Times New Roman"/>
                <w:color w:val="000000"/>
                <w:sz w:val="24"/>
                <w:highlight w:val="none"/>
                <w:u w:val="none"/>
              </w:rPr>
              <w:t>外购原料</w:t>
            </w:r>
          </w:p>
          <w:p w14:paraId="0793C428">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eastAsia="宋体" w:cs="Times New Roman"/>
                <w:color w:val="auto"/>
                <w:sz w:val="24"/>
                <w:highlight w:val="none"/>
                <w:u w:val="none"/>
                <w:lang w:val="en-US" w:eastAsia="zh-CN"/>
              </w:rPr>
            </w:pPr>
            <w:r>
              <w:rPr>
                <w:rFonts w:hint="default" w:ascii="Times New Roman" w:hAnsi="Times New Roman" w:cs="Times New Roman"/>
                <w:color w:val="000000"/>
                <w:sz w:val="24"/>
                <w:highlight w:val="none"/>
                <w:u w:val="none"/>
              </w:rPr>
              <w:t>本项目</w:t>
            </w:r>
            <w:r>
              <w:rPr>
                <w:rFonts w:hint="default" w:ascii="Times New Roman" w:hAnsi="Times New Roman" w:cs="Times New Roman"/>
                <w:color w:val="000000"/>
                <w:sz w:val="24"/>
                <w:highlight w:val="none"/>
                <w:u w:val="none"/>
                <w:lang w:val="en-US" w:eastAsia="zh-CN"/>
              </w:rPr>
              <w:t>外购的</w:t>
            </w:r>
            <w:r>
              <w:rPr>
                <w:rFonts w:hint="default" w:ascii="Times New Roman" w:hAnsi="Times New Roman" w:cs="Times New Roman"/>
                <w:color w:val="000000"/>
                <w:sz w:val="24"/>
                <w:highlight w:val="none"/>
                <w:u w:val="none"/>
              </w:rPr>
              <w:t>废矿</w:t>
            </w:r>
            <w:r>
              <w:rPr>
                <w:rFonts w:hint="eastAsia" w:cs="Times New Roman"/>
                <w:color w:val="000000"/>
                <w:sz w:val="24"/>
                <w:highlight w:val="none"/>
                <w:u w:val="none"/>
                <w:lang w:val="en-US" w:eastAsia="zh-CN"/>
              </w:rPr>
              <w:t>石</w:t>
            </w:r>
            <w:r>
              <w:rPr>
                <w:rFonts w:hint="default" w:ascii="Times New Roman" w:hAnsi="Times New Roman" w:cs="Times New Roman"/>
                <w:color w:val="000000"/>
                <w:sz w:val="24"/>
                <w:highlight w:val="none"/>
                <w:u w:val="none"/>
                <w:lang w:eastAsia="zh-CN"/>
              </w:rPr>
              <w:t>、</w:t>
            </w:r>
            <w:r>
              <w:rPr>
                <w:rFonts w:hint="default" w:ascii="Times New Roman" w:hAnsi="Times New Roman" w:cs="Times New Roman"/>
                <w:color w:val="000000"/>
                <w:sz w:val="24"/>
                <w:highlight w:val="none"/>
                <w:u w:val="none"/>
                <w:lang w:val="en-US" w:eastAsia="zh-CN"/>
              </w:rPr>
              <w:t>建筑垃圾等原材料</w:t>
            </w:r>
            <w:r>
              <w:rPr>
                <w:rFonts w:hint="default" w:ascii="Times New Roman" w:hAnsi="Times New Roman" w:cs="Times New Roman"/>
                <w:color w:val="000000"/>
                <w:sz w:val="24"/>
                <w:highlight w:val="none"/>
                <w:u w:val="none"/>
              </w:rPr>
              <w:t>由汽车运送至项目原</w:t>
            </w:r>
            <w:r>
              <w:rPr>
                <w:rFonts w:hint="eastAsia" w:cs="Times New Roman"/>
                <w:color w:val="000000"/>
                <w:sz w:val="24"/>
                <w:highlight w:val="none"/>
                <w:u w:val="none"/>
                <w:lang w:val="en-US" w:eastAsia="zh-CN"/>
              </w:rPr>
              <w:t>材料</w:t>
            </w:r>
            <w:r>
              <w:rPr>
                <w:rFonts w:hint="default" w:ascii="Times New Roman" w:hAnsi="Times New Roman" w:cs="Times New Roman"/>
                <w:color w:val="000000"/>
                <w:sz w:val="24"/>
                <w:highlight w:val="none"/>
                <w:u w:val="none"/>
              </w:rPr>
              <w:t>堆放区中堆存，汽车在运输中车辆加盖篷布，密闭运输</w:t>
            </w:r>
            <w:r>
              <w:rPr>
                <w:rFonts w:hint="eastAsia" w:cs="Times New Roman"/>
                <w:color w:val="000000"/>
                <w:sz w:val="24"/>
                <w:highlight w:val="none"/>
                <w:u w:val="none"/>
                <w:lang w:eastAsia="zh-CN"/>
              </w:rPr>
              <w:t>，</w:t>
            </w:r>
            <w:r>
              <w:rPr>
                <w:rFonts w:hint="eastAsia" w:cs="Times New Roman"/>
                <w:color w:val="auto"/>
                <w:sz w:val="24"/>
                <w:highlight w:val="none"/>
                <w:u w:val="none"/>
                <w:lang w:val="en-US" w:eastAsia="zh-CN"/>
              </w:rPr>
              <w:t>料场顶部安装有喷淋系统对原材料装卸、转移产生的扬尘进行定时喷洒处理。</w:t>
            </w:r>
          </w:p>
          <w:p w14:paraId="189DEDA5">
            <w:pPr>
              <w:keepNext w:val="0"/>
              <w:keepLines w:val="0"/>
              <w:pageBreakBefore w:val="0"/>
              <w:widowControl w:val="0"/>
              <w:kinsoku/>
              <w:wordWrap/>
              <w:overflowPunct/>
              <w:topLinePunct w:val="0"/>
              <w:bidi w:val="0"/>
              <w:spacing w:line="500" w:lineRule="exact"/>
              <w:ind w:firstLine="480" w:firstLineChars="200"/>
              <w:textAlignment w:val="auto"/>
              <w:outlineLvl w:val="0"/>
              <w:rPr>
                <w:rFonts w:hint="eastAsia" w:ascii="Times New Roman" w:hAnsi="Times New Roman" w:eastAsia="宋体" w:cs="Times New Roman"/>
                <w:color w:val="000000"/>
                <w:sz w:val="24"/>
                <w:highlight w:val="none"/>
                <w:u w:val="none"/>
                <w:lang w:val="en-US" w:eastAsia="zh-CN"/>
              </w:rPr>
            </w:pPr>
            <w:r>
              <w:rPr>
                <w:rFonts w:hint="default" w:ascii="Times New Roman" w:hAnsi="Times New Roman" w:cs="Times New Roman"/>
                <w:color w:val="000000"/>
                <w:sz w:val="24"/>
                <w:highlight w:val="none"/>
                <w:u w:val="none"/>
              </w:rPr>
              <w:t>②</w:t>
            </w:r>
            <w:r>
              <w:rPr>
                <w:rFonts w:hint="eastAsia" w:cs="Times New Roman"/>
                <w:color w:val="000000"/>
                <w:sz w:val="24"/>
                <w:highlight w:val="none"/>
                <w:u w:val="none"/>
                <w:lang w:val="en-US" w:eastAsia="zh-CN"/>
              </w:rPr>
              <w:t>给料</w:t>
            </w:r>
          </w:p>
          <w:p w14:paraId="5E518D1E">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cs="Times New Roman"/>
                <w:color w:val="000000"/>
                <w:sz w:val="24"/>
                <w:highlight w:val="none"/>
                <w:u w:val="none"/>
                <w:lang w:val="en-US" w:eastAsia="zh-CN"/>
              </w:rPr>
            </w:pPr>
            <w:r>
              <w:rPr>
                <w:rFonts w:hint="default" w:ascii="Times New Roman" w:hAnsi="Times New Roman" w:cs="Times New Roman"/>
                <w:color w:val="000000"/>
                <w:sz w:val="24"/>
                <w:highlight w:val="none"/>
                <w:u w:val="none"/>
                <w:lang w:val="en-US" w:eastAsia="zh-CN"/>
              </w:rPr>
              <w:t>原料运至原料堆放区后，</w:t>
            </w:r>
            <w:r>
              <w:rPr>
                <w:rFonts w:hint="default" w:ascii="Times New Roman" w:hAnsi="Times New Roman" w:cs="Times New Roman"/>
                <w:color w:val="000000"/>
                <w:sz w:val="24"/>
                <w:highlight w:val="none"/>
                <w:u w:val="none"/>
              </w:rPr>
              <w:t>用铲车转运至</w:t>
            </w:r>
            <w:r>
              <w:rPr>
                <w:rFonts w:hint="eastAsia" w:cs="Times New Roman"/>
                <w:color w:val="000000"/>
                <w:sz w:val="24"/>
                <w:highlight w:val="none"/>
                <w:u w:val="none"/>
                <w:lang w:val="en-US" w:eastAsia="zh-CN"/>
              </w:rPr>
              <w:t>喂料机</w:t>
            </w:r>
            <w:r>
              <w:rPr>
                <w:rFonts w:hint="default" w:ascii="Times New Roman" w:hAnsi="Times New Roman" w:cs="Times New Roman"/>
                <w:color w:val="000000"/>
                <w:sz w:val="24"/>
                <w:highlight w:val="none"/>
                <w:u w:val="none"/>
              </w:rPr>
              <w:t>的</w:t>
            </w:r>
            <w:r>
              <w:rPr>
                <w:rFonts w:hint="default" w:ascii="Times New Roman" w:hAnsi="Times New Roman" w:cs="Times New Roman"/>
                <w:color w:val="000000"/>
                <w:sz w:val="24"/>
                <w:highlight w:val="none"/>
                <w:u w:val="none"/>
                <w:lang w:val="en-US" w:eastAsia="zh-CN"/>
              </w:rPr>
              <w:t>进料口处</w:t>
            </w:r>
            <w:r>
              <w:rPr>
                <w:rFonts w:hint="default" w:ascii="Times New Roman" w:hAnsi="Times New Roman" w:cs="Times New Roman"/>
                <w:color w:val="000000"/>
                <w:sz w:val="24"/>
                <w:highlight w:val="none"/>
                <w:u w:val="none"/>
              </w:rPr>
              <w:t>，</w:t>
            </w:r>
            <w:r>
              <w:rPr>
                <w:rFonts w:hint="eastAsia" w:cs="Times New Roman"/>
                <w:color w:val="000000"/>
                <w:sz w:val="24"/>
                <w:highlight w:val="none"/>
                <w:u w:val="none"/>
                <w:lang w:val="en-US" w:eastAsia="zh-CN"/>
              </w:rPr>
              <w:t>喂料机位置一般低于地面，周围设置围挡，只有进料口处打开方便铲车进料，</w:t>
            </w:r>
            <w:r>
              <w:rPr>
                <w:rFonts w:hint="default" w:ascii="Times New Roman" w:hAnsi="Times New Roman" w:cs="Times New Roman"/>
                <w:color w:val="000000"/>
                <w:sz w:val="24"/>
                <w:highlight w:val="none"/>
                <w:u w:val="none"/>
              </w:rPr>
              <w:t>通过</w:t>
            </w:r>
            <w:r>
              <w:rPr>
                <w:rFonts w:hint="eastAsia" w:cs="Times New Roman"/>
                <w:color w:val="000000"/>
                <w:sz w:val="24"/>
                <w:highlight w:val="none"/>
                <w:u w:val="none"/>
                <w:lang w:val="en-US" w:eastAsia="zh-CN"/>
              </w:rPr>
              <w:t>喂料机</w:t>
            </w:r>
            <w:r>
              <w:rPr>
                <w:rFonts w:hint="default" w:ascii="Times New Roman" w:hAnsi="Times New Roman" w:cs="Times New Roman"/>
                <w:color w:val="000000"/>
                <w:sz w:val="24"/>
                <w:highlight w:val="none"/>
                <w:u w:val="none"/>
              </w:rPr>
              <w:t>的</w:t>
            </w:r>
            <w:r>
              <w:rPr>
                <w:rFonts w:hint="default" w:ascii="Times New Roman" w:hAnsi="Times New Roman" w:cs="Times New Roman"/>
                <w:color w:val="000000"/>
                <w:sz w:val="24"/>
                <w:highlight w:val="none"/>
                <w:u w:val="none"/>
                <w:lang w:val="en-US" w:eastAsia="zh-CN"/>
              </w:rPr>
              <w:t>运转</w:t>
            </w:r>
            <w:r>
              <w:rPr>
                <w:rFonts w:hint="default" w:ascii="Times New Roman" w:hAnsi="Times New Roman" w:cs="Times New Roman"/>
                <w:color w:val="000000"/>
                <w:sz w:val="24"/>
                <w:highlight w:val="none"/>
                <w:u w:val="none"/>
              </w:rPr>
              <w:t>将</w:t>
            </w:r>
            <w:r>
              <w:rPr>
                <w:rFonts w:hint="default" w:ascii="Times New Roman" w:hAnsi="Times New Roman" w:cs="Times New Roman"/>
                <w:color w:val="000000"/>
                <w:sz w:val="24"/>
                <w:highlight w:val="none"/>
                <w:u w:val="none"/>
                <w:lang w:val="en-US" w:eastAsia="zh-CN"/>
              </w:rPr>
              <w:t>废矿</w:t>
            </w:r>
            <w:r>
              <w:rPr>
                <w:rFonts w:hint="eastAsia" w:cs="Times New Roman"/>
                <w:color w:val="000000"/>
                <w:sz w:val="24"/>
                <w:highlight w:val="none"/>
                <w:u w:val="none"/>
                <w:lang w:val="en-US" w:eastAsia="zh-CN"/>
              </w:rPr>
              <w:t>石</w:t>
            </w:r>
            <w:r>
              <w:rPr>
                <w:rFonts w:hint="default" w:ascii="Times New Roman" w:hAnsi="Times New Roman" w:cs="Times New Roman"/>
                <w:color w:val="000000"/>
                <w:sz w:val="24"/>
                <w:highlight w:val="none"/>
                <w:u w:val="none"/>
                <w:lang w:val="en-US" w:eastAsia="zh-CN"/>
              </w:rPr>
              <w:t>、建筑材料等原料进行</w:t>
            </w:r>
            <w:r>
              <w:rPr>
                <w:rFonts w:hint="eastAsia" w:cs="Times New Roman"/>
                <w:color w:val="000000"/>
                <w:sz w:val="24"/>
                <w:highlight w:val="none"/>
                <w:u w:val="none"/>
                <w:lang w:val="en-US" w:eastAsia="zh-CN"/>
              </w:rPr>
              <w:t>均匀、定时、连续的给料，这样提升效率的同时也可以为下一环节的颚破减轻机器负担</w:t>
            </w:r>
            <w:r>
              <w:rPr>
                <w:rFonts w:hint="default" w:ascii="Times New Roman" w:hAnsi="Times New Roman" w:cs="Times New Roman"/>
                <w:color w:val="000000"/>
                <w:sz w:val="24"/>
                <w:highlight w:val="none"/>
                <w:u w:val="none"/>
                <w:lang w:val="en-US" w:eastAsia="zh-CN"/>
              </w:rPr>
              <w:t>。</w:t>
            </w:r>
            <w:r>
              <w:rPr>
                <w:rFonts w:hint="eastAsia" w:cs="Times New Roman"/>
                <w:color w:val="000000"/>
                <w:sz w:val="24"/>
                <w:highlight w:val="none"/>
                <w:u w:val="none"/>
                <w:lang w:val="en-US" w:eastAsia="zh-CN"/>
              </w:rPr>
              <w:t>给料</w:t>
            </w:r>
            <w:r>
              <w:rPr>
                <w:rFonts w:hint="default" w:ascii="Times New Roman" w:hAnsi="Times New Roman" w:cs="Times New Roman"/>
                <w:color w:val="000000"/>
                <w:sz w:val="24"/>
                <w:highlight w:val="none"/>
                <w:u w:val="none"/>
                <w:lang w:val="en-US" w:eastAsia="zh-CN"/>
              </w:rPr>
              <w:t>工序进料口会产生</w:t>
            </w:r>
            <w:r>
              <w:rPr>
                <w:rFonts w:hint="eastAsia" w:cs="Times New Roman"/>
                <w:color w:val="000000"/>
                <w:sz w:val="24"/>
                <w:highlight w:val="none"/>
                <w:u w:val="none"/>
                <w:lang w:val="en-US" w:eastAsia="zh-CN"/>
              </w:rPr>
              <w:t>颗粒物</w:t>
            </w:r>
            <w:r>
              <w:rPr>
                <w:rFonts w:hint="default" w:ascii="Times New Roman" w:hAnsi="Times New Roman" w:cs="Times New Roman"/>
                <w:color w:val="000000"/>
                <w:sz w:val="24"/>
                <w:highlight w:val="none"/>
                <w:u w:val="none"/>
                <w:lang w:val="en-US" w:eastAsia="zh-CN"/>
              </w:rPr>
              <w:t>G1和设备运转噪声N1。</w:t>
            </w:r>
          </w:p>
          <w:p w14:paraId="4D0368AF">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eastAsia="宋体" w:cs="Times New Roman"/>
                <w:color w:val="000000"/>
                <w:sz w:val="24"/>
                <w:highlight w:val="none"/>
                <w:u w:val="none"/>
                <w:lang w:val="en-US" w:eastAsia="zh-CN"/>
              </w:rPr>
            </w:pPr>
            <w:r>
              <w:rPr>
                <w:rFonts w:hint="eastAsia" w:cs="Times New Roman"/>
                <w:color w:val="000000"/>
                <w:sz w:val="24"/>
                <w:highlight w:val="none"/>
                <w:u w:val="none"/>
                <w:lang w:val="en-US" w:eastAsia="zh-CN"/>
              </w:rPr>
              <w:t>③颚</w:t>
            </w:r>
            <w:r>
              <w:rPr>
                <w:rFonts w:hint="default" w:ascii="Times New Roman" w:hAnsi="Times New Roman" w:cs="Times New Roman"/>
                <w:color w:val="000000"/>
                <w:sz w:val="24"/>
                <w:highlight w:val="none"/>
                <w:u w:val="none"/>
                <w:lang w:val="en-US" w:eastAsia="zh-CN"/>
              </w:rPr>
              <w:t>破</w:t>
            </w:r>
          </w:p>
          <w:p w14:paraId="4951F7C6">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cs="Times New Roman"/>
                <w:color w:val="000000"/>
                <w:sz w:val="24"/>
                <w:highlight w:val="none"/>
                <w:u w:val="none"/>
                <w:lang w:val="en-US" w:eastAsia="zh-CN"/>
              </w:rPr>
            </w:pPr>
            <w:r>
              <w:rPr>
                <w:rFonts w:hint="eastAsia" w:cs="Times New Roman"/>
                <w:color w:val="000000"/>
                <w:sz w:val="24"/>
                <w:highlight w:val="none"/>
                <w:u w:val="none"/>
                <w:lang w:val="en-US" w:eastAsia="zh-CN"/>
              </w:rPr>
              <w:t>喂料机中的原材料通过密闭输送带进入颚式破碎机</w:t>
            </w:r>
            <w:r>
              <w:rPr>
                <w:rFonts w:hint="default" w:ascii="Times New Roman" w:hAnsi="Times New Roman" w:cs="Times New Roman"/>
                <w:color w:val="000000"/>
                <w:sz w:val="24"/>
                <w:highlight w:val="none"/>
                <w:u w:val="none"/>
              </w:rPr>
              <w:t>，</w:t>
            </w:r>
            <w:r>
              <w:rPr>
                <w:rFonts w:hint="eastAsia" w:cs="Times New Roman"/>
                <w:color w:val="000000"/>
                <w:sz w:val="24"/>
                <w:highlight w:val="none"/>
                <w:u w:val="none"/>
                <w:lang w:val="en-US" w:eastAsia="zh-CN"/>
              </w:rPr>
              <w:t>颚式</w:t>
            </w:r>
            <w:r>
              <w:rPr>
                <w:rFonts w:hint="default" w:ascii="Times New Roman" w:hAnsi="Times New Roman" w:cs="Times New Roman"/>
                <w:color w:val="000000"/>
                <w:sz w:val="24"/>
                <w:highlight w:val="none"/>
                <w:u w:val="none"/>
                <w:lang w:val="en-US" w:eastAsia="zh-CN"/>
              </w:rPr>
              <w:t>破碎</w:t>
            </w:r>
            <w:r>
              <w:rPr>
                <w:rFonts w:hint="default" w:ascii="Times New Roman" w:hAnsi="Times New Roman" w:cs="Times New Roman"/>
                <w:color w:val="000000"/>
                <w:sz w:val="24"/>
                <w:highlight w:val="none"/>
                <w:u w:val="none"/>
              </w:rPr>
              <w:t>机将</w:t>
            </w:r>
            <w:r>
              <w:rPr>
                <w:rFonts w:hint="default" w:ascii="Times New Roman" w:hAnsi="Times New Roman" w:cs="Times New Roman"/>
                <w:color w:val="000000"/>
                <w:sz w:val="24"/>
                <w:highlight w:val="none"/>
                <w:u w:val="none"/>
                <w:lang w:val="en-US" w:eastAsia="zh-CN"/>
              </w:rPr>
              <w:t>废矿</w:t>
            </w:r>
            <w:r>
              <w:rPr>
                <w:rFonts w:hint="eastAsia" w:cs="Times New Roman"/>
                <w:color w:val="000000"/>
                <w:sz w:val="24"/>
                <w:highlight w:val="none"/>
                <w:u w:val="none"/>
                <w:lang w:val="en-US" w:eastAsia="zh-CN"/>
              </w:rPr>
              <w:t>石</w:t>
            </w:r>
            <w:r>
              <w:rPr>
                <w:rFonts w:hint="default" w:ascii="Times New Roman" w:hAnsi="Times New Roman" w:cs="Times New Roman"/>
                <w:color w:val="000000"/>
                <w:sz w:val="24"/>
                <w:highlight w:val="none"/>
                <w:u w:val="none"/>
                <w:lang w:val="en-US" w:eastAsia="zh-CN"/>
              </w:rPr>
              <w:t>、建筑材料等原料进行</w:t>
            </w:r>
            <w:r>
              <w:rPr>
                <w:rFonts w:hint="eastAsia" w:cs="Times New Roman"/>
                <w:color w:val="000000"/>
                <w:sz w:val="24"/>
                <w:highlight w:val="none"/>
                <w:u w:val="none"/>
                <w:lang w:val="en-US" w:eastAsia="zh-CN"/>
              </w:rPr>
              <w:t>颚破</w:t>
            </w:r>
            <w:r>
              <w:rPr>
                <w:rFonts w:hint="default" w:ascii="Times New Roman" w:hAnsi="Times New Roman" w:cs="Times New Roman"/>
                <w:color w:val="000000"/>
                <w:sz w:val="24"/>
                <w:highlight w:val="none"/>
                <w:u w:val="none"/>
                <w:lang w:val="en-US" w:eastAsia="zh-CN"/>
              </w:rPr>
              <w:t>，</w:t>
            </w:r>
            <w:r>
              <w:rPr>
                <w:rFonts w:hint="eastAsia" w:cs="Times New Roman"/>
                <w:color w:val="000000"/>
                <w:sz w:val="24"/>
                <w:highlight w:val="none"/>
                <w:u w:val="none"/>
                <w:lang w:val="en-US" w:eastAsia="zh-CN"/>
              </w:rPr>
              <w:t>颚式</w:t>
            </w:r>
            <w:r>
              <w:rPr>
                <w:rFonts w:hint="default" w:ascii="Times New Roman" w:hAnsi="Times New Roman" w:cs="Times New Roman"/>
                <w:color w:val="000000"/>
                <w:sz w:val="24"/>
                <w:highlight w:val="none"/>
                <w:u w:val="none"/>
                <w:lang w:val="en-US" w:eastAsia="zh-CN"/>
              </w:rPr>
              <w:t>破碎机除去进料口和出料口外其余是</w:t>
            </w:r>
            <w:r>
              <w:rPr>
                <w:rFonts w:hint="eastAsia" w:cs="Times New Roman"/>
                <w:color w:val="000000"/>
                <w:sz w:val="24"/>
                <w:highlight w:val="none"/>
                <w:u w:val="none"/>
                <w:lang w:val="en-US" w:eastAsia="zh-CN"/>
              </w:rPr>
              <w:t>封闭</w:t>
            </w:r>
            <w:r>
              <w:rPr>
                <w:rFonts w:hint="default" w:ascii="Times New Roman" w:hAnsi="Times New Roman" w:cs="Times New Roman"/>
                <w:color w:val="000000"/>
                <w:sz w:val="24"/>
                <w:highlight w:val="none"/>
                <w:u w:val="none"/>
                <w:lang w:val="en-US" w:eastAsia="zh-CN"/>
              </w:rPr>
              <w:t>的，</w:t>
            </w:r>
            <w:r>
              <w:rPr>
                <w:rFonts w:hint="eastAsia" w:cs="Times New Roman"/>
                <w:color w:val="000000"/>
                <w:sz w:val="24"/>
                <w:highlight w:val="none"/>
                <w:u w:val="none"/>
                <w:lang w:val="en-US" w:eastAsia="zh-CN"/>
              </w:rPr>
              <w:t>颚破</w:t>
            </w:r>
            <w:r>
              <w:rPr>
                <w:rFonts w:hint="default" w:ascii="Times New Roman" w:hAnsi="Times New Roman" w:cs="Times New Roman"/>
                <w:color w:val="000000"/>
                <w:sz w:val="24"/>
                <w:highlight w:val="none"/>
                <w:u w:val="none"/>
                <w:lang w:val="en-US" w:eastAsia="zh-CN"/>
              </w:rPr>
              <w:t>过的</w:t>
            </w:r>
            <w:r>
              <w:rPr>
                <w:rFonts w:hint="eastAsia" w:cs="Times New Roman"/>
                <w:color w:val="000000"/>
                <w:sz w:val="24"/>
                <w:highlight w:val="none"/>
                <w:u w:val="none"/>
                <w:lang w:val="en-US" w:eastAsia="zh-CN"/>
              </w:rPr>
              <w:t>原材料</w:t>
            </w:r>
            <w:r>
              <w:rPr>
                <w:rFonts w:hint="default" w:ascii="Times New Roman" w:hAnsi="Times New Roman" w:cs="Times New Roman"/>
                <w:color w:val="000000"/>
                <w:sz w:val="24"/>
                <w:highlight w:val="none"/>
                <w:u w:val="none"/>
                <w:lang w:val="en-US" w:eastAsia="zh-CN"/>
              </w:rPr>
              <w:t>通过密闭皮带机运送至</w:t>
            </w:r>
            <w:r>
              <w:rPr>
                <w:rFonts w:hint="eastAsia" w:cs="Times New Roman"/>
                <w:color w:val="000000"/>
                <w:sz w:val="24"/>
                <w:highlight w:val="none"/>
                <w:u w:val="none"/>
                <w:lang w:val="en-US" w:eastAsia="zh-CN"/>
              </w:rPr>
              <w:t>水洗筛分机</w:t>
            </w:r>
            <w:r>
              <w:rPr>
                <w:rFonts w:hint="default" w:ascii="Times New Roman" w:hAnsi="Times New Roman" w:cs="Times New Roman"/>
                <w:color w:val="000000"/>
                <w:sz w:val="24"/>
                <w:highlight w:val="none"/>
                <w:u w:val="none"/>
                <w:lang w:val="en-US" w:eastAsia="zh-CN"/>
              </w:rPr>
              <w:t>内。</w:t>
            </w:r>
            <w:r>
              <w:rPr>
                <w:rFonts w:hint="eastAsia" w:cs="Times New Roman"/>
                <w:color w:val="000000"/>
                <w:sz w:val="24"/>
                <w:highlight w:val="none"/>
                <w:u w:val="none"/>
                <w:lang w:val="en-US" w:eastAsia="zh-CN"/>
              </w:rPr>
              <w:t>颚破</w:t>
            </w:r>
            <w:r>
              <w:rPr>
                <w:rFonts w:hint="default" w:ascii="Times New Roman" w:hAnsi="Times New Roman" w:cs="Times New Roman"/>
                <w:color w:val="000000"/>
                <w:sz w:val="24"/>
                <w:highlight w:val="none"/>
                <w:u w:val="none"/>
                <w:lang w:val="en-US" w:eastAsia="zh-CN"/>
              </w:rPr>
              <w:t>工序会产生</w:t>
            </w:r>
            <w:r>
              <w:rPr>
                <w:rFonts w:hint="eastAsia" w:cs="Times New Roman"/>
                <w:color w:val="000000"/>
                <w:sz w:val="24"/>
                <w:highlight w:val="none"/>
                <w:u w:val="none"/>
                <w:lang w:val="en-US" w:eastAsia="zh-CN"/>
              </w:rPr>
              <w:t>颗粒物</w:t>
            </w:r>
            <w:r>
              <w:rPr>
                <w:rFonts w:hint="default" w:ascii="Times New Roman" w:hAnsi="Times New Roman" w:cs="Times New Roman"/>
                <w:color w:val="000000"/>
                <w:sz w:val="24"/>
                <w:highlight w:val="none"/>
                <w:u w:val="none"/>
                <w:lang w:val="en-US" w:eastAsia="zh-CN"/>
              </w:rPr>
              <w:t>G</w:t>
            </w:r>
            <w:r>
              <w:rPr>
                <w:rFonts w:hint="eastAsia" w:cs="Times New Roman"/>
                <w:color w:val="000000"/>
                <w:sz w:val="24"/>
                <w:highlight w:val="none"/>
                <w:u w:val="none"/>
                <w:lang w:val="en-US" w:eastAsia="zh-CN"/>
              </w:rPr>
              <w:t>2</w:t>
            </w:r>
            <w:r>
              <w:rPr>
                <w:rFonts w:hint="default" w:ascii="Times New Roman" w:hAnsi="Times New Roman" w:cs="Times New Roman"/>
                <w:color w:val="000000"/>
                <w:sz w:val="24"/>
                <w:highlight w:val="none"/>
                <w:u w:val="none"/>
                <w:lang w:val="en-US" w:eastAsia="zh-CN"/>
              </w:rPr>
              <w:t>和设备运转噪声N</w:t>
            </w:r>
            <w:r>
              <w:rPr>
                <w:rFonts w:hint="eastAsia" w:cs="Times New Roman"/>
                <w:color w:val="000000"/>
                <w:sz w:val="24"/>
                <w:highlight w:val="none"/>
                <w:u w:val="none"/>
                <w:lang w:val="en-US" w:eastAsia="zh-CN"/>
              </w:rPr>
              <w:t>2</w:t>
            </w:r>
            <w:r>
              <w:rPr>
                <w:rFonts w:hint="default" w:ascii="Times New Roman" w:hAnsi="Times New Roman" w:cs="Times New Roman"/>
                <w:color w:val="000000"/>
                <w:sz w:val="24"/>
                <w:highlight w:val="none"/>
                <w:u w:val="none"/>
                <w:lang w:val="en-US" w:eastAsia="zh-CN"/>
              </w:rPr>
              <w:t>。</w:t>
            </w:r>
          </w:p>
          <w:p w14:paraId="2BC95D45">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eastAsia="宋体" w:cs="Times New Roman"/>
                <w:color w:val="000000"/>
                <w:sz w:val="24"/>
                <w:highlight w:val="none"/>
                <w:u w:val="none"/>
                <w:lang w:eastAsia="zh-CN"/>
              </w:rPr>
            </w:pPr>
            <w:r>
              <w:rPr>
                <w:rFonts w:hint="eastAsia" w:cs="Times New Roman"/>
                <w:color w:val="000000"/>
                <w:sz w:val="24"/>
                <w:highlight w:val="none"/>
                <w:u w:val="none"/>
                <w:lang w:val="en-US" w:eastAsia="zh-CN"/>
              </w:rPr>
              <w:t>④</w:t>
            </w:r>
            <w:r>
              <w:rPr>
                <w:rFonts w:hint="default" w:ascii="Times New Roman" w:hAnsi="Times New Roman" w:cs="Times New Roman"/>
                <w:color w:val="000000"/>
                <w:sz w:val="24"/>
                <w:highlight w:val="none"/>
                <w:u w:val="none"/>
              </w:rPr>
              <w:t>筛分</w:t>
            </w:r>
          </w:p>
          <w:p w14:paraId="4B06D0FF">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cs="Times New Roman"/>
                <w:color w:val="000000"/>
                <w:sz w:val="24"/>
                <w:highlight w:val="none"/>
                <w:u w:val="none"/>
              </w:rPr>
            </w:pPr>
            <w:r>
              <w:rPr>
                <w:rFonts w:hint="eastAsia" w:cs="Times New Roman"/>
                <w:color w:val="000000"/>
                <w:sz w:val="24"/>
                <w:highlight w:val="none"/>
                <w:u w:val="none"/>
                <w:lang w:val="en-US" w:eastAsia="zh-CN"/>
              </w:rPr>
              <w:t>颚破</w:t>
            </w:r>
            <w:r>
              <w:rPr>
                <w:rFonts w:hint="default" w:ascii="Times New Roman" w:hAnsi="Times New Roman" w:cs="Times New Roman"/>
                <w:color w:val="000000"/>
                <w:sz w:val="24"/>
                <w:highlight w:val="none"/>
                <w:u w:val="none"/>
                <w:lang w:val="en-US" w:eastAsia="zh-CN"/>
              </w:rPr>
              <w:t>后</w:t>
            </w:r>
            <w:r>
              <w:rPr>
                <w:rFonts w:hint="eastAsia" w:cs="Times New Roman"/>
                <w:color w:val="000000"/>
                <w:sz w:val="24"/>
                <w:highlight w:val="none"/>
                <w:u w:val="none"/>
                <w:lang w:val="en-US" w:eastAsia="zh-CN"/>
              </w:rPr>
              <w:t>物料</w:t>
            </w:r>
            <w:r>
              <w:rPr>
                <w:rFonts w:hint="default" w:ascii="Times New Roman" w:hAnsi="Times New Roman" w:cs="Times New Roman"/>
                <w:color w:val="000000"/>
                <w:sz w:val="24"/>
                <w:highlight w:val="none"/>
                <w:u w:val="none"/>
              </w:rPr>
              <w:t>通过</w:t>
            </w:r>
            <w:r>
              <w:rPr>
                <w:rFonts w:hint="eastAsia" w:cs="Times New Roman"/>
                <w:color w:val="000000"/>
                <w:sz w:val="24"/>
                <w:highlight w:val="none"/>
                <w:u w:val="none"/>
                <w:lang w:val="en-US" w:eastAsia="zh-CN"/>
              </w:rPr>
              <w:t>水洗筛分机</w:t>
            </w:r>
            <w:r>
              <w:rPr>
                <w:rFonts w:hint="default" w:ascii="Times New Roman" w:hAnsi="Times New Roman" w:cs="Times New Roman"/>
                <w:color w:val="000000"/>
                <w:sz w:val="24"/>
                <w:highlight w:val="none"/>
                <w:u w:val="none"/>
              </w:rPr>
              <w:t>进行筛分，筛分出</w:t>
            </w:r>
            <w:r>
              <w:rPr>
                <w:rFonts w:hint="eastAsia" w:cs="Times New Roman"/>
                <w:color w:val="000000"/>
                <w:sz w:val="24"/>
                <w:highlight w:val="none"/>
                <w:u w:val="none"/>
                <w:lang w:val="en-US" w:eastAsia="zh-CN"/>
              </w:rPr>
              <w:t>大于5mm</w:t>
            </w:r>
            <w:r>
              <w:rPr>
                <w:rFonts w:hint="default" w:ascii="Times New Roman" w:hAnsi="Times New Roman" w:cs="Times New Roman"/>
                <w:color w:val="000000"/>
                <w:sz w:val="24"/>
                <w:highlight w:val="none"/>
                <w:u w:val="none"/>
              </w:rPr>
              <w:t>的</w:t>
            </w:r>
            <w:r>
              <w:rPr>
                <w:rFonts w:hint="eastAsia" w:cs="Times New Roman"/>
                <w:color w:val="000000"/>
                <w:sz w:val="24"/>
                <w:highlight w:val="none"/>
                <w:u w:val="none"/>
                <w:lang w:val="en-US" w:eastAsia="zh-CN"/>
              </w:rPr>
              <w:t>原材料送至粉碎</w:t>
            </w:r>
            <w:r>
              <w:rPr>
                <w:rFonts w:hint="default" w:ascii="Times New Roman" w:hAnsi="Times New Roman" w:cs="Times New Roman"/>
                <w:color w:val="000000"/>
                <w:sz w:val="24"/>
                <w:highlight w:val="none"/>
                <w:u w:val="none"/>
              </w:rPr>
              <w:t>机</w:t>
            </w:r>
            <w:r>
              <w:rPr>
                <w:rFonts w:hint="eastAsia" w:cs="Times New Roman"/>
                <w:color w:val="000000"/>
                <w:sz w:val="24"/>
                <w:highlight w:val="none"/>
                <w:u w:val="none"/>
                <w:lang w:val="en-US" w:eastAsia="zh-CN"/>
              </w:rPr>
              <w:t>内</w:t>
            </w:r>
            <w:r>
              <w:rPr>
                <w:rFonts w:hint="default" w:ascii="Times New Roman" w:hAnsi="Times New Roman" w:cs="Times New Roman"/>
                <w:color w:val="000000"/>
                <w:sz w:val="24"/>
                <w:highlight w:val="none"/>
                <w:u w:val="none"/>
              </w:rPr>
              <w:t>进行</w:t>
            </w:r>
            <w:r>
              <w:rPr>
                <w:rFonts w:hint="eastAsia" w:cs="Times New Roman"/>
                <w:color w:val="000000"/>
                <w:sz w:val="24"/>
                <w:highlight w:val="none"/>
                <w:u w:val="none"/>
                <w:lang w:val="en-US" w:eastAsia="zh-CN"/>
              </w:rPr>
              <w:t>粉碎</w:t>
            </w:r>
            <w:r>
              <w:rPr>
                <w:rFonts w:hint="default" w:ascii="Times New Roman" w:hAnsi="Times New Roman" w:cs="Times New Roman"/>
                <w:color w:val="000000"/>
                <w:sz w:val="24"/>
                <w:highlight w:val="none"/>
                <w:u w:val="none"/>
              </w:rPr>
              <w:t>，</w:t>
            </w:r>
            <w:r>
              <w:rPr>
                <w:rFonts w:hint="eastAsia" w:cs="Times New Roman"/>
                <w:color w:val="000000"/>
                <w:sz w:val="24"/>
                <w:highlight w:val="none"/>
                <w:u w:val="none"/>
                <w:lang w:val="en-US" w:eastAsia="zh-CN"/>
              </w:rPr>
              <w:t>筛分过程中在水流下筛分，筛分出</w:t>
            </w:r>
            <w:r>
              <w:rPr>
                <w:rFonts w:hint="default" w:ascii="Times New Roman" w:hAnsi="Times New Roman" w:cs="Times New Roman"/>
                <w:color w:val="000000"/>
                <w:sz w:val="24"/>
                <w:highlight w:val="none"/>
                <w:u w:val="none"/>
                <w:lang w:val="en-US" w:eastAsia="zh-CN"/>
              </w:rPr>
              <w:t>符合筛分条件的</w:t>
            </w:r>
            <w:r>
              <w:rPr>
                <w:rFonts w:hint="eastAsia" w:cs="Times New Roman"/>
                <w:color w:val="000000"/>
                <w:sz w:val="24"/>
                <w:highlight w:val="none"/>
                <w:u w:val="none"/>
                <w:lang w:val="en-US" w:eastAsia="zh-CN"/>
              </w:rPr>
              <w:t>原材料</w:t>
            </w:r>
            <w:r>
              <w:rPr>
                <w:rFonts w:hint="default" w:ascii="Times New Roman" w:hAnsi="Times New Roman" w:cs="Times New Roman"/>
                <w:color w:val="000000"/>
                <w:sz w:val="24"/>
                <w:highlight w:val="none"/>
                <w:u w:val="none"/>
              </w:rPr>
              <w:t>进入</w:t>
            </w:r>
            <w:r>
              <w:rPr>
                <w:rFonts w:hint="eastAsia" w:cs="Times New Roman"/>
                <w:color w:val="000000"/>
                <w:sz w:val="24"/>
                <w:highlight w:val="none"/>
                <w:u w:val="none"/>
                <w:lang w:val="en-US" w:eastAsia="zh-CN"/>
              </w:rPr>
              <w:t>水洗机</w:t>
            </w:r>
            <w:r>
              <w:rPr>
                <w:rFonts w:hint="default" w:ascii="Times New Roman" w:hAnsi="Times New Roman" w:cs="Times New Roman"/>
                <w:color w:val="000000"/>
                <w:sz w:val="24"/>
                <w:highlight w:val="none"/>
                <w:u w:val="none"/>
                <w:lang w:val="en-US" w:eastAsia="zh-CN"/>
              </w:rPr>
              <w:t>。筛分工序产生</w:t>
            </w:r>
            <w:r>
              <w:rPr>
                <w:rFonts w:hint="eastAsia" w:cs="Times New Roman"/>
                <w:color w:val="000000"/>
                <w:sz w:val="24"/>
                <w:highlight w:val="none"/>
                <w:u w:val="none"/>
                <w:lang w:val="en-US" w:eastAsia="zh-CN"/>
              </w:rPr>
              <w:t>废水W1</w:t>
            </w:r>
            <w:r>
              <w:rPr>
                <w:rFonts w:hint="default" w:ascii="Times New Roman" w:hAnsi="Times New Roman" w:cs="Times New Roman"/>
                <w:color w:val="000000"/>
                <w:sz w:val="24"/>
                <w:highlight w:val="none"/>
                <w:u w:val="none"/>
                <w:lang w:val="en-US" w:eastAsia="zh-CN"/>
              </w:rPr>
              <w:t>和</w:t>
            </w:r>
            <w:r>
              <w:rPr>
                <w:rFonts w:hint="eastAsia" w:cs="Times New Roman"/>
                <w:color w:val="000000"/>
                <w:sz w:val="24"/>
                <w:highlight w:val="none"/>
                <w:u w:val="none"/>
                <w:lang w:val="en-US" w:eastAsia="zh-CN"/>
              </w:rPr>
              <w:t>设备</w:t>
            </w:r>
            <w:r>
              <w:rPr>
                <w:rFonts w:hint="default" w:ascii="Times New Roman" w:hAnsi="Times New Roman" w:cs="Times New Roman"/>
                <w:color w:val="000000"/>
                <w:sz w:val="24"/>
                <w:highlight w:val="none"/>
                <w:u w:val="none"/>
                <w:lang w:val="en-US" w:eastAsia="zh-CN"/>
              </w:rPr>
              <w:t>噪声N</w:t>
            </w:r>
            <w:r>
              <w:rPr>
                <w:rFonts w:hint="eastAsia" w:cs="Times New Roman"/>
                <w:color w:val="000000"/>
                <w:sz w:val="24"/>
                <w:highlight w:val="none"/>
                <w:u w:val="none"/>
                <w:lang w:val="en-US" w:eastAsia="zh-CN"/>
              </w:rPr>
              <w:t>3</w:t>
            </w:r>
            <w:r>
              <w:rPr>
                <w:rFonts w:hint="default" w:ascii="Times New Roman" w:hAnsi="Times New Roman" w:cs="Times New Roman"/>
                <w:color w:val="000000"/>
                <w:sz w:val="24"/>
                <w:highlight w:val="none"/>
                <w:u w:val="none"/>
                <w:lang w:val="en-US" w:eastAsia="zh-CN"/>
              </w:rPr>
              <w:t>。</w:t>
            </w:r>
          </w:p>
          <w:p w14:paraId="1E550EB3">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eastAsia="宋体" w:cs="Times New Roman"/>
                <w:color w:val="000000"/>
                <w:sz w:val="24"/>
                <w:highlight w:val="none"/>
                <w:u w:val="none"/>
                <w:lang w:val="en-US" w:eastAsia="zh-CN"/>
              </w:rPr>
            </w:pPr>
            <w:r>
              <w:rPr>
                <w:rFonts w:hint="eastAsia" w:cs="Times New Roman"/>
                <w:color w:val="000000"/>
                <w:sz w:val="24"/>
                <w:highlight w:val="none"/>
                <w:u w:val="none"/>
                <w:lang w:val="en-US" w:eastAsia="zh-CN"/>
              </w:rPr>
              <w:t>⑤粉碎</w:t>
            </w:r>
          </w:p>
          <w:p w14:paraId="3CE580DC">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cs="Times New Roman"/>
                <w:color w:val="000000"/>
                <w:sz w:val="24"/>
                <w:highlight w:val="none"/>
                <w:u w:val="none"/>
                <w:lang w:val="en-US" w:eastAsia="zh-CN"/>
              </w:rPr>
            </w:pPr>
            <w:r>
              <w:rPr>
                <w:rFonts w:hint="eastAsia" w:cs="Times New Roman"/>
                <w:color w:val="000000"/>
                <w:sz w:val="24"/>
                <w:highlight w:val="none"/>
                <w:u w:val="none"/>
                <w:lang w:val="en-US" w:eastAsia="zh-CN"/>
              </w:rPr>
              <w:t>筛分后的原材料通过密闭输送带进入粉碎机</w:t>
            </w:r>
            <w:r>
              <w:rPr>
                <w:rFonts w:hint="default" w:ascii="Times New Roman" w:hAnsi="Times New Roman" w:cs="Times New Roman"/>
                <w:color w:val="000000"/>
                <w:sz w:val="24"/>
                <w:highlight w:val="none"/>
                <w:u w:val="none"/>
              </w:rPr>
              <w:t>，将</w:t>
            </w:r>
            <w:r>
              <w:rPr>
                <w:rFonts w:hint="eastAsia" w:cs="Times New Roman"/>
                <w:color w:val="000000"/>
                <w:sz w:val="24"/>
                <w:highlight w:val="none"/>
                <w:u w:val="none"/>
                <w:lang w:val="en-US" w:eastAsia="zh-CN"/>
              </w:rPr>
              <w:t>颚破过的原材料进行进一步粉碎，筛分后的物料为湿料，不易起尘，粉碎</w:t>
            </w:r>
            <w:r>
              <w:rPr>
                <w:rFonts w:hint="default" w:ascii="Times New Roman" w:hAnsi="Times New Roman" w:cs="Times New Roman"/>
                <w:color w:val="000000"/>
                <w:sz w:val="24"/>
                <w:highlight w:val="none"/>
                <w:u w:val="none"/>
                <w:lang w:val="en-US" w:eastAsia="zh-CN"/>
              </w:rPr>
              <w:t>机除去进料口和出料口外其余是密闭的，</w:t>
            </w:r>
            <w:r>
              <w:rPr>
                <w:rFonts w:hint="eastAsia" w:cs="Times New Roman"/>
                <w:color w:val="000000"/>
                <w:sz w:val="24"/>
                <w:highlight w:val="none"/>
                <w:u w:val="none"/>
                <w:lang w:val="en-US" w:eastAsia="zh-CN"/>
              </w:rPr>
              <w:t>粉碎</w:t>
            </w:r>
            <w:r>
              <w:rPr>
                <w:rFonts w:hint="default" w:ascii="Times New Roman" w:hAnsi="Times New Roman" w:cs="Times New Roman"/>
                <w:color w:val="000000"/>
                <w:sz w:val="24"/>
                <w:highlight w:val="none"/>
                <w:u w:val="none"/>
                <w:lang w:val="en-US" w:eastAsia="zh-CN"/>
              </w:rPr>
              <w:t>过的</w:t>
            </w:r>
            <w:r>
              <w:rPr>
                <w:rFonts w:hint="eastAsia" w:cs="Times New Roman"/>
                <w:color w:val="000000"/>
                <w:sz w:val="24"/>
                <w:highlight w:val="none"/>
                <w:u w:val="none"/>
                <w:lang w:val="en-US" w:eastAsia="zh-CN"/>
              </w:rPr>
              <w:t>原材料再次进入水洗筛分机</w:t>
            </w:r>
            <w:r>
              <w:rPr>
                <w:rFonts w:hint="default" w:ascii="Times New Roman" w:hAnsi="Times New Roman" w:cs="Times New Roman"/>
                <w:color w:val="000000"/>
                <w:sz w:val="24"/>
                <w:highlight w:val="none"/>
                <w:u w:val="none"/>
                <w:lang w:val="en-US" w:eastAsia="zh-CN"/>
              </w:rPr>
              <w:t>。</w:t>
            </w:r>
            <w:r>
              <w:rPr>
                <w:rFonts w:hint="eastAsia" w:cs="Times New Roman"/>
                <w:color w:val="000000"/>
                <w:sz w:val="24"/>
                <w:highlight w:val="none"/>
                <w:u w:val="none"/>
                <w:lang w:val="en-US" w:eastAsia="zh-CN"/>
              </w:rPr>
              <w:t>粉碎</w:t>
            </w:r>
            <w:r>
              <w:rPr>
                <w:rFonts w:hint="default" w:ascii="Times New Roman" w:hAnsi="Times New Roman" w:cs="Times New Roman"/>
                <w:color w:val="000000"/>
                <w:sz w:val="24"/>
                <w:highlight w:val="none"/>
                <w:u w:val="none"/>
                <w:lang w:val="en-US" w:eastAsia="zh-CN"/>
              </w:rPr>
              <w:t>工序产生设备运转噪声N</w:t>
            </w:r>
            <w:r>
              <w:rPr>
                <w:rFonts w:hint="eastAsia" w:cs="Times New Roman"/>
                <w:color w:val="000000"/>
                <w:sz w:val="24"/>
                <w:highlight w:val="none"/>
                <w:u w:val="none"/>
                <w:lang w:val="en-US" w:eastAsia="zh-CN"/>
              </w:rPr>
              <w:t>4</w:t>
            </w:r>
            <w:r>
              <w:rPr>
                <w:rFonts w:hint="default" w:ascii="Times New Roman" w:hAnsi="Times New Roman" w:cs="Times New Roman"/>
                <w:color w:val="000000"/>
                <w:sz w:val="24"/>
                <w:highlight w:val="none"/>
                <w:u w:val="none"/>
                <w:lang w:val="en-US" w:eastAsia="zh-CN"/>
              </w:rPr>
              <w:t>。</w:t>
            </w:r>
          </w:p>
          <w:p w14:paraId="3C416CEA">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eastAsia="宋体" w:cs="Times New Roman"/>
                <w:color w:val="000000"/>
                <w:sz w:val="24"/>
                <w:highlight w:val="none"/>
                <w:u w:val="none"/>
                <w:lang w:val="en-US" w:eastAsia="zh-CN"/>
              </w:rPr>
            </w:pPr>
            <w:r>
              <w:rPr>
                <w:rFonts w:hint="eastAsia" w:cs="Times New Roman"/>
                <w:color w:val="000000"/>
                <w:sz w:val="24"/>
                <w:highlight w:val="none"/>
                <w:u w:val="none"/>
                <w:lang w:val="en-US" w:eastAsia="zh-CN"/>
              </w:rPr>
              <w:t>⑥水洗</w:t>
            </w:r>
            <w:r>
              <w:rPr>
                <w:rFonts w:hint="default" w:ascii="Times New Roman" w:hAnsi="Times New Roman" w:cs="Times New Roman"/>
                <w:color w:val="000000"/>
                <w:sz w:val="24"/>
                <w:highlight w:val="none"/>
                <w:u w:val="none"/>
                <w:lang w:val="en-US" w:eastAsia="zh-CN"/>
              </w:rPr>
              <w:t>、脱水</w:t>
            </w:r>
          </w:p>
          <w:p w14:paraId="3441627D">
            <w:pPr>
              <w:keepNext w:val="0"/>
              <w:keepLines w:val="0"/>
              <w:pageBreakBefore w:val="0"/>
              <w:widowControl w:val="0"/>
              <w:kinsoku/>
              <w:wordWrap/>
              <w:overflowPunct/>
              <w:topLinePunct w:val="0"/>
              <w:bidi w:val="0"/>
              <w:spacing w:line="500" w:lineRule="exact"/>
              <w:ind w:firstLine="480" w:firstLineChars="200"/>
              <w:textAlignment w:val="auto"/>
              <w:outlineLvl w:val="0"/>
              <w:rPr>
                <w:rFonts w:hint="eastAsia" w:cs="Times New Roman"/>
                <w:color w:val="000000"/>
                <w:sz w:val="24"/>
                <w:highlight w:val="none"/>
                <w:u w:val="none"/>
                <w:lang w:val="en-US" w:eastAsia="zh-CN"/>
              </w:rPr>
            </w:pPr>
            <w:r>
              <w:rPr>
                <w:rStyle w:val="27"/>
                <w:rFonts w:hint="eastAsia" w:cs="Times New Roman"/>
                <w:i w:val="0"/>
                <w:iCs w:val="0"/>
                <w:caps w:val="0"/>
                <w:color w:val="auto"/>
                <w:spacing w:val="0"/>
                <w:sz w:val="24"/>
                <w:szCs w:val="24"/>
                <w:highlight w:val="none"/>
                <w:u w:val="none"/>
                <w:shd w:val="clear" w:fill="FFFFFF"/>
                <w:lang w:val="en-US" w:eastAsia="zh-CN"/>
              </w:rPr>
              <w:t>筛分出来的物料</w:t>
            </w:r>
            <w:r>
              <w:rPr>
                <w:rStyle w:val="27"/>
                <w:rFonts w:hint="default" w:ascii="Times New Roman" w:hAnsi="Times New Roman" w:cs="Times New Roman"/>
                <w:i w:val="0"/>
                <w:iCs w:val="0"/>
                <w:caps w:val="0"/>
                <w:color w:val="auto"/>
                <w:spacing w:val="0"/>
                <w:sz w:val="24"/>
                <w:szCs w:val="24"/>
                <w:highlight w:val="none"/>
                <w:u w:val="none"/>
                <w:shd w:val="clear" w:fill="FFFFFF"/>
                <w:lang w:val="en-US" w:eastAsia="zh-CN"/>
              </w:rPr>
              <w:t>进入</w:t>
            </w:r>
            <w:r>
              <w:rPr>
                <w:rStyle w:val="27"/>
                <w:rFonts w:hint="eastAsia" w:cs="Times New Roman"/>
                <w:i w:val="0"/>
                <w:iCs w:val="0"/>
                <w:caps w:val="0"/>
                <w:color w:val="auto"/>
                <w:spacing w:val="0"/>
                <w:sz w:val="24"/>
                <w:szCs w:val="24"/>
                <w:highlight w:val="none"/>
                <w:u w:val="none"/>
                <w:shd w:val="clear" w:fill="FFFFFF"/>
                <w:lang w:val="en-US" w:eastAsia="zh-CN"/>
              </w:rPr>
              <w:t>水轮</w:t>
            </w:r>
            <w:r>
              <w:rPr>
                <w:rStyle w:val="27"/>
                <w:rFonts w:hint="default" w:ascii="Times New Roman" w:hAnsi="Times New Roman" w:cs="Times New Roman"/>
                <w:i w:val="0"/>
                <w:iCs w:val="0"/>
                <w:caps w:val="0"/>
                <w:color w:val="auto"/>
                <w:spacing w:val="0"/>
                <w:sz w:val="24"/>
                <w:szCs w:val="24"/>
                <w:highlight w:val="none"/>
                <w:u w:val="none"/>
                <w:shd w:val="clear" w:fill="FFFFFF"/>
                <w:lang w:val="en-US" w:eastAsia="zh-CN"/>
              </w:rPr>
              <w:t>清洗机，</w:t>
            </w:r>
            <w:r>
              <w:rPr>
                <w:rStyle w:val="27"/>
                <w:rFonts w:hint="eastAsia" w:cs="Times New Roman"/>
                <w:i w:val="0"/>
                <w:iCs w:val="0"/>
                <w:caps w:val="0"/>
                <w:color w:val="auto"/>
                <w:spacing w:val="0"/>
                <w:sz w:val="24"/>
                <w:szCs w:val="24"/>
                <w:highlight w:val="none"/>
                <w:u w:val="none"/>
                <w:shd w:val="clear" w:fill="FFFFFF"/>
                <w:lang w:val="en-US" w:eastAsia="zh-CN"/>
              </w:rPr>
              <w:t>水轮式</w:t>
            </w:r>
            <w:r>
              <w:rPr>
                <w:rStyle w:val="27"/>
                <w:rFonts w:hint="default" w:ascii="Times New Roman" w:hAnsi="Times New Roman" w:cs="Times New Roman"/>
                <w:i w:val="0"/>
                <w:iCs w:val="0"/>
                <w:caps w:val="0"/>
                <w:color w:val="auto"/>
                <w:spacing w:val="0"/>
                <w:sz w:val="24"/>
                <w:szCs w:val="24"/>
                <w:highlight w:val="none"/>
                <w:u w:val="none"/>
                <w:shd w:val="clear" w:fill="FFFFFF"/>
                <w:lang w:val="en-US" w:eastAsia="zh-CN"/>
              </w:rPr>
              <w:t>清洗机</w:t>
            </w:r>
            <w:r>
              <w:rPr>
                <w:rStyle w:val="27"/>
                <w:rFonts w:hint="eastAsia" w:cs="Times New Roman"/>
                <w:i w:val="0"/>
                <w:iCs w:val="0"/>
                <w:caps w:val="0"/>
                <w:color w:val="auto"/>
                <w:spacing w:val="0"/>
                <w:sz w:val="24"/>
                <w:szCs w:val="24"/>
                <w:highlight w:val="none"/>
                <w:u w:val="none"/>
                <w:shd w:val="clear" w:fill="FFFFFF"/>
                <w:lang w:val="en-US" w:eastAsia="zh-CN"/>
              </w:rPr>
              <w:t>将</w:t>
            </w:r>
            <w:r>
              <w:rPr>
                <w:rStyle w:val="27"/>
                <w:rFonts w:hint="default" w:ascii="Times New Roman" w:hAnsi="Times New Roman" w:cs="Times New Roman"/>
                <w:i w:val="0"/>
                <w:iCs w:val="0"/>
                <w:caps w:val="0"/>
                <w:color w:val="auto"/>
                <w:spacing w:val="0"/>
                <w:sz w:val="24"/>
                <w:szCs w:val="24"/>
                <w:highlight w:val="none"/>
                <w:u w:val="none"/>
                <w:shd w:val="clear" w:fill="FFFFFF"/>
                <w:lang w:val="en-US" w:eastAsia="zh-CN"/>
              </w:rPr>
              <w:t>物料经过水洗除去了</w:t>
            </w:r>
            <w:r>
              <w:rPr>
                <w:rStyle w:val="27"/>
                <w:rFonts w:hint="eastAsia" w:cs="Times New Roman"/>
                <w:i w:val="0"/>
                <w:iCs w:val="0"/>
                <w:caps w:val="0"/>
                <w:color w:val="auto"/>
                <w:spacing w:val="0"/>
                <w:sz w:val="24"/>
                <w:szCs w:val="24"/>
                <w:highlight w:val="none"/>
                <w:u w:val="none"/>
                <w:shd w:val="clear" w:fill="FFFFFF"/>
                <w:lang w:val="en-US" w:eastAsia="zh-CN"/>
              </w:rPr>
              <w:t>表面浮灰，砂石更加符合生产品质，清洗</w:t>
            </w:r>
            <w:r>
              <w:rPr>
                <w:rFonts w:hint="default" w:ascii="Times New Roman" w:hAnsi="Times New Roman" w:cs="Times New Roman"/>
                <w:sz w:val="24"/>
                <w:highlight w:val="none"/>
                <w:u w:val="none"/>
              </w:rPr>
              <w:t>后的砂</w:t>
            </w:r>
            <w:r>
              <w:rPr>
                <w:rFonts w:hint="default" w:ascii="Times New Roman" w:hAnsi="Times New Roman" w:cs="Times New Roman"/>
                <w:sz w:val="24"/>
                <w:highlight w:val="none"/>
                <w:u w:val="none"/>
                <w:lang w:val="en-US" w:eastAsia="zh-CN"/>
              </w:rPr>
              <w:t>石再</w:t>
            </w:r>
            <w:r>
              <w:rPr>
                <w:rFonts w:hint="default" w:ascii="Times New Roman" w:hAnsi="Times New Roman" w:cs="Times New Roman"/>
                <w:sz w:val="24"/>
                <w:highlight w:val="none"/>
                <w:u w:val="none"/>
              </w:rPr>
              <w:t>通过</w:t>
            </w:r>
            <w:r>
              <w:rPr>
                <w:rFonts w:hint="default" w:ascii="Times New Roman" w:hAnsi="Times New Roman" w:cs="Times New Roman"/>
                <w:sz w:val="24"/>
                <w:highlight w:val="none"/>
                <w:u w:val="none"/>
                <w:lang w:val="en-US" w:eastAsia="zh-CN"/>
              </w:rPr>
              <w:t>密闭皮带机输送至</w:t>
            </w:r>
            <w:r>
              <w:rPr>
                <w:rFonts w:hint="default" w:ascii="Times New Roman" w:hAnsi="Times New Roman" w:cs="Times New Roman"/>
                <w:sz w:val="24"/>
                <w:highlight w:val="none"/>
                <w:u w:val="none"/>
              </w:rPr>
              <w:t>脱水筛</w:t>
            </w:r>
            <w:r>
              <w:rPr>
                <w:rFonts w:hint="default" w:ascii="Times New Roman" w:hAnsi="Times New Roman" w:cs="Times New Roman"/>
                <w:sz w:val="24"/>
                <w:highlight w:val="none"/>
                <w:u w:val="none"/>
                <w:lang w:val="en-US" w:eastAsia="zh-CN"/>
              </w:rPr>
              <w:t>进行</w:t>
            </w:r>
            <w:r>
              <w:rPr>
                <w:rFonts w:hint="default" w:ascii="Times New Roman" w:hAnsi="Times New Roman" w:cs="Times New Roman"/>
                <w:sz w:val="24"/>
                <w:highlight w:val="none"/>
                <w:u w:val="none"/>
              </w:rPr>
              <w:t>脱水</w:t>
            </w:r>
            <w:r>
              <w:rPr>
                <w:rFonts w:hint="eastAsia" w:cs="Times New Roman"/>
                <w:sz w:val="24"/>
                <w:highlight w:val="none"/>
                <w:u w:val="none"/>
                <w:lang w:val="en-US" w:eastAsia="zh-CN"/>
              </w:rPr>
              <w:t>干燥</w:t>
            </w:r>
            <w:r>
              <w:rPr>
                <w:rFonts w:hint="eastAsia" w:cs="Times New Roman"/>
                <w:sz w:val="24"/>
                <w:highlight w:val="none"/>
                <w:u w:val="none"/>
                <w:lang w:eastAsia="zh-CN"/>
              </w:rPr>
              <w:t>，</w:t>
            </w:r>
            <w:r>
              <w:rPr>
                <w:rFonts w:hint="eastAsia" w:cs="Times New Roman"/>
                <w:sz w:val="24"/>
                <w:highlight w:val="none"/>
                <w:u w:val="none"/>
                <w:lang w:val="en-US" w:eastAsia="zh-CN"/>
              </w:rPr>
              <w:t>脱水后的成品暂存在成品区</w:t>
            </w:r>
            <w:r>
              <w:rPr>
                <w:rFonts w:hint="default" w:ascii="Times New Roman" w:hAnsi="Times New Roman" w:cs="Times New Roman"/>
                <w:sz w:val="24"/>
                <w:highlight w:val="none"/>
                <w:u w:val="none"/>
                <w:lang w:eastAsia="zh-CN"/>
              </w:rPr>
              <w:t>。</w:t>
            </w:r>
            <w:r>
              <w:rPr>
                <w:rFonts w:hint="eastAsia" w:cs="Times New Roman"/>
                <w:sz w:val="24"/>
                <w:highlight w:val="none"/>
                <w:u w:val="none"/>
                <w:lang w:val="en-US" w:eastAsia="zh-CN"/>
              </w:rPr>
              <w:t>水洗、脱水</w:t>
            </w:r>
            <w:r>
              <w:rPr>
                <w:rFonts w:hint="default" w:ascii="Times New Roman" w:hAnsi="Times New Roman" w:cs="Times New Roman"/>
                <w:sz w:val="24"/>
                <w:highlight w:val="none"/>
                <w:u w:val="none"/>
                <w:lang w:val="en-US" w:eastAsia="zh-CN"/>
              </w:rPr>
              <w:t>工序会产生废水W</w:t>
            </w:r>
            <w:r>
              <w:rPr>
                <w:rFonts w:hint="eastAsia" w:cs="Times New Roman"/>
                <w:sz w:val="24"/>
                <w:highlight w:val="none"/>
                <w:u w:val="none"/>
                <w:lang w:val="en-US" w:eastAsia="zh-CN"/>
              </w:rPr>
              <w:t>1</w:t>
            </w:r>
            <w:r>
              <w:rPr>
                <w:rFonts w:hint="default" w:ascii="Times New Roman" w:hAnsi="Times New Roman" w:cs="Times New Roman"/>
                <w:sz w:val="24"/>
                <w:highlight w:val="none"/>
                <w:u w:val="none"/>
                <w:lang w:val="en-US" w:eastAsia="zh-CN"/>
              </w:rPr>
              <w:t>和</w:t>
            </w:r>
            <w:r>
              <w:rPr>
                <w:rFonts w:hint="eastAsia" w:cs="Times New Roman"/>
                <w:sz w:val="24"/>
                <w:highlight w:val="none"/>
                <w:u w:val="none"/>
                <w:lang w:val="en-US" w:eastAsia="zh-CN"/>
              </w:rPr>
              <w:t>设备</w:t>
            </w:r>
            <w:r>
              <w:rPr>
                <w:rFonts w:hint="default" w:ascii="Times New Roman" w:hAnsi="Times New Roman" w:cs="Times New Roman"/>
                <w:sz w:val="24"/>
                <w:highlight w:val="none"/>
                <w:u w:val="none"/>
                <w:lang w:val="en-US" w:eastAsia="zh-CN"/>
              </w:rPr>
              <w:t>噪声N</w:t>
            </w:r>
            <w:r>
              <w:rPr>
                <w:rFonts w:hint="eastAsia" w:cs="Times New Roman"/>
                <w:sz w:val="24"/>
                <w:highlight w:val="none"/>
                <w:u w:val="none"/>
                <w:lang w:val="en-US" w:eastAsia="zh-CN"/>
              </w:rPr>
              <w:t>5、</w:t>
            </w:r>
            <w:r>
              <w:rPr>
                <w:rFonts w:hint="default" w:ascii="Times New Roman" w:hAnsi="Times New Roman" w:cs="Times New Roman"/>
                <w:sz w:val="24"/>
                <w:highlight w:val="none"/>
                <w:u w:val="none"/>
                <w:lang w:val="en-US" w:eastAsia="zh-CN"/>
              </w:rPr>
              <w:t>N</w:t>
            </w:r>
            <w:r>
              <w:rPr>
                <w:rFonts w:hint="eastAsia" w:cs="Times New Roman"/>
                <w:sz w:val="24"/>
                <w:highlight w:val="none"/>
                <w:u w:val="none"/>
                <w:lang w:val="en-US" w:eastAsia="zh-CN"/>
              </w:rPr>
              <w:t>6。</w:t>
            </w:r>
          </w:p>
          <w:p w14:paraId="34E5740E">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eastAsia="宋体" w:cs="Times New Roman"/>
                <w:color w:val="000000"/>
                <w:sz w:val="24"/>
                <w:highlight w:val="none"/>
                <w:u w:val="none"/>
                <w:lang w:val="en-US" w:eastAsia="zh-CN"/>
              </w:rPr>
            </w:pPr>
            <w:r>
              <w:rPr>
                <w:rFonts w:hint="eastAsia" w:cs="Times New Roman"/>
                <w:color w:val="000000"/>
                <w:sz w:val="24"/>
                <w:highlight w:val="none"/>
                <w:u w:val="none"/>
                <w:lang w:val="en-US" w:eastAsia="zh-CN"/>
              </w:rPr>
              <w:t>⑧</w:t>
            </w:r>
            <w:r>
              <w:rPr>
                <w:rFonts w:hint="default" w:ascii="Times New Roman" w:hAnsi="Times New Roman" w:cs="Times New Roman"/>
                <w:color w:val="000000"/>
                <w:sz w:val="24"/>
                <w:highlight w:val="none"/>
                <w:u w:val="none"/>
                <w:lang w:val="en-US" w:eastAsia="zh-CN"/>
              </w:rPr>
              <w:t>成品外售</w:t>
            </w:r>
          </w:p>
          <w:p w14:paraId="698057A0">
            <w:pPr>
              <w:keepNext w:val="0"/>
              <w:keepLines w:val="0"/>
              <w:pageBreakBefore w:val="0"/>
              <w:widowControl w:val="0"/>
              <w:kinsoku/>
              <w:wordWrap/>
              <w:overflowPunct/>
              <w:topLinePunct w:val="0"/>
              <w:bidi w:val="0"/>
              <w:spacing w:line="500" w:lineRule="exact"/>
              <w:ind w:firstLine="480"/>
              <w:jc w:val="left"/>
              <w:textAlignment w:val="auto"/>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生产的成品砂石</w:t>
            </w:r>
            <w:r>
              <w:rPr>
                <w:rFonts w:hint="default" w:ascii="Times New Roman" w:hAnsi="Times New Roman" w:cs="Times New Roman"/>
                <w:sz w:val="24"/>
                <w:highlight w:val="none"/>
                <w:lang w:val="en-US" w:eastAsia="zh-CN"/>
              </w:rPr>
              <w:t>进行外售</w:t>
            </w:r>
            <w:r>
              <w:rPr>
                <w:rFonts w:hint="eastAsia" w:cs="Times New Roman"/>
                <w:sz w:val="24"/>
                <w:highlight w:val="none"/>
                <w:lang w:val="en-US" w:eastAsia="zh-CN"/>
              </w:rPr>
              <w:t>外运</w:t>
            </w:r>
            <w:r>
              <w:rPr>
                <w:rFonts w:hint="default" w:ascii="Times New Roman" w:hAnsi="Times New Roman" w:cs="Times New Roman"/>
                <w:sz w:val="24"/>
                <w:highlight w:val="none"/>
                <w:lang w:val="en-US" w:eastAsia="zh-CN"/>
              </w:rPr>
              <w:t>，本工序不产生污染</w:t>
            </w:r>
            <w:r>
              <w:rPr>
                <w:rFonts w:hint="eastAsia" w:cs="Times New Roman"/>
                <w:sz w:val="24"/>
                <w:highlight w:val="none"/>
                <w:lang w:val="en-US" w:eastAsia="zh-CN"/>
              </w:rPr>
              <w:t>物</w:t>
            </w:r>
            <w:r>
              <w:rPr>
                <w:rFonts w:hint="default" w:ascii="Times New Roman" w:hAnsi="Times New Roman" w:cs="Times New Roman"/>
                <w:sz w:val="24"/>
                <w:highlight w:val="none"/>
                <w:lang w:val="en-US" w:eastAsia="zh-CN"/>
              </w:rPr>
              <w:t>。</w:t>
            </w:r>
          </w:p>
          <w:p w14:paraId="4DE90A6E">
            <w:pPr>
              <w:spacing w:line="240" w:lineRule="auto"/>
              <w:ind w:firstLine="0"/>
              <w:jc w:val="center"/>
              <w:rPr>
                <w:rFonts w:hint="default" w:ascii="Times New Roman" w:hAnsi="Times New Roman" w:cs="Times New Roman"/>
                <w:sz w:val="24"/>
                <w:highlight w:val="none"/>
              </w:rPr>
            </w:pPr>
            <w:r>
              <w:drawing>
                <wp:inline distT="0" distB="0" distL="114300" distR="114300">
                  <wp:extent cx="2875915" cy="4317365"/>
                  <wp:effectExtent l="0" t="0" r="4445" b="1079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9"/>
                          <a:stretch>
                            <a:fillRect/>
                          </a:stretch>
                        </pic:blipFill>
                        <pic:spPr>
                          <a:xfrm>
                            <a:off x="0" y="0"/>
                            <a:ext cx="2875915" cy="4317365"/>
                          </a:xfrm>
                          <a:prstGeom prst="rect">
                            <a:avLst/>
                          </a:prstGeom>
                          <a:noFill/>
                          <a:ln>
                            <a:noFill/>
                          </a:ln>
                        </pic:spPr>
                      </pic:pic>
                    </a:graphicData>
                  </a:graphic>
                </wp:inline>
              </w:drawing>
            </w:r>
          </w:p>
          <w:p w14:paraId="5D4BF1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sz w:val="24"/>
                <w:highlight w:val="none"/>
              </w:rPr>
            </w:pPr>
            <w:r>
              <w:rPr>
                <w:rFonts w:hint="default" w:ascii="Times New Roman" w:hAnsi="Times New Roman" w:eastAsia="黑体" w:cs="Times New Roman"/>
                <w:sz w:val="24"/>
                <w:highlight w:val="none"/>
              </w:rPr>
              <w:t>图</w:t>
            </w:r>
            <w:r>
              <w:rPr>
                <w:rFonts w:hint="eastAsia" w:eastAsia="黑体" w:cs="Times New Roman"/>
                <w:sz w:val="24"/>
                <w:highlight w:val="none"/>
                <w:lang w:val="en-US" w:eastAsia="zh-CN"/>
              </w:rPr>
              <w:t>4</w:t>
            </w:r>
            <w:r>
              <w:rPr>
                <w:rFonts w:hint="default" w:ascii="Times New Roman" w:hAnsi="Times New Roman" w:eastAsia="黑体" w:cs="Times New Roman"/>
                <w:sz w:val="24"/>
                <w:highlight w:val="none"/>
              </w:rPr>
              <w:t xml:space="preserve">  </w:t>
            </w:r>
            <w:r>
              <w:rPr>
                <w:rFonts w:hint="default" w:ascii="Times New Roman" w:hAnsi="Times New Roman" w:eastAsia="黑体" w:cs="Times New Roman"/>
                <w:sz w:val="24"/>
                <w:highlight w:val="none"/>
                <w:lang w:val="en-US" w:eastAsia="zh-CN"/>
              </w:rPr>
              <w:t>砂石</w:t>
            </w:r>
            <w:r>
              <w:rPr>
                <w:rFonts w:hint="default" w:ascii="Times New Roman" w:hAnsi="Times New Roman" w:eastAsia="黑体" w:cs="Times New Roman"/>
                <w:sz w:val="24"/>
                <w:highlight w:val="none"/>
              </w:rPr>
              <w:t>生产线工艺流程</w:t>
            </w:r>
            <w:r>
              <w:rPr>
                <w:rFonts w:hint="eastAsia" w:eastAsia="黑体" w:cs="Times New Roman"/>
                <w:sz w:val="24"/>
                <w:highlight w:val="none"/>
                <w:lang w:val="en-US" w:eastAsia="zh-CN"/>
              </w:rPr>
              <w:t>及产污环节示意</w:t>
            </w:r>
            <w:r>
              <w:rPr>
                <w:rFonts w:hint="default" w:ascii="Times New Roman" w:hAnsi="Times New Roman" w:eastAsia="黑体" w:cs="Times New Roman"/>
                <w:sz w:val="24"/>
                <w:highlight w:val="none"/>
              </w:rPr>
              <w:t>图</w:t>
            </w:r>
          </w:p>
          <w:p w14:paraId="7EB42816">
            <w:pPr>
              <w:pStyle w:val="60"/>
              <w:tabs>
                <w:tab w:val="left" w:pos="4063"/>
              </w:tabs>
              <w:spacing w:line="240" w:lineRule="auto"/>
              <w:ind w:firstLine="0"/>
              <w:rPr>
                <w:rFonts w:hint="default" w:eastAsia="宋体"/>
                <w:highlight w:val="none"/>
                <w:lang w:val="en-US" w:eastAsia="zh-CN"/>
              </w:rPr>
            </w:pPr>
            <w:r>
              <w:rPr>
                <w:rFonts w:hint="default" w:ascii="Times New Roman" w:hAnsi="Times New Roman" w:cs="Times New Roman"/>
                <w:sz w:val="24"/>
                <w:highlight w:val="none"/>
                <w:lang w:val="en-US"/>
              </w:rPr>
              <w:t>注：G：废气；W：废水；N：噪声；S：固废</w:t>
            </w:r>
            <w:r>
              <w:rPr>
                <w:rFonts w:hint="eastAsia" w:cs="Times New Roman"/>
                <w:sz w:val="24"/>
                <w:highlight w:val="none"/>
                <w:lang w:val="en-US" w:eastAsia="zh-CN"/>
              </w:rPr>
              <w:t>；蓝色虚线：污水</w:t>
            </w:r>
          </w:p>
          <w:p w14:paraId="5ED8FF1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highlight w:val="none"/>
                <w:u w:val="none"/>
              </w:rPr>
            </w:pPr>
            <w:r>
              <w:rPr>
                <w:rFonts w:hint="default" w:ascii="Times New Roman" w:hAnsi="Times New Roman" w:cs="Times New Roman"/>
                <w:sz w:val="24"/>
                <w:highlight w:val="none"/>
                <w:u w:val="none"/>
                <w:lang w:val="en-US" w:eastAsia="zh-CN"/>
              </w:rPr>
              <w:t>（二）水泥稳定土</w:t>
            </w:r>
            <w:r>
              <w:rPr>
                <w:rFonts w:hint="default" w:ascii="Times New Roman" w:hAnsi="Times New Roman" w:cs="Times New Roman"/>
                <w:sz w:val="24"/>
                <w:highlight w:val="none"/>
                <w:u w:val="none"/>
              </w:rPr>
              <w:t>生产线工艺流程：</w:t>
            </w:r>
          </w:p>
          <w:p w14:paraId="25D8AF0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default" w:ascii="Times New Roman" w:hAnsi="Times New Roman" w:cs="Times New Roman"/>
                <w:color w:val="000000"/>
                <w:sz w:val="24"/>
                <w:highlight w:val="none"/>
                <w:u w:val="none"/>
              </w:rPr>
            </w:pPr>
            <w:r>
              <w:rPr>
                <w:rFonts w:hint="default" w:ascii="Times New Roman" w:hAnsi="Times New Roman" w:cs="Times New Roman"/>
                <w:color w:val="000000"/>
                <w:sz w:val="24"/>
                <w:highlight w:val="none"/>
                <w:u w:val="none"/>
              </w:rPr>
              <w:fldChar w:fldCharType="begin"/>
            </w:r>
            <w:r>
              <w:rPr>
                <w:rFonts w:hint="default" w:ascii="Times New Roman" w:hAnsi="Times New Roman" w:cs="Times New Roman"/>
                <w:color w:val="000000"/>
                <w:sz w:val="24"/>
                <w:highlight w:val="none"/>
                <w:u w:val="none"/>
              </w:rPr>
              <w:instrText xml:space="preserve"> = 1 \* GB3 </w:instrText>
            </w:r>
            <w:r>
              <w:rPr>
                <w:rFonts w:hint="default" w:ascii="Times New Roman" w:hAnsi="Times New Roman" w:cs="Times New Roman"/>
                <w:color w:val="000000"/>
                <w:sz w:val="24"/>
                <w:highlight w:val="none"/>
                <w:u w:val="none"/>
              </w:rPr>
              <w:fldChar w:fldCharType="separate"/>
            </w:r>
            <w:r>
              <w:rPr>
                <w:rFonts w:hint="default" w:ascii="Times New Roman" w:hAnsi="Times New Roman" w:cs="Times New Roman"/>
                <w:color w:val="000000"/>
                <w:sz w:val="24"/>
                <w:highlight w:val="none"/>
                <w:u w:val="none"/>
              </w:rPr>
              <w:t>①</w:t>
            </w:r>
            <w:r>
              <w:rPr>
                <w:rFonts w:hint="default" w:ascii="Times New Roman" w:hAnsi="Times New Roman" w:cs="Times New Roman"/>
                <w:color w:val="000000"/>
                <w:sz w:val="24"/>
                <w:highlight w:val="none"/>
                <w:u w:val="none"/>
              </w:rPr>
              <w:fldChar w:fldCharType="end"/>
            </w:r>
            <w:r>
              <w:rPr>
                <w:rFonts w:hint="default" w:ascii="Times New Roman" w:hAnsi="Times New Roman" w:cs="Times New Roman"/>
                <w:color w:val="000000"/>
                <w:sz w:val="24"/>
                <w:highlight w:val="none"/>
                <w:u w:val="none"/>
              </w:rPr>
              <w:t>外购原料</w:t>
            </w:r>
          </w:p>
          <w:p w14:paraId="3204873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eastAsia" w:ascii="Times New Roman" w:hAnsi="Times New Roman" w:eastAsia="宋体" w:cs="Times New Roman"/>
                <w:color w:val="000000"/>
                <w:sz w:val="24"/>
                <w:highlight w:val="none"/>
                <w:u w:val="none"/>
                <w:lang w:eastAsia="zh-CN"/>
              </w:rPr>
            </w:pPr>
            <w:r>
              <w:rPr>
                <w:rFonts w:hint="default" w:ascii="Times New Roman" w:hAnsi="Times New Roman" w:cs="Times New Roman"/>
                <w:color w:val="000000"/>
                <w:sz w:val="24"/>
                <w:highlight w:val="none"/>
                <w:u w:val="none"/>
              </w:rPr>
              <w:t>本项目</w:t>
            </w:r>
            <w:r>
              <w:rPr>
                <w:rFonts w:hint="default" w:ascii="Times New Roman" w:hAnsi="Times New Roman" w:cs="Times New Roman"/>
                <w:color w:val="000000"/>
                <w:sz w:val="24"/>
                <w:highlight w:val="none"/>
                <w:u w:val="none"/>
                <w:lang w:val="en-US" w:eastAsia="zh-CN"/>
              </w:rPr>
              <w:t>外购的沙、石子、石粉等原材料</w:t>
            </w:r>
            <w:r>
              <w:rPr>
                <w:rFonts w:hint="default" w:ascii="Times New Roman" w:hAnsi="Times New Roman" w:cs="Times New Roman"/>
                <w:color w:val="000000"/>
                <w:sz w:val="24"/>
                <w:highlight w:val="none"/>
                <w:u w:val="none"/>
              </w:rPr>
              <w:t>由汽车运送至项目原</w:t>
            </w:r>
            <w:r>
              <w:rPr>
                <w:rFonts w:hint="eastAsia" w:cs="Times New Roman"/>
                <w:color w:val="000000"/>
                <w:sz w:val="24"/>
                <w:highlight w:val="none"/>
                <w:u w:val="none"/>
                <w:lang w:val="en-US" w:eastAsia="zh-CN"/>
              </w:rPr>
              <w:t>材料暂存</w:t>
            </w:r>
            <w:r>
              <w:rPr>
                <w:rFonts w:hint="default" w:ascii="Times New Roman" w:hAnsi="Times New Roman" w:cs="Times New Roman"/>
                <w:color w:val="000000"/>
                <w:sz w:val="24"/>
                <w:highlight w:val="none"/>
                <w:u w:val="none"/>
              </w:rPr>
              <w:t>区中堆存，汽车在运输中车辆加盖篷布，密闭运输</w:t>
            </w:r>
            <w:r>
              <w:rPr>
                <w:rFonts w:hint="eastAsia" w:cs="Times New Roman"/>
                <w:color w:val="000000"/>
                <w:sz w:val="24"/>
                <w:highlight w:val="none"/>
                <w:u w:val="none"/>
                <w:lang w:eastAsia="zh-CN"/>
              </w:rPr>
              <w:t>，</w:t>
            </w:r>
            <w:r>
              <w:rPr>
                <w:rFonts w:hint="eastAsia" w:cs="Times New Roman"/>
                <w:color w:val="000000"/>
                <w:sz w:val="24"/>
                <w:highlight w:val="none"/>
                <w:u w:val="none"/>
                <w:lang w:val="en-US" w:eastAsia="zh-CN"/>
              </w:rPr>
              <w:t>料场顶部安装有喷淋系统对原材料装卸、转移产生的扬尘进行定时喷洒处理。</w:t>
            </w:r>
          </w:p>
          <w:p w14:paraId="0D5A3F4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eastAsia" w:ascii="Times New Roman" w:hAnsi="Times New Roman" w:eastAsia="宋体" w:cs="Times New Roman"/>
                <w:color w:val="000000"/>
                <w:sz w:val="24"/>
                <w:highlight w:val="none"/>
                <w:u w:val="none"/>
                <w:lang w:val="en-US" w:eastAsia="zh-CN"/>
              </w:rPr>
            </w:pPr>
            <w:r>
              <w:rPr>
                <w:rFonts w:hint="default" w:ascii="Times New Roman" w:hAnsi="Times New Roman" w:cs="Times New Roman"/>
                <w:color w:val="000000"/>
                <w:sz w:val="24"/>
                <w:highlight w:val="none"/>
                <w:u w:val="none"/>
              </w:rPr>
              <w:t>②</w:t>
            </w:r>
            <w:r>
              <w:rPr>
                <w:rFonts w:hint="eastAsia" w:cs="Times New Roman"/>
                <w:color w:val="000000"/>
                <w:sz w:val="24"/>
                <w:highlight w:val="none"/>
                <w:u w:val="none"/>
                <w:lang w:val="en-US" w:eastAsia="zh-CN"/>
              </w:rPr>
              <w:t>给料</w:t>
            </w:r>
          </w:p>
          <w:p w14:paraId="7763FAE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default" w:ascii="Times New Roman" w:hAnsi="Times New Roman" w:cs="Times New Roman"/>
                <w:color w:val="000000"/>
                <w:sz w:val="24"/>
                <w:highlight w:val="none"/>
                <w:u w:val="none"/>
                <w:lang w:val="en-US" w:eastAsia="zh-CN"/>
              </w:rPr>
            </w:pPr>
            <w:r>
              <w:rPr>
                <w:rFonts w:hint="default" w:ascii="Times New Roman" w:hAnsi="Times New Roman" w:cs="Times New Roman"/>
                <w:color w:val="000000"/>
                <w:sz w:val="24"/>
                <w:highlight w:val="none"/>
                <w:u w:val="none"/>
                <w:lang w:val="en-US" w:eastAsia="zh-CN"/>
              </w:rPr>
              <w:t>水泥稳定土的原材料在原料区堆放</w:t>
            </w:r>
            <w:r>
              <w:rPr>
                <w:rFonts w:hint="eastAsia" w:cs="Times New Roman"/>
                <w:color w:val="000000"/>
                <w:sz w:val="24"/>
                <w:highlight w:val="none"/>
                <w:u w:val="none"/>
                <w:lang w:val="en-US" w:eastAsia="zh-CN"/>
              </w:rPr>
              <w:t>暂存</w:t>
            </w:r>
            <w:r>
              <w:rPr>
                <w:rFonts w:hint="default" w:ascii="Times New Roman" w:hAnsi="Times New Roman" w:cs="Times New Roman"/>
                <w:color w:val="000000"/>
                <w:sz w:val="24"/>
                <w:highlight w:val="none"/>
                <w:u w:val="none"/>
                <w:lang w:val="en-US" w:eastAsia="zh-CN"/>
              </w:rPr>
              <w:t>，生产时由铲车将原材料</w:t>
            </w:r>
            <w:r>
              <w:rPr>
                <w:rFonts w:hint="eastAsia" w:cs="Times New Roman"/>
                <w:color w:val="000000"/>
                <w:sz w:val="24"/>
                <w:highlight w:val="none"/>
                <w:u w:val="none"/>
                <w:lang w:val="en-US" w:eastAsia="zh-CN"/>
              </w:rPr>
              <w:t>送至配料仓给料机</w:t>
            </w:r>
            <w:r>
              <w:rPr>
                <w:rFonts w:hint="default" w:ascii="Times New Roman" w:hAnsi="Times New Roman" w:cs="Times New Roman"/>
                <w:color w:val="000000"/>
                <w:sz w:val="24"/>
                <w:highlight w:val="none"/>
                <w:u w:val="none"/>
                <w:lang w:val="en-US" w:eastAsia="zh-CN"/>
              </w:rPr>
              <w:t>内，不同的原材料进入</w:t>
            </w:r>
            <w:r>
              <w:rPr>
                <w:rFonts w:hint="eastAsia" w:cs="Times New Roman"/>
                <w:color w:val="000000"/>
                <w:sz w:val="24"/>
                <w:highlight w:val="none"/>
                <w:u w:val="none"/>
                <w:lang w:val="en-US" w:eastAsia="zh-CN"/>
              </w:rPr>
              <w:t>配料仓给料</w:t>
            </w:r>
            <w:r>
              <w:rPr>
                <w:rFonts w:hint="default" w:ascii="Times New Roman" w:hAnsi="Times New Roman" w:cs="Times New Roman"/>
                <w:color w:val="000000"/>
                <w:sz w:val="24"/>
                <w:highlight w:val="none"/>
                <w:u w:val="none"/>
                <w:lang w:val="en-US" w:eastAsia="zh-CN"/>
              </w:rPr>
              <w:t>机，按照</w:t>
            </w:r>
            <w:r>
              <w:rPr>
                <w:rFonts w:hint="eastAsia" w:cs="Times New Roman"/>
                <w:color w:val="000000"/>
                <w:sz w:val="24"/>
                <w:highlight w:val="none"/>
                <w:u w:val="none"/>
                <w:lang w:val="en-US" w:eastAsia="zh-CN"/>
              </w:rPr>
              <w:t>给</w:t>
            </w:r>
            <w:r>
              <w:rPr>
                <w:rFonts w:hint="default" w:ascii="Times New Roman" w:hAnsi="Times New Roman" w:cs="Times New Roman"/>
                <w:color w:val="000000"/>
                <w:sz w:val="24"/>
                <w:highlight w:val="none"/>
                <w:u w:val="none"/>
                <w:lang w:val="en-US" w:eastAsia="zh-CN"/>
              </w:rPr>
              <w:t>料机设定的转速连续</w:t>
            </w:r>
            <w:r>
              <w:rPr>
                <w:rFonts w:hint="eastAsia" w:cs="Times New Roman"/>
                <w:color w:val="000000"/>
                <w:sz w:val="24"/>
                <w:highlight w:val="none"/>
                <w:u w:val="none"/>
                <w:lang w:val="en-US" w:eastAsia="zh-CN"/>
              </w:rPr>
              <w:t>稳定</w:t>
            </w:r>
            <w:r>
              <w:rPr>
                <w:rFonts w:hint="default" w:ascii="Times New Roman" w:hAnsi="Times New Roman" w:cs="Times New Roman"/>
                <w:color w:val="000000"/>
                <w:sz w:val="24"/>
                <w:highlight w:val="none"/>
                <w:u w:val="none"/>
                <w:lang w:val="en-US" w:eastAsia="zh-CN"/>
              </w:rPr>
              <w:t>输出所需要的原材料，</w:t>
            </w:r>
            <w:r>
              <w:rPr>
                <w:rFonts w:hint="eastAsia" w:cs="Times New Roman"/>
                <w:color w:val="000000"/>
                <w:sz w:val="24"/>
                <w:highlight w:val="none"/>
                <w:u w:val="none"/>
                <w:lang w:val="en-US" w:eastAsia="zh-CN"/>
              </w:rPr>
              <w:t>使原材料进入下一环节，给</w:t>
            </w:r>
            <w:r>
              <w:rPr>
                <w:rFonts w:hint="default" w:ascii="Times New Roman" w:hAnsi="Times New Roman" w:cs="Times New Roman"/>
                <w:color w:val="000000"/>
                <w:sz w:val="24"/>
                <w:highlight w:val="none"/>
                <w:u w:val="none"/>
                <w:lang w:val="en-US" w:eastAsia="zh-CN"/>
              </w:rPr>
              <w:t>料机除去进料口和出料口外其余是密闭的</w:t>
            </w:r>
            <w:r>
              <w:rPr>
                <w:rFonts w:hint="eastAsia" w:cs="Times New Roman"/>
                <w:color w:val="000000"/>
                <w:sz w:val="24"/>
                <w:highlight w:val="none"/>
                <w:u w:val="none"/>
                <w:lang w:val="en-US" w:eastAsia="zh-CN"/>
              </w:rPr>
              <w:t>。给料</w:t>
            </w:r>
            <w:r>
              <w:rPr>
                <w:rFonts w:hint="default" w:ascii="Times New Roman" w:hAnsi="Times New Roman" w:cs="Times New Roman"/>
                <w:color w:val="000000"/>
                <w:sz w:val="24"/>
                <w:highlight w:val="none"/>
                <w:u w:val="none"/>
                <w:lang w:val="en-US" w:eastAsia="zh-CN"/>
              </w:rPr>
              <w:t>工序</w:t>
            </w:r>
            <w:r>
              <w:rPr>
                <w:rFonts w:hint="eastAsia" w:ascii="Times New Roman" w:hAnsi="Times New Roman" w:cs="Times New Roman"/>
                <w:color w:val="000000"/>
                <w:sz w:val="24"/>
                <w:highlight w:val="none"/>
                <w:u w:val="none"/>
                <w:lang w:val="en-US" w:eastAsia="zh-CN"/>
              </w:rPr>
              <w:t>进料口</w:t>
            </w:r>
            <w:r>
              <w:rPr>
                <w:rFonts w:hint="default" w:ascii="Times New Roman" w:hAnsi="Times New Roman" w:cs="Times New Roman"/>
                <w:color w:val="000000"/>
                <w:sz w:val="24"/>
                <w:highlight w:val="none"/>
                <w:u w:val="none"/>
                <w:lang w:val="en-US" w:eastAsia="zh-CN"/>
              </w:rPr>
              <w:t>产生</w:t>
            </w:r>
            <w:r>
              <w:rPr>
                <w:rFonts w:hint="eastAsia" w:cs="Times New Roman"/>
                <w:color w:val="000000"/>
                <w:sz w:val="24"/>
                <w:highlight w:val="none"/>
                <w:u w:val="none"/>
                <w:lang w:val="en-US" w:eastAsia="zh-CN"/>
              </w:rPr>
              <w:t>颗粒物</w:t>
            </w:r>
            <w:r>
              <w:rPr>
                <w:rFonts w:hint="default" w:ascii="Times New Roman" w:hAnsi="Times New Roman" w:cs="Times New Roman"/>
                <w:color w:val="000000"/>
                <w:sz w:val="24"/>
                <w:highlight w:val="none"/>
                <w:u w:val="none"/>
                <w:lang w:val="en-US" w:eastAsia="zh-CN"/>
              </w:rPr>
              <w:t>G1和设备运转噪声N1。</w:t>
            </w:r>
            <w:r>
              <w:rPr>
                <w:rFonts w:hint="eastAsia" w:cs="Times New Roman"/>
                <w:color w:val="000000"/>
                <w:sz w:val="24"/>
                <w:highlight w:val="none"/>
                <w:u w:val="none"/>
                <w:lang w:val="en-US" w:eastAsia="zh-CN"/>
              </w:rPr>
              <w:t>外购的水泥通过罐车运输进厂房内，由罐车自带的空压机打入水泥筒仓内储存，之后筒仓内的水泥按计量进入稳定土搅拌装置内，该工序水泥筒仓会产生的颗粒物G2和仓顶除尘设备噪声N2。</w:t>
            </w:r>
          </w:p>
          <w:p w14:paraId="176F7AE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default" w:ascii="Times New Roman" w:hAnsi="Times New Roman" w:eastAsia="宋体" w:cs="Times New Roman"/>
                <w:color w:val="000000"/>
                <w:sz w:val="24"/>
                <w:highlight w:val="none"/>
                <w:u w:val="none"/>
                <w:lang w:val="en-US" w:eastAsia="zh-CN"/>
              </w:rPr>
            </w:pPr>
            <w:r>
              <w:rPr>
                <w:rFonts w:hint="default" w:ascii="Times New Roman" w:hAnsi="Times New Roman" w:cs="Times New Roman"/>
                <w:color w:val="000000"/>
                <w:sz w:val="24"/>
                <w:highlight w:val="none"/>
                <w:u w:val="none"/>
              </w:rPr>
              <w:fldChar w:fldCharType="begin"/>
            </w:r>
            <w:r>
              <w:rPr>
                <w:rFonts w:hint="default" w:ascii="Times New Roman" w:hAnsi="Times New Roman" w:cs="Times New Roman"/>
                <w:color w:val="000000"/>
                <w:sz w:val="24"/>
                <w:highlight w:val="none"/>
                <w:u w:val="none"/>
              </w:rPr>
              <w:instrText xml:space="preserve"> = 3 \* GB3 </w:instrText>
            </w:r>
            <w:r>
              <w:rPr>
                <w:rFonts w:hint="default" w:ascii="Times New Roman" w:hAnsi="Times New Roman" w:cs="Times New Roman"/>
                <w:color w:val="000000"/>
                <w:sz w:val="24"/>
                <w:highlight w:val="none"/>
                <w:u w:val="none"/>
              </w:rPr>
              <w:fldChar w:fldCharType="separate"/>
            </w:r>
            <w:r>
              <w:rPr>
                <w:rFonts w:hint="default" w:ascii="Times New Roman" w:hAnsi="Times New Roman" w:cs="Times New Roman"/>
                <w:color w:val="000000"/>
                <w:sz w:val="24"/>
                <w:highlight w:val="none"/>
                <w:u w:val="none"/>
              </w:rPr>
              <w:t>③</w:t>
            </w:r>
            <w:r>
              <w:rPr>
                <w:rFonts w:hint="default" w:ascii="Times New Roman" w:hAnsi="Times New Roman" w:cs="Times New Roman"/>
                <w:color w:val="000000"/>
                <w:sz w:val="24"/>
                <w:highlight w:val="none"/>
                <w:u w:val="none"/>
              </w:rPr>
              <w:fldChar w:fldCharType="end"/>
            </w:r>
            <w:r>
              <w:rPr>
                <w:rFonts w:hint="eastAsia" w:cs="Times New Roman"/>
                <w:color w:val="000000"/>
                <w:sz w:val="24"/>
                <w:highlight w:val="none"/>
                <w:u w:val="none"/>
                <w:lang w:val="en-US" w:eastAsia="zh-CN"/>
              </w:rPr>
              <w:t>上料</w:t>
            </w:r>
            <w:r>
              <w:rPr>
                <w:rFonts w:hint="default" w:ascii="Times New Roman" w:hAnsi="Times New Roman" w:cs="Times New Roman"/>
                <w:color w:val="000000"/>
                <w:sz w:val="24"/>
                <w:highlight w:val="none"/>
                <w:u w:val="none"/>
                <w:lang w:val="en-US" w:eastAsia="zh-CN"/>
              </w:rPr>
              <w:t>计量</w:t>
            </w:r>
            <w:r>
              <w:rPr>
                <w:rFonts w:hint="eastAsia" w:cs="Times New Roman"/>
                <w:color w:val="000000"/>
                <w:sz w:val="24"/>
                <w:highlight w:val="none"/>
                <w:u w:val="none"/>
                <w:lang w:val="en-US" w:eastAsia="zh-CN"/>
              </w:rPr>
              <w:t>输送</w:t>
            </w:r>
          </w:p>
          <w:p w14:paraId="3793AE4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default" w:ascii="Times New Roman" w:hAnsi="Times New Roman" w:cs="Times New Roman"/>
                <w:color w:val="000000"/>
                <w:sz w:val="24"/>
                <w:highlight w:val="none"/>
                <w:u w:val="none"/>
              </w:rPr>
            </w:pPr>
            <w:r>
              <w:rPr>
                <w:rFonts w:hint="default" w:ascii="Times New Roman" w:hAnsi="Times New Roman" w:cs="Times New Roman"/>
                <w:color w:val="000000"/>
                <w:sz w:val="24"/>
                <w:highlight w:val="none"/>
                <w:u w:val="none"/>
                <w:lang w:val="en-US" w:eastAsia="zh-CN"/>
              </w:rPr>
              <w:t>水泥稳定土</w:t>
            </w:r>
            <w:r>
              <w:rPr>
                <w:rFonts w:hint="eastAsia" w:cs="Times New Roman"/>
                <w:color w:val="000000"/>
                <w:sz w:val="24"/>
                <w:highlight w:val="none"/>
                <w:u w:val="none"/>
                <w:lang w:val="en-US" w:eastAsia="zh-CN"/>
              </w:rPr>
              <w:t>原材料通过</w:t>
            </w:r>
            <w:r>
              <w:rPr>
                <w:rFonts w:hint="default" w:ascii="Times New Roman" w:hAnsi="Times New Roman" w:cs="Times New Roman"/>
                <w:color w:val="000000"/>
                <w:sz w:val="24"/>
                <w:highlight w:val="none"/>
                <w:u w:val="none"/>
                <w:lang w:val="en-US" w:eastAsia="zh-CN"/>
              </w:rPr>
              <w:t>密闭</w:t>
            </w:r>
            <w:r>
              <w:rPr>
                <w:rFonts w:hint="eastAsia" w:cs="Times New Roman"/>
                <w:color w:val="000000"/>
                <w:sz w:val="24"/>
                <w:highlight w:val="none"/>
                <w:u w:val="none"/>
                <w:lang w:val="en-US" w:eastAsia="zh-CN"/>
              </w:rPr>
              <w:t>输送带进入上料</w:t>
            </w:r>
            <w:r>
              <w:rPr>
                <w:rFonts w:hint="default" w:ascii="Times New Roman" w:hAnsi="Times New Roman" w:cs="Times New Roman"/>
                <w:color w:val="000000"/>
                <w:sz w:val="24"/>
                <w:highlight w:val="none"/>
                <w:u w:val="none"/>
                <w:lang w:val="en-US" w:eastAsia="zh-CN"/>
              </w:rPr>
              <w:t>机，通过</w:t>
            </w:r>
            <w:r>
              <w:rPr>
                <w:rFonts w:hint="eastAsia" w:cs="Times New Roman"/>
                <w:color w:val="000000"/>
                <w:sz w:val="24"/>
                <w:highlight w:val="none"/>
                <w:u w:val="none"/>
                <w:lang w:val="en-US" w:eastAsia="zh-CN"/>
              </w:rPr>
              <w:t>上料</w:t>
            </w:r>
            <w:r>
              <w:rPr>
                <w:rFonts w:hint="default" w:ascii="Times New Roman" w:hAnsi="Times New Roman" w:cs="Times New Roman"/>
                <w:color w:val="000000"/>
                <w:sz w:val="24"/>
                <w:highlight w:val="none"/>
                <w:u w:val="none"/>
                <w:lang w:val="en-US" w:eastAsia="zh-CN"/>
              </w:rPr>
              <w:t>机来设定的参数来对原料进行计量输送，</w:t>
            </w:r>
            <w:r>
              <w:rPr>
                <w:rFonts w:hint="eastAsia" w:cs="Times New Roman"/>
                <w:color w:val="000000"/>
                <w:sz w:val="24"/>
                <w:highlight w:val="none"/>
                <w:u w:val="none"/>
                <w:lang w:val="en-US" w:eastAsia="zh-CN"/>
              </w:rPr>
              <w:t>上料机</w:t>
            </w:r>
            <w:r>
              <w:rPr>
                <w:rFonts w:hint="default" w:ascii="Times New Roman" w:hAnsi="Times New Roman" w:cs="Times New Roman"/>
                <w:color w:val="000000"/>
                <w:sz w:val="24"/>
                <w:highlight w:val="none"/>
                <w:u w:val="none"/>
                <w:lang w:val="en-US" w:eastAsia="zh-CN"/>
              </w:rPr>
              <w:t>比较好确定原材料的计量，确定好计量后通过密闭皮带机输送到下一环节。</w:t>
            </w:r>
            <w:r>
              <w:rPr>
                <w:rFonts w:hint="eastAsia" w:cs="Times New Roman"/>
                <w:color w:val="000000"/>
                <w:sz w:val="24"/>
                <w:highlight w:val="none"/>
                <w:u w:val="none"/>
                <w:lang w:val="en-US" w:eastAsia="zh-CN"/>
              </w:rPr>
              <w:t>上</w:t>
            </w:r>
            <w:r>
              <w:rPr>
                <w:rFonts w:hint="default" w:ascii="Times New Roman" w:hAnsi="Times New Roman" w:cs="Times New Roman"/>
                <w:color w:val="000000"/>
                <w:sz w:val="24"/>
                <w:highlight w:val="none"/>
                <w:u w:val="none"/>
                <w:lang w:val="en-US" w:eastAsia="zh-CN"/>
              </w:rPr>
              <w:t>料机除去进料口和出料口外其余是密闭的，</w:t>
            </w:r>
            <w:r>
              <w:rPr>
                <w:rFonts w:hint="eastAsia" w:cs="Times New Roman"/>
                <w:color w:val="000000"/>
                <w:sz w:val="24"/>
                <w:highlight w:val="none"/>
                <w:u w:val="none"/>
                <w:lang w:val="en-US" w:eastAsia="zh-CN"/>
              </w:rPr>
              <w:t>且上料机计量有参数设定，上料机</w:t>
            </w:r>
            <w:r>
              <w:rPr>
                <w:rFonts w:hint="default" w:ascii="Times New Roman" w:hAnsi="Times New Roman" w:cs="Times New Roman"/>
                <w:color w:val="000000"/>
                <w:sz w:val="24"/>
                <w:highlight w:val="none"/>
                <w:u w:val="none"/>
                <w:lang w:val="en-US" w:eastAsia="zh-CN"/>
              </w:rPr>
              <w:t>产生的少量</w:t>
            </w:r>
            <w:r>
              <w:rPr>
                <w:rFonts w:hint="eastAsia" w:cs="Times New Roman"/>
                <w:color w:val="000000"/>
                <w:sz w:val="24"/>
                <w:highlight w:val="none"/>
                <w:u w:val="none"/>
                <w:lang w:val="en-US" w:eastAsia="zh-CN"/>
              </w:rPr>
              <w:t>颗粒物</w:t>
            </w:r>
            <w:r>
              <w:rPr>
                <w:rFonts w:hint="default" w:ascii="Times New Roman" w:hAnsi="Times New Roman" w:cs="Times New Roman"/>
                <w:color w:val="000000"/>
                <w:sz w:val="24"/>
                <w:highlight w:val="none"/>
                <w:u w:val="none"/>
                <w:lang w:val="en-US" w:eastAsia="zh-CN"/>
              </w:rPr>
              <w:t>忽略不计</w:t>
            </w:r>
            <w:r>
              <w:rPr>
                <w:rFonts w:hint="eastAsia" w:cs="Times New Roman"/>
                <w:color w:val="000000"/>
                <w:sz w:val="24"/>
                <w:highlight w:val="none"/>
                <w:u w:val="none"/>
                <w:lang w:val="en-US" w:eastAsia="zh-CN"/>
              </w:rPr>
              <w:t>，</w:t>
            </w:r>
            <w:r>
              <w:rPr>
                <w:rFonts w:hint="default" w:ascii="Times New Roman" w:hAnsi="Times New Roman" w:cs="Times New Roman"/>
                <w:color w:val="000000"/>
                <w:sz w:val="24"/>
                <w:highlight w:val="none"/>
                <w:u w:val="none"/>
                <w:lang w:val="en-US" w:eastAsia="zh-CN"/>
              </w:rPr>
              <w:t>这个工序</w:t>
            </w:r>
            <w:r>
              <w:rPr>
                <w:rFonts w:hint="eastAsia" w:cs="Times New Roman"/>
                <w:color w:val="000000"/>
                <w:sz w:val="24"/>
                <w:highlight w:val="none"/>
                <w:u w:val="none"/>
                <w:lang w:val="en-US" w:eastAsia="zh-CN"/>
              </w:rPr>
              <w:t>上</w:t>
            </w:r>
            <w:r>
              <w:rPr>
                <w:rFonts w:hint="default" w:ascii="Times New Roman" w:hAnsi="Times New Roman" w:cs="Times New Roman"/>
                <w:color w:val="000000"/>
                <w:sz w:val="24"/>
                <w:highlight w:val="none"/>
                <w:u w:val="none"/>
                <w:lang w:val="en-US" w:eastAsia="zh-CN"/>
              </w:rPr>
              <w:t>料机</w:t>
            </w:r>
            <w:r>
              <w:rPr>
                <w:rFonts w:hint="eastAsia" w:cs="Times New Roman"/>
                <w:color w:val="000000"/>
                <w:sz w:val="24"/>
                <w:highlight w:val="none"/>
                <w:u w:val="none"/>
                <w:lang w:val="en-US" w:eastAsia="zh-CN"/>
              </w:rPr>
              <w:t>只有</w:t>
            </w:r>
            <w:r>
              <w:rPr>
                <w:rFonts w:hint="default" w:ascii="Times New Roman" w:hAnsi="Times New Roman" w:cs="Times New Roman"/>
                <w:color w:val="000000"/>
                <w:sz w:val="24"/>
                <w:highlight w:val="none"/>
                <w:u w:val="none"/>
                <w:lang w:val="en-US" w:eastAsia="zh-CN"/>
              </w:rPr>
              <w:t>设备运行噪声N</w:t>
            </w:r>
            <w:r>
              <w:rPr>
                <w:rFonts w:hint="eastAsia" w:cs="Times New Roman"/>
                <w:color w:val="000000"/>
                <w:sz w:val="24"/>
                <w:highlight w:val="none"/>
                <w:u w:val="none"/>
                <w:lang w:val="en-US" w:eastAsia="zh-CN"/>
              </w:rPr>
              <w:t>3</w:t>
            </w:r>
            <w:r>
              <w:rPr>
                <w:rFonts w:hint="default" w:ascii="Times New Roman" w:hAnsi="Times New Roman" w:cs="Times New Roman"/>
                <w:color w:val="000000"/>
                <w:sz w:val="24"/>
                <w:highlight w:val="none"/>
                <w:u w:val="none"/>
                <w:lang w:val="en-US" w:eastAsia="zh-CN"/>
              </w:rPr>
              <w:t>。</w:t>
            </w:r>
          </w:p>
          <w:p w14:paraId="5C74476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default" w:ascii="Times New Roman" w:hAnsi="Times New Roman" w:eastAsia="宋体" w:cs="Times New Roman"/>
                <w:color w:val="000000"/>
                <w:sz w:val="24"/>
                <w:highlight w:val="none"/>
                <w:u w:val="none"/>
                <w:lang w:val="en-US" w:eastAsia="zh-CN"/>
              </w:rPr>
            </w:pPr>
            <w:r>
              <w:rPr>
                <w:rFonts w:hint="default" w:ascii="Times New Roman" w:hAnsi="Times New Roman" w:cs="Times New Roman"/>
                <w:color w:val="000000"/>
                <w:sz w:val="24"/>
                <w:highlight w:val="none"/>
                <w:u w:val="none"/>
              </w:rPr>
              <w:fldChar w:fldCharType="begin"/>
            </w:r>
            <w:r>
              <w:rPr>
                <w:rFonts w:hint="default" w:ascii="Times New Roman" w:hAnsi="Times New Roman" w:cs="Times New Roman"/>
                <w:color w:val="000000"/>
                <w:sz w:val="24"/>
                <w:highlight w:val="none"/>
                <w:u w:val="none"/>
              </w:rPr>
              <w:instrText xml:space="preserve"> = 4 \* GB3 </w:instrText>
            </w:r>
            <w:r>
              <w:rPr>
                <w:rFonts w:hint="default" w:ascii="Times New Roman" w:hAnsi="Times New Roman" w:cs="Times New Roman"/>
                <w:color w:val="000000"/>
                <w:sz w:val="24"/>
                <w:highlight w:val="none"/>
                <w:u w:val="none"/>
              </w:rPr>
              <w:fldChar w:fldCharType="separate"/>
            </w:r>
            <w:r>
              <w:rPr>
                <w:rFonts w:hint="default" w:ascii="Times New Roman" w:hAnsi="Times New Roman" w:cs="Times New Roman"/>
                <w:color w:val="000000"/>
                <w:sz w:val="24"/>
                <w:highlight w:val="none"/>
                <w:u w:val="none"/>
              </w:rPr>
              <w:t>④</w:t>
            </w:r>
            <w:r>
              <w:rPr>
                <w:rFonts w:hint="default" w:ascii="Times New Roman" w:hAnsi="Times New Roman" w:cs="Times New Roman"/>
                <w:color w:val="000000"/>
                <w:sz w:val="24"/>
                <w:highlight w:val="none"/>
                <w:u w:val="none"/>
              </w:rPr>
              <w:fldChar w:fldCharType="end"/>
            </w:r>
            <w:r>
              <w:rPr>
                <w:rFonts w:hint="default" w:ascii="Times New Roman" w:hAnsi="Times New Roman" w:cs="Times New Roman"/>
                <w:color w:val="000000"/>
                <w:sz w:val="24"/>
                <w:highlight w:val="none"/>
                <w:u w:val="none"/>
                <w:lang w:val="en-US" w:eastAsia="zh-CN"/>
              </w:rPr>
              <w:t>搅拌</w:t>
            </w:r>
          </w:p>
          <w:p w14:paraId="35C4168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default" w:ascii="Times New Roman" w:hAnsi="Times New Roman" w:eastAsia="宋体" w:cs="Times New Roman"/>
                <w:color w:val="000000"/>
                <w:sz w:val="24"/>
                <w:highlight w:val="none"/>
                <w:u w:val="none"/>
                <w:lang w:val="en-US" w:eastAsia="zh-CN"/>
              </w:rPr>
            </w:pPr>
            <w:r>
              <w:rPr>
                <w:rFonts w:hint="default" w:ascii="Times New Roman" w:hAnsi="Times New Roman" w:cs="Times New Roman"/>
                <w:color w:val="000000"/>
                <w:sz w:val="24"/>
                <w:highlight w:val="none"/>
                <w:u w:val="none"/>
                <w:lang w:val="en-US" w:eastAsia="zh-CN"/>
              </w:rPr>
              <w:t>密闭皮带机将</w:t>
            </w:r>
            <w:r>
              <w:rPr>
                <w:rFonts w:hint="eastAsia" w:cs="Times New Roman"/>
                <w:color w:val="000000"/>
                <w:sz w:val="24"/>
                <w:highlight w:val="none"/>
                <w:u w:val="none"/>
                <w:lang w:val="en-US" w:eastAsia="zh-CN"/>
              </w:rPr>
              <w:t>上</w:t>
            </w:r>
            <w:r>
              <w:rPr>
                <w:rFonts w:hint="default" w:ascii="Times New Roman" w:hAnsi="Times New Roman" w:cs="Times New Roman"/>
                <w:color w:val="000000"/>
                <w:sz w:val="24"/>
                <w:highlight w:val="none"/>
                <w:u w:val="none"/>
                <w:lang w:val="en-US" w:eastAsia="zh-CN"/>
              </w:rPr>
              <w:t>料机确定好的原</w:t>
            </w:r>
            <w:r>
              <w:rPr>
                <w:rFonts w:hint="eastAsia" w:cs="Times New Roman"/>
                <w:color w:val="000000"/>
                <w:sz w:val="24"/>
                <w:highlight w:val="none"/>
                <w:u w:val="none"/>
                <w:lang w:val="en-US" w:eastAsia="zh-CN"/>
              </w:rPr>
              <w:t>材料和水</w:t>
            </w:r>
            <w:r>
              <w:rPr>
                <w:rFonts w:hint="default" w:ascii="Times New Roman" w:hAnsi="Times New Roman" w:cs="Times New Roman"/>
                <w:color w:val="000000"/>
                <w:sz w:val="24"/>
                <w:highlight w:val="none"/>
                <w:u w:val="none"/>
                <w:lang w:val="en-US" w:eastAsia="zh-CN"/>
              </w:rPr>
              <w:t>输送到搅拌</w:t>
            </w:r>
            <w:r>
              <w:rPr>
                <w:rFonts w:hint="eastAsia" w:cs="Times New Roman"/>
                <w:color w:val="000000"/>
                <w:sz w:val="24"/>
                <w:highlight w:val="none"/>
                <w:u w:val="none"/>
                <w:lang w:val="en-US" w:eastAsia="zh-CN"/>
              </w:rPr>
              <w:t>装置设备</w:t>
            </w:r>
            <w:r>
              <w:rPr>
                <w:rFonts w:hint="default" w:ascii="Times New Roman" w:hAnsi="Times New Roman" w:cs="Times New Roman"/>
                <w:color w:val="000000"/>
                <w:sz w:val="24"/>
                <w:highlight w:val="none"/>
                <w:u w:val="none"/>
                <w:lang w:val="en-US" w:eastAsia="zh-CN"/>
              </w:rPr>
              <w:t>内，</w:t>
            </w:r>
            <w:r>
              <w:rPr>
                <w:rFonts w:hint="eastAsia" w:cs="Times New Roman"/>
                <w:color w:val="000000"/>
                <w:sz w:val="24"/>
                <w:highlight w:val="none"/>
                <w:u w:val="none"/>
                <w:lang w:val="en-US" w:eastAsia="zh-CN"/>
              </w:rPr>
              <w:t>配比好的各种原料在搅拌装置内搅拌均匀，搅拌装置全密闭，</w:t>
            </w:r>
            <w:r>
              <w:rPr>
                <w:rFonts w:hint="default" w:ascii="Times New Roman" w:hAnsi="Times New Roman" w:cs="Times New Roman"/>
                <w:color w:val="000000"/>
                <w:sz w:val="24"/>
                <w:highlight w:val="none"/>
                <w:u w:val="none"/>
                <w:lang w:val="en-US" w:eastAsia="zh-CN"/>
              </w:rPr>
              <w:t>（此过程水量</w:t>
            </w:r>
            <w:r>
              <w:rPr>
                <w:rFonts w:hint="eastAsia" w:cs="Times New Roman"/>
                <w:color w:val="000000"/>
                <w:sz w:val="24"/>
                <w:highlight w:val="none"/>
                <w:u w:val="none"/>
                <w:lang w:val="en-US" w:eastAsia="zh-CN"/>
              </w:rPr>
              <w:t>添加要</w:t>
            </w:r>
            <w:r>
              <w:rPr>
                <w:rFonts w:hint="default" w:ascii="Times New Roman" w:hAnsi="Times New Roman" w:cs="Times New Roman"/>
                <w:color w:val="000000"/>
                <w:sz w:val="24"/>
                <w:highlight w:val="none"/>
                <w:u w:val="none"/>
                <w:lang w:val="en-US" w:eastAsia="zh-CN"/>
              </w:rPr>
              <w:t>少量多次），</w:t>
            </w:r>
            <w:r>
              <w:rPr>
                <w:rFonts w:hint="eastAsia" w:cs="Times New Roman"/>
                <w:color w:val="000000"/>
                <w:sz w:val="24"/>
                <w:highlight w:val="none"/>
                <w:u w:val="none"/>
                <w:lang w:val="en-US" w:eastAsia="zh-CN"/>
              </w:rPr>
              <w:t>这样</w:t>
            </w:r>
            <w:r>
              <w:rPr>
                <w:rFonts w:hint="default" w:ascii="Times New Roman" w:hAnsi="Times New Roman" w:cs="Times New Roman"/>
                <w:color w:val="000000"/>
                <w:sz w:val="24"/>
                <w:highlight w:val="none"/>
                <w:u w:val="none"/>
                <w:lang w:val="en-US" w:eastAsia="zh-CN"/>
              </w:rPr>
              <w:t>原料</w:t>
            </w:r>
            <w:r>
              <w:rPr>
                <w:rFonts w:hint="eastAsia" w:cs="Times New Roman"/>
                <w:color w:val="000000"/>
                <w:sz w:val="24"/>
                <w:highlight w:val="none"/>
                <w:u w:val="none"/>
                <w:lang w:val="en-US" w:eastAsia="zh-CN"/>
              </w:rPr>
              <w:t>才能够</w:t>
            </w:r>
            <w:r>
              <w:rPr>
                <w:rFonts w:hint="default" w:ascii="Times New Roman" w:hAnsi="Times New Roman" w:cs="Times New Roman"/>
                <w:color w:val="000000"/>
                <w:sz w:val="24"/>
                <w:highlight w:val="none"/>
                <w:u w:val="none"/>
                <w:lang w:val="en-US" w:eastAsia="zh-CN"/>
              </w:rPr>
              <w:t>充分均匀</w:t>
            </w:r>
            <w:r>
              <w:rPr>
                <w:rFonts w:hint="eastAsia" w:cs="Times New Roman"/>
                <w:color w:val="000000"/>
                <w:sz w:val="24"/>
                <w:highlight w:val="none"/>
                <w:u w:val="none"/>
                <w:lang w:val="en-US" w:eastAsia="zh-CN"/>
              </w:rPr>
              <w:t>，</w:t>
            </w:r>
            <w:r>
              <w:rPr>
                <w:rFonts w:hint="default" w:ascii="Times New Roman" w:hAnsi="Times New Roman" w:cs="Times New Roman"/>
                <w:color w:val="000000"/>
                <w:sz w:val="24"/>
                <w:highlight w:val="none"/>
                <w:u w:val="none"/>
                <w:lang w:val="en-US" w:eastAsia="zh-CN"/>
              </w:rPr>
              <w:t>达到水泥稳定土成品状态结束。搅拌</w:t>
            </w:r>
            <w:r>
              <w:rPr>
                <w:rFonts w:hint="eastAsia" w:cs="Times New Roman"/>
                <w:color w:val="000000"/>
                <w:sz w:val="24"/>
                <w:highlight w:val="none"/>
                <w:u w:val="none"/>
                <w:lang w:val="en-US" w:eastAsia="zh-CN"/>
              </w:rPr>
              <w:t>过程中会产生颗粒物G3和</w:t>
            </w:r>
            <w:r>
              <w:rPr>
                <w:rFonts w:hint="default" w:ascii="Times New Roman" w:hAnsi="Times New Roman" w:cs="Times New Roman"/>
                <w:color w:val="000000"/>
                <w:sz w:val="24"/>
                <w:highlight w:val="none"/>
                <w:u w:val="none"/>
                <w:lang w:val="en-US" w:eastAsia="zh-CN"/>
              </w:rPr>
              <w:t>设备运行噪声N</w:t>
            </w:r>
            <w:r>
              <w:rPr>
                <w:rFonts w:hint="eastAsia" w:cs="Times New Roman"/>
                <w:color w:val="000000"/>
                <w:sz w:val="24"/>
                <w:highlight w:val="none"/>
                <w:u w:val="none"/>
                <w:lang w:val="en-US" w:eastAsia="zh-CN"/>
              </w:rPr>
              <w:t>4</w:t>
            </w:r>
            <w:r>
              <w:rPr>
                <w:rFonts w:hint="default" w:ascii="Times New Roman" w:hAnsi="Times New Roman" w:cs="Times New Roman"/>
                <w:color w:val="000000"/>
                <w:sz w:val="24"/>
                <w:highlight w:val="none"/>
                <w:u w:val="none"/>
                <w:lang w:val="en-US" w:eastAsia="zh-CN"/>
              </w:rPr>
              <w:t>。</w:t>
            </w:r>
          </w:p>
          <w:p w14:paraId="700E56C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default" w:ascii="Times New Roman" w:hAnsi="Times New Roman" w:eastAsia="宋体" w:cs="Times New Roman"/>
                <w:color w:val="000000"/>
                <w:sz w:val="24"/>
                <w:highlight w:val="none"/>
                <w:u w:val="none"/>
                <w:lang w:val="en-US" w:eastAsia="zh-CN"/>
              </w:rPr>
            </w:pPr>
            <w:r>
              <w:rPr>
                <w:rFonts w:hint="eastAsia" w:cs="Times New Roman"/>
                <w:color w:val="000000"/>
                <w:sz w:val="24"/>
                <w:highlight w:val="none"/>
                <w:u w:val="none"/>
                <w:lang w:val="en-US" w:eastAsia="zh-CN"/>
              </w:rPr>
              <w:t>⑤出料外运</w:t>
            </w:r>
          </w:p>
          <w:p w14:paraId="51319EE7">
            <w:pPr>
              <w:keepNext w:val="0"/>
              <w:keepLines w:val="0"/>
              <w:pageBreakBefore w:val="0"/>
              <w:widowControl w:val="0"/>
              <w:kinsoku/>
              <w:wordWrap/>
              <w:overflowPunct/>
              <w:topLinePunct w:val="0"/>
              <w:autoSpaceDE/>
              <w:autoSpaceDN/>
              <w:bidi w:val="0"/>
              <w:adjustRightInd/>
              <w:snapToGrid/>
              <w:spacing w:line="500" w:lineRule="exact"/>
              <w:ind w:firstLine="480"/>
              <w:jc w:val="left"/>
              <w:textAlignment w:val="auto"/>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搅拌均匀的成品</w:t>
            </w:r>
            <w:r>
              <w:rPr>
                <w:rFonts w:hint="default" w:ascii="Times New Roman" w:hAnsi="Times New Roman" w:cs="Times New Roman"/>
                <w:sz w:val="24"/>
                <w:highlight w:val="none"/>
                <w:lang w:val="en-US" w:eastAsia="zh-CN"/>
              </w:rPr>
              <w:t>水泥稳定土</w:t>
            </w:r>
            <w:r>
              <w:rPr>
                <w:rFonts w:hint="eastAsia" w:cs="Times New Roman"/>
                <w:sz w:val="24"/>
                <w:highlight w:val="none"/>
                <w:lang w:val="en-US" w:eastAsia="zh-CN"/>
              </w:rPr>
              <w:t>暂存在出料斗内，由出料斗直接下料，由搅拌车接料后直接外运</w:t>
            </w:r>
            <w:r>
              <w:rPr>
                <w:rFonts w:hint="default" w:ascii="Times New Roman" w:hAnsi="Times New Roman" w:cs="Times New Roman"/>
                <w:sz w:val="24"/>
                <w:highlight w:val="none"/>
                <w:lang w:val="en-US" w:eastAsia="zh-CN"/>
              </w:rPr>
              <w:t>进行外售</w:t>
            </w:r>
            <w:r>
              <w:rPr>
                <w:rFonts w:hint="eastAsia" w:cs="Times New Roman"/>
                <w:sz w:val="24"/>
                <w:highlight w:val="none"/>
                <w:lang w:val="en-US" w:eastAsia="zh-CN"/>
              </w:rPr>
              <w:t>，</w:t>
            </w:r>
            <w:r>
              <w:rPr>
                <w:rFonts w:hint="default" w:ascii="Times New Roman" w:hAnsi="Times New Roman" w:cs="Times New Roman"/>
                <w:sz w:val="24"/>
                <w:highlight w:val="none"/>
                <w:lang w:val="en-US" w:eastAsia="zh-CN"/>
              </w:rPr>
              <w:t>本工序</w:t>
            </w:r>
            <w:r>
              <w:rPr>
                <w:rFonts w:hint="eastAsia" w:cs="Times New Roman"/>
                <w:sz w:val="24"/>
                <w:highlight w:val="none"/>
                <w:lang w:val="en-US" w:eastAsia="zh-CN"/>
              </w:rPr>
              <w:t>会</w:t>
            </w:r>
            <w:r>
              <w:rPr>
                <w:rFonts w:hint="default" w:ascii="Times New Roman" w:hAnsi="Times New Roman" w:cs="Times New Roman"/>
                <w:sz w:val="24"/>
                <w:highlight w:val="none"/>
                <w:lang w:val="en-US" w:eastAsia="zh-CN"/>
              </w:rPr>
              <w:t>产生</w:t>
            </w:r>
            <w:r>
              <w:rPr>
                <w:rFonts w:hint="default" w:ascii="Times New Roman" w:hAnsi="Times New Roman" w:cs="Times New Roman"/>
                <w:color w:val="000000"/>
                <w:sz w:val="24"/>
                <w:highlight w:val="none"/>
                <w:u w:val="none"/>
                <w:lang w:val="en-US" w:eastAsia="zh-CN"/>
              </w:rPr>
              <w:t>设备运行噪声N</w:t>
            </w:r>
            <w:r>
              <w:rPr>
                <w:rFonts w:hint="eastAsia" w:cs="Times New Roman"/>
                <w:color w:val="000000"/>
                <w:sz w:val="24"/>
                <w:highlight w:val="none"/>
                <w:u w:val="none"/>
                <w:lang w:val="en-US" w:eastAsia="zh-CN"/>
              </w:rPr>
              <w:t>5。</w:t>
            </w:r>
          </w:p>
          <w:p w14:paraId="4895BFBF">
            <w:pPr>
              <w:spacing w:line="240" w:lineRule="auto"/>
              <w:ind w:firstLine="0"/>
              <w:jc w:val="center"/>
              <w:rPr>
                <w:rFonts w:hint="eastAsia" w:ascii="Times New Roman" w:hAnsi="Times New Roman" w:eastAsia="宋体" w:cs="Times New Roman"/>
                <w:sz w:val="24"/>
                <w:highlight w:val="none"/>
                <w:lang w:eastAsia="zh-CN"/>
              </w:rPr>
            </w:pPr>
            <w:r>
              <w:drawing>
                <wp:inline distT="0" distB="0" distL="114300" distR="114300">
                  <wp:extent cx="3131820" cy="2279015"/>
                  <wp:effectExtent l="0" t="0" r="7620" b="6985"/>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20"/>
                          <a:stretch>
                            <a:fillRect/>
                          </a:stretch>
                        </pic:blipFill>
                        <pic:spPr>
                          <a:xfrm>
                            <a:off x="0" y="0"/>
                            <a:ext cx="3131820" cy="2279015"/>
                          </a:xfrm>
                          <a:prstGeom prst="rect">
                            <a:avLst/>
                          </a:prstGeom>
                          <a:noFill/>
                          <a:ln>
                            <a:noFill/>
                          </a:ln>
                        </pic:spPr>
                      </pic:pic>
                    </a:graphicData>
                  </a:graphic>
                </wp:inline>
              </w:drawing>
            </w:r>
          </w:p>
          <w:p w14:paraId="4AC980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sz w:val="24"/>
                <w:highlight w:val="none"/>
              </w:rPr>
            </w:pPr>
            <w:r>
              <w:rPr>
                <w:rFonts w:hint="default" w:ascii="Times New Roman" w:hAnsi="Times New Roman" w:eastAsia="黑体" w:cs="Times New Roman"/>
                <w:sz w:val="24"/>
                <w:highlight w:val="none"/>
              </w:rPr>
              <w:t>图</w:t>
            </w:r>
            <w:r>
              <w:rPr>
                <w:rFonts w:hint="eastAsia" w:eastAsia="黑体" w:cs="Times New Roman"/>
                <w:sz w:val="24"/>
                <w:highlight w:val="none"/>
                <w:lang w:val="en-US" w:eastAsia="zh-CN"/>
              </w:rPr>
              <w:t>5</w:t>
            </w:r>
            <w:r>
              <w:rPr>
                <w:rFonts w:hint="default" w:ascii="Times New Roman" w:hAnsi="Times New Roman" w:eastAsia="黑体" w:cs="Times New Roman"/>
                <w:sz w:val="24"/>
                <w:highlight w:val="none"/>
              </w:rPr>
              <w:t xml:space="preserve">  </w:t>
            </w:r>
            <w:r>
              <w:rPr>
                <w:rFonts w:hint="default" w:ascii="Times New Roman" w:hAnsi="Times New Roman" w:eastAsia="黑体" w:cs="Times New Roman"/>
                <w:sz w:val="24"/>
                <w:highlight w:val="none"/>
                <w:lang w:val="en-US" w:eastAsia="zh-CN"/>
              </w:rPr>
              <w:t>水泥稳定土</w:t>
            </w:r>
            <w:r>
              <w:rPr>
                <w:rFonts w:hint="default" w:ascii="Times New Roman" w:hAnsi="Times New Roman" w:eastAsia="黑体" w:cs="Times New Roman"/>
                <w:sz w:val="24"/>
                <w:highlight w:val="none"/>
              </w:rPr>
              <w:t>生产线工艺流程</w:t>
            </w:r>
            <w:r>
              <w:rPr>
                <w:rFonts w:hint="eastAsia" w:eastAsia="黑体" w:cs="Times New Roman"/>
                <w:sz w:val="24"/>
                <w:highlight w:val="none"/>
                <w:lang w:val="en-US" w:eastAsia="zh-CN"/>
              </w:rPr>
              <w:t>及产污环节示意</w:t>
            </w:r>
            <w:r>
              <w:rPr>
                <w:rFonts w:hint="default" w:ascii="Times New Roman" w:hAnsi="Times New Roman" w:eastAsia="黑体" w:cs="Times New Roman"/>
                <w:sz w:val="24"/>
                <w:highlight w:val="none"/>
              </w:rPr>
              <w:t>图</w:t>
            </w:r>
          </w:p>
          <w:p w14:paraId="57D1094E">
            <w:pPr>
              <w:pStyle w:val="60"/>
              <w:tabs>
                <w:tab w:val="left" w:pos="4063"/>
              </w:tabs>
              <w:spacing w:line="240" w:lineRule="auto"/>
              <w:ind w:firstLine="0"/>
              <w:rPr>
                <w:rFonts w:hint="eastAsia"/>
                <w:highlight w:val="none"/>
                <w:lang w:eastAsia="zh-CN"/>
              </w:rPr>
            </w:pPr>
            <w:r>
              <w:rPr>
                <w:rFonts w:hint="default" w:ascii="Times New Roman" w:hAnsi="Times New Roman" w:cs="Times New Roman"/>
                <w:sz w:val="24"/>
                <w:highlight w:val="none"/>
                <w:lang w:val="en-US"/>
              </w:rPr>
              <w:t>注：G：废气；W：废水；N：噪声；S：固废</w:t>
            </w:r>
          </w:p>
          <w:p w14:paraId="0FD8D075">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b/>
                <w:bCs/>
                <w:highlight w:val="none"/>
              </w:rPr>
            </w:pPr>
            <w:r>
              <w:rPr>
                <w:rFonts w:hint="eastAsia" w:hAnsi="Times New Roman" w:cs="Times New Roman"/>
                <w:b/>
                <w:bCs/>
                <w:highlight w:val="none"/>
                <w:lang w:val="en-US" w:eastAsia="zh-CN"/>
              </w:rPr>
              <w:t>1.4</w:t>
            </w:r>
            <w:r>
              <w:rPr>
                <w:rFonts w:hint="default" w:ascii="Times New Roman" w:hAnsi="Times New Roman" w:cs="Times New Roman"/>
                <w:b/>
                <w:bCs/>
                <w:highlight w:val="none"/>
                <w:lang w:val="en-US" w:eastAsia="zh-CN"/>
              </w:rPr>
              <w:t>运营期</w:t>
            </w:r>
            <w:r>
              <w:rPr>
                <w:rFonts w:hint="default" w:ascii="Times New Roman" w:hAnsi="Times New Roman" w:cs="Times New Roman"/>
                <w:b/>
                <w:bCs/>
                <w:highlight w:val="none"/>
              </w:rPr>
              <w:t>产污环节汇总</w:t>
            </w:r>
          </w:p>
          <w:p w14:paraId="78276E3A">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本项目生产</w:t>
            </w:r>
            <w:r>
              <w:rPr>
                <w:rFonts w:hint="default" w:ascii="Times New Roman" w:hAnsi="Times New Roman" w:cs="Times New Roman"/>
                <w:sz w:val="24"/>
                <w:highlight w:val="none"/>
                <w:lang w:eastAsia="zh-CN"/>
              </w:rPr>
              <w:t>及运营</w:t>
            </w:r>
            <w:r>
              <w:rPr>
                <w:rFonts w:hint="default" w:ascii="Times New Roman" w:hAnsi="Times New Roman" w:cs="Times New Roman"/>
                <w:sz w:val="24"/>
                <w:highlight w:val="none"/>
              </w:rPr>
              <w:t>过程中产污环节见表</w:t>
            </w:r>
            <w:r>
              <w:rPr>
                <w:rFonts w:hint="eastAsia" w:cs="Times New Roman"/>
                <w:sz w:val="24"/>
                <w:highlight w:val="none"/>
                <w:lang w:val="en-US" w:eastAsia="zh-CN"/>
              </w:rPr>
              <w:t>2-6</w:t>
            </w:r>
            <w:r>
              <w:rPr>
                <w:rFonts w:hint="default" w:ascii="Times New Roman" w:hAnsi="Times New Roman" w:cs="Times New Roman"/>
                <w:sz w:val="24"/>
                <w:highlight w:val="none"/>
              </w:rPr>
              <w:t>。</w:t>
            </w:r>
          </w:p>
          <w:p w14:paraId="3E23BC47">
            <w:pPr>
              <w:keepNext w:val="0"/>
              <w:keepLines w:val="0"/>
              <w:pageBreakBefore w:val="0"/>
              <w:widowControl w:val="0"/>
              <w:kinsoku/>
              <w:wordWrap/>
              <w:overflowPunct/>
              <w:topLinePunct w:val="0"/>
              <w:autoSpaceDE/>
              <w:autoSpaceDN/>
              <w:bidi w:val="0"/>
              <w:adjustRightInd/>
              <w:snapToGrid/>
              <w:spacing w:line="500" w:lineRule="exact"/>
              <w:ind w:firstLine="480"/>
              <w:jc w:val="center"/>
              <w:textAlignment w:val="auto"/>
              <w:rPr>
                <w:rFonts w:hint="default" w:ascii="Times New Roman" w:hAnsi="Times New Roman" w:eastAsia="黑体" w:cs="Times New Roman"/>
                <w:sz w:val="24"/>
                <w:highlight w:val="none"/>
              </w:rPr>
            </w:pPr>
            <w:r>
              <w:rPr>
                <w:rFonts w:hint="default" w:ascii="Times New Roman" w:hAnsi="Times New Roman" w:eastAsia="黑体" w:cs="Times New Roman"/>
                <w:sz w:val="24"/>
                <w:highlight w:val="none"/>
              </w:rPr>
              <w:t>表</w:t>
            </w:r>
            <w:r>
              <w:rPr>
                <w:rFonts w:hint="eastAsia" w:eastAsia="黑体" w:cs="Times New Roman"/>
                <w:sz w:val="24"/>
                <w:highlight w:val="none"/>
                <w:lang w:val="en-US" w:eastAsia="zh-CN"/>
              </w:rPr>
              <w:t>2-6</w:t>
            </w:r>
            <w:r>
              <w:rPr>
                <w:rFonts w:hint="default" w:ascii="Times New Roman" w:hAnsi="Times New Roman" w:eastAsia="黑体" w:cs="Times New Roman"/>
                <w:sz w:val="24"/>
                <w:highlight w:val="none"/>
              </w:rPr>
              <w:t xml:space="preserve">  本项目生产</w:t>
            </w:r>
            <w:r>
              <w:rPr>
                <w:rFonts w:hint="default" w:ascii="Times New Roman" w:hAnsi="Times New Roman" w:eastAsia="黑体" w:cs="Times New Roman"/>
                <w:sz w:val="24"/>
                <w:highlight w:val="none"/>
                <w:lang w:eastAsia="zh-CN"/>
              </w:rPr>
              <w:t>及运营</w:t>
            </w:r>
            <w:r>
              <w:rPr>
                <w:rFonts w:hint="default" w:ascii="Times New Roman" w:hAnsi="Times New Roman" w:eastAsia="黑体" w:cs="Times New Roman"/>
                <w:sz w:val="24"/>
                <w:highlight w:val="none"/>
              </w:rPr>
              <w:t>过程产污环节一览表</w:t>
            </w:r>
          </w:p>
          <w:tbl>
            <w:tblPr>
              <w:tblStyle w:val="23"/>
              <w:tblW w:w="5056"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666"/>
              <w:gridCol w:w="1176"/>
              <w:gridCol w:w="852"/>
              <w:gridCol w:w="5403"/>
            </w:tblGrid>
            <w:tr w14:paraId="38F3494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51" w:hRule="atLeast"/>
                <w:jc w:val="center"/>
              </w:trPr>
              <w:tc>
                <w:tcPr>
                  <w:tcW w:w="411" w:type="pct"/>
                  <w:tcBorders>
                    <w:tl2br w:val="nil"/>
                    <w:tr2bl w:val="nil"/>
                  </w:tcBorders>
                  <w:noWrap w:val="0"/>
                  <w:vAlign w:val="center"/>
                </w:tcPr>
                <w:p w14:paraId="0538FFF7">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类别</w:t>
                  </w:r>
                </w:p>
              </w:tc>
              <w:tc>
                <w:tcPr>
                  <w:tcW w:w="726" w:type="pct"/>
                  <w:tcBorders>
                    <w:tl2br w:val="nil"/>
                    <w:tr2bl w:val="nil"/>
                  </w:tcBorders>
                  <w:noWrap w:val="0"/>
                  <w:vAlign w:val="center"/>
                </w:tcPr>
                <w:p w14:paraId="441286DC">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b/>
                      <w:bCs/>
                      <w:color w:val="000000"/>
                      <w:szCs w:val="21"/>
                      <w:highlight w:val="none"/>
                      <w:lang w:val="en-US" w:eastAsia="zh-CN"/>
                    </w:rPr>
                  </w:pPr>
                  <w:r>
                    <w:rPr>
                      <w:rFonts w:hint="default" w:ascii="Times New Roman" w:hAnsi="Times New Roman" w:cs="Times New Roman"/>
                      <w:b/>
                      <w:bCs/>
                      <w:color w:val="000000"/>
                      <w:szCs w:val="21"/>
                      <w:highlight w:val="none"/>
                      <w:lang w:val="en-US" w:eastAsia="zh-CN"/>
                    </w:rPr>
                    <w:t>产污环节</w:t>
                  </w:r>
                </w:p>
              </w:tc>
              <w:tc>
                <w:tcPr>
                  <w:tcW w:w="526" w:type="pct"/>
                  <w:tcBorders>
                    <w:tl2br w:val="nil"/>
                    <w:tr2bl w:val="nil"/>
                  </w:tcBorders>
                  <w:noWrap w:val="0"/>
                  <w:vAlign w:val="center"/>
                </w:tcPr>
                <w:p w14:paraId="4DFE0DCA">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污染物</w:t>
                  </w:r>
                </w:p>
              </w:tc>
              <w:tc>
                <w:tcPr>
                  <w:tcW w:w="3336" w:type="pct"/>
                  <w:tcBorders>
                    <w:tl2br w:val="nil"/>
                    <w:tr2bl w:val="nil"/>
                  </w:tcBorders>
                  <w:noWrap w:val="0"/>
                  <w:vAlign w:val="center"/>
                </w:tcPr>
                <w:p w14:paraId="1F86E61A">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防治措施</w:t>
                  </w:r>
                </w:p>
              </w:tc>
            </w:tr>
            <w:tr w14:paraId="2ED48D7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944" w:hRule="atLeast"/>
                <w:jc w:val="center"/>
              </w:trPr>
              <w:tc>
                <w:tcPr>
                  <w:tcW w:w="411" w:type="pct"/>
                  <w:vMerge w:val="restart"/>
                  <w:tcBorders>
                    <w:tl2br w:val="nil"/>
                    <w:tr2bl w:val="nil"/>
                  </w:tcBorders>
                  <w:noWrap w:val="0"/>
                  <w:vAlign w:val="center"/>
                </w:tcPr>
                <w:p w14:paraId="3F9950A3">
                  <w:pPr>
                    <w:keepNext w:val="0"/>
                    <w:keepLines w:val="0"/>
                    <w:pageBreakBefore w:val="0"/>
                    <w:widowControl w:val="0"/>
                    <w:kinsoku/>
                    <w:wordWrap w:val="0"/>
                    <w:overflowPunct/>
                    <w:topLinePunct w:val="0"/>
                    <w:autoSpaceDE/>
                    <w:autoSpaceDN/>
                    <w:bidi w:val="0"/>
                    <w:adjustRightInd/>
                    <w:snapToGrid/>
                    <w:jc w:val="center"/>
                    <w:textAlignment w:val="auto"/>
                    <w:rPr>
                      <w:rFonts w:hint="eastAsia"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砂石生产废气</w:t>
                  </w:r>
                  <w:r>
                    <w:rPr>
                      <w:rFonts w:hint="default" w:cs="Times New Roman"/>
                      <w:color w:val="000000"/>
                      <w:szCs w:val="21"/>
                      <w:highlight w:val="none"/>
                      <w:lang w:eastAsia="zh-CN"/>
                    </w:rPr>
                    <w:t>袋式</w:t>
                  </w:r>
                </w:p>
              </w:tc>
              <w:tc>
                <w:tcPr>
                  <w:tcW w:w="726" w:type="pct"/>
                  <w:tcBorders>
                    <w:tl2br w:val="nil"/>
                    <w:tr2bl w:val="nil"/>
                  </w:tcBorders>
                  <w:noWrap w:val="0"/>
                  <w:vAlign w:val="center"/>
                </w:tcPr>
                <w:p w14:paraId="70A8F241">
                  <w:pPr>
                    <w:keepNext w:val="0"/>
                    <w:keepLines w:val="0"/>
                    <w:pageBreakBefore w:val="0"/>
                    <w:widowControl w:val="0"/>
                    <w:kinsoku/>
                    <w:overflowPunct/>
                    <w:topLinePunct w:val="0"/>
                    <w:autoSpaceDE/>
                    <w:autoSpaceDN/>
                    <w:bidi w:val="0"/>
                    <w:adjustRightInd w:val="0"/>
                    <w:snapToGrid w:val="0"/>
                    <w:jc w:val="center"/>
                    <w:textAlignment w:val="auto"/>
                    <w:rPr>
                      <w:rFonts w:hint="eastAsia" w:cs="Times New Roman"/>
                      <w:color w:val="000000"/>
                      <w:szCs w:val="21"/>
                      <w:highlight w:val="none"/>
                      <w:lang w:val="en-US" w:eastAsia="zh-CN"/>
                    </w:rPr>
                  </w:pPr>
                  <w:r>
                    <w:rPr>
                      <w:rFonts w:hint="eastAsia" w:cs="Times New Roman"/>
                      <w:color w:val="000000"/>
                      <w:szCs w:val="21"/>
                      <w:highlight w:val="none"/>
                      <w:lang w:val="en-US" w:eastAsia="zh-CN"/>
                    </w:rPr>
                    <w:t>喂料机</w:t>
                  </w:r>
                </w:p>
                <w:p w14:paraId="7EB6534E">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cs="Times New Roman"/>
                      <w:color w:val="000000"/>
                      <w:szCs w:val="21"/>
                      <w:highlight w:val="none"/>
                      <w:lang w:val="en-US" w:eastAsia="zh-CN"/>
                    </w:rPr>
                  </w:pPr>
                  <w:r>
                    <w:rPr>
                      <w:rFonts w:hint="eastAsia" w:cs="Times New Roman"/>
                      <w:color w:val="000000"/>
                      <w:szCs w:val="21"/>
                      <w:highlight w:val="none"/>
                      <w:lang w:val="en-US" w:eastAsia="zh-CN"/>
                    </w:rPr>
                    <w:t>给料工序</w:t>
                  </w:r>
                </w:p>
              </w:tc>
              <w:tc>
                <w:tcPr>
                  <w:tcW w:w="526" w:type="pct"/>
                  <w:tcBorders>
                    <w:tl2br w:val="nil"/>
                    <w:tr2bl w:val="nil"/>
                  </w:tcBorders>
                  <w:noWrap w:val="0"/>
                  <w:vAlign w:val="center"/>
                </w:tcPr>
                <w:p w14:paraId="79AC36F3">
                  <w:pPr>
                    <w:keepNext w:val="0"/>
                    <w:keepLines w:val="0"/>
                    <w:pageBreakBefore w:val="0"/>
                    <w:widowControl w:val="0"/>
                    <w:kinsoku/>
                    <w:overflowPunct/>
                    <w:topLinePunct w:val="0"/>
                    <w:autoSpaceDE/>
                    <w:autoSpaceDN/>
                    <w:bidi w:val="0"/>
                    <w:jc w:val="center"/>
                    <w:textAlignment w:val="auto"/>
                    <w:rPr>
                      <w:rFonts w:hint="eastAsia"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颗粒物</w:t>
                  </w:r>
                </w:p>
              </w:tc>
              <w:tc>
                <w:tcPr>
                  <w:tcW w:w="3336" w:type="pct"/>
                  <w:tcBorders>
                    <w:tl2br w:val="nil"/>
                    <w:tr2bl w:val="nil"/>
                  </w:tcBorders>
                  <w:noWrap w:val="0"/>
                  <w:vAlign w:val="center"/>
                </w:tcPr>
                <w:p w14:paraId="31A0A1EC">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lang w:val="en-US" w:eastAsia="zh-CN"/>
                    </w:rPr>
                  </w:pPr>
                  <w:r>
                    <w:rPr>
                      <w:rFonts w:hint="eastAsia" w:cs="Times New Roman"/>
                      <w:color w:val="000000"/>
                      <w:szCs w:val="21"/>
                      <w:highlight w:val="none"/>
                      <w:lang w:val="en-US" w:eastAsia="zh-CN"/>
                    </w:rPr>
                    <w:t>喂料机产尘点处设置集气罩收集废气，收集到的颗粒物经过袋式除尘器处理（TA001），再</w:t>
                  </w:r>
                  <w:r>
                    <w:rPr>
                      <w:rFonts w:hint="default" w:ascii="Times New Roman" w:hAnsi="Times New Roman" w:cs="Times New Roman"/>
                      <w:color w:val="000000"/>
                      <w:szCs w:val="21"/>
                      <w:highlight w:val="none"/>
                      <w:lang w:val="en-US" w:eastAsia="zh-CN"/>
                    </w:rPr>
                    <w:t>通过15m高的排气筒达标排放</w:t>
                  </w:r>
                  <w:r>
                    <w:rPr>
                      <w:rFonts w:hint="default" w:ascii="Times New Roman" w:hAnsi="Times New Roman" w:cs="Times New Roman"/>
                      <w:color w:val="000000"/>
                      <w:szCs w:val="21"/>
                      <w:highlight w:val="none"/>
                    </w:rPr>
                    <w:t>（DA00</w:t>
                  </w:r>
                  <w:r>
                    <w:rPr>
                      <w:rFonts w:hint="default" w:ascii="Times New Roman" w:hAnsi="Times New Roman" w:cs="Times New Roman"/>
                      <w:color w:val="000000"/>
                      <w:szCs w:val="21"/>
                      <w:highlight w:val="none"/>
                      <w:lang w:val="en-US" w:eastAsia="zh-CN"/>
                    </w:rPr>
                    <w:t>1</w:t>
                  </w:r>
                  <w:r>
                    <w:rPr>
                      <w:rFonts w:hint="default" w:ascii="Times New Roman" w:hAnsi="Times New Roman" w:cs="Times New Roman"/>
                      <w:color w:val="000000"/>
                      <w:szCs w:val="21"/>
                      <w:highlight w:val="none"/>
                    </w:rPr>
                    <w:t>）</w:t>
                  </w:r>
                </w:p>
              </w:tc>
            </w:tr>
            <w:tr w14:paraId="278B4C4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788" w:hRule="atLeast"/>
                <w:jc w:val="center"/>
              </w:trPr>
              <w:tc>
                <w:tcPr>
                  <w:tcW w:w="411" w:type="pct"/>
                  <w:vMerge w:val="continue"/>
                  <w:tcBorders>
                    <w:tl2br w:val="nil"/>
                    <w:tr2bl w:val="nil"/>
                  </w:tcBorders>
                  <w:noWrap w:val="0"/>
                  <w:vAlign w:val="center"/>
                </w:tcPr>
                <w:p w14:paraId="4B2AEC66">
                  <w:pPr>
                    <w:keepNext w:val="0"/>
                    <w:keepLines w:val="0"/>
                    <w:pageBreakBefore w:val="0"/>
                    <w:widowControl w:val="0"/>
                    <w:kinsoku/>
                    <w:overflowPunct/>
                    <w:topLinePunct w:val="0"/>
                    <w:autoSpaceDE/>
                    <w:autoSpaceDN/>
                    <w:bidi w:val="0"/>
                    <w:jc w:val="center"/>
                    <w:textAlignment w:val="auto"/>
                    <w:rPr>
                      <w:rFonts w:hint="eastAsia" w:ascii="Times New Roman" w:hAnsi="Times New Roman" w:eastAsia="宋体" w:cs="Times New Roman"/>
                      <w:color w:val="000000"/>
                      <w:szCs w:val="21"/>
                      <w:highlight w:val="none"/>
                      <w:lang w:val="en-US" w:eastAsia="zh-CN"/>
                    </w:rPr>
                  </w:pPr>
                </w:p>
              </w:tc>
              <w:tc>
                <w:tcPr>
                  <w:tcW w:w="726" w:type="pct"/>
                  <w:tcBorders>
                    <w:tl2br w:val="nil"/>
                    <w:tr2bl w:val="nil"/>
                  </w:tcBorders>
                  <w:noWrap w:val="0"/>
                  <w:vAlign w:val="center"/>
                </w:tcPr>
                <w:p w14:paraId="6092B2C1">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颚</w:t>
                  </w:r>
                  <w:r>
                    <w:rPr>
                      <w:rFonts w:hint="default" w:ascii="Times New Roman" w:hAnsi="Times New Roman" w:cs="Times New Roman"/>
                      <w:color w:val="000000"/>
                      <w:szCs w:val="21"/>
                      <w:highlight w:val="none"/>
                      <w:lang w:val="en-US" w:eastAsia="zh-CN"/>
                    </w:rPr>
                    <w:t>破工序</w:t>
                  </w:r>
                </w:p>
              </w:tc>
              <w:tc>
                <w:tcPr>
                  <w:tcW w:w="526" w:type="pct"/>
                  <w:tcBorders>
                    <w:tl2br w:val="nil"/>
                    <w:tr2bl w:val="nil"/>
                  </w:tcBorders>
                  <w:noWrap w:val="0"/>
                  <w:vAlign w:val="center"/>
                </w:tcPr>
                <w:p w14:paraId="54735C95">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颗粒物</w:t>
                  </w:r>
                </w:p>
              </w:tc>
              <w:tc>
                <w:tcPr>
                  <w:tcW w:w="3336" w:type="pct"/>
                  <w:tcBorders>
                    <w:tl2br w:val="nil"/>
                    <w:tr2bl w:val="nil"/>
                  </w:tcBorders>
                  <w:noWrap w:val="0"/>
                  <w:vAlign w:val="center"/>
                </w:tcPr>
                <w:p w14:paraId="42792075">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szCs w:val="21"/>
                      <w:highlight w:val="none"/>
                      <w:lang w:val="en-US" w:eastAsia="zh-CN"/>
                    </w:rPr>
                    <w:t>在</w:t>
                  </w:r>
                  <w:r>
                    <w:rPr>
                      <w:rFonts w:hint="eastAsia" w:cs="Times New Roman"/>
                      <w:color w:val="000000"/>
                      <w:szCs w:val="21"/>
                      <w:highlight w:val="none"/>
                      <w:lang w:val="en-US" w:eastAsia="zh-CN"/>
                    </w:rPr>
                    <w:t>颚破</w:t>
                  </w:r>
                  <w:r>
                    <w:rPr>
                      <w:rFonts w:hint="default" w:ascii="Times New Roman" w:hAnsi="Times New Roman" w:cs="Times New Roman"/>
                      <w:color w:val="000000"/>
                      <w:szCs w:val="21"/>
                      <w:highlight w:val="none"/>
                      <w:lang w:val="en-US" w:eastAsia="zh-CN"/>
                    </w:rPr>
                    <w:t>机</w:t>
                  </w:r>
                  <w:r>
                    <w:rPr>
                      <w:rFonts w:hint="eastAsia" w:cs="Times New Roman"/>
                      <w:color w:val="000000"/>
                      <w:szCs w:val="21"/>
                      <w:highlight w:val="none"/>
                      <w:lang w:val="en-US" w:eastAsia="zh-CN"/>
                    </w:rPr>
                    <w:t>产尘点处</w:t>
                  </w:r>
                  <w:r>
                    <w:rPr>
                      <w:rFonts w:hint="default" w:ascii="Times New Roman" w:hAnsi="Times New Roman" w:cs="Times New Roman"/>
                      <w:color w:val="000000"/>
                      <w:szCs w:val="21"/>
                      <w:highlight w:val="none"/>
                      <w:lang w:val="en-US" w:eastAsia="zh-CN"/>
                    </w:rPr>
                    <w:t>设置集气罩，收集到废气经袋式除尘器处理</w:t>
                  </w:r>
                  <w:r>
                    <w:rPr>
                      <w:rFonts w:hint="eastAsia" w:cs="Times New Roman"/>
                      <w:color w:val="000000"/>
                      <w:szCs w:val="21"/>
                      <w:highlight w:val="none"/>
                      <w:lang w:val="en-US" w:eastAsia="zh-CN"/>
                    </w:rPr>
                    <w:t>（TA001），再</w:t>
                  </w:r>
                  <w:r>
                    <w:rPr>
                      <w:rFonts w:hint="default" w:ascii="Times New Roman" w:hAnsi="Times New Roman" w:cs="Times New Roman"/>
                      <w:color w:val="000000"/>
                      <w:szCs w:val="21"/>
                      <w:highlight w:val="none"/>
                      <w:lang w:val="en-US" w:eastAsia="zh-CN"/>
                    </w:rPr>
                    <w:t>通过15m高的排气筒达标排放</w:t>
                  </w:r>
                  <w:r>
                    <w:rPr>
                      <w:rFonts w:hint="default" w:ascii="Times New Roman" w:hAnsi="Times New Roman" w:cs="Times New Roman"/>
                      <w:color w:val="000000"/>
                      <w:szCs w:val="21"/>
                      <w:highlight w:val="none"/>
                    </w:rPr>
                    <w:t>（DA00</w:t>
                  </w:r>
                  <w:r>
                    <w:rPr>
                      <w:rFonts w:hint="default" w:ascii="Times New Roman" w:hAnsi="Times New Roman" w:cs="Times New Roman"/>
                      <w:color w:val="000000"/>
                      <w:szCs w:val="21"/>
                      <w:highlight w:val="none"/>
                      <w:lang w:val="en-US" w:eastAsia="zh-CN"/>
                    </w:rPr>
                    <w:t>1</w:t>
                  </w:r>
                  <w:r>
                    <w:rPr>
                      <w:rFonts w:hint="default" w:ascii="Times New Roman" w:hAnsi="Times New Roman" w:cs="Times New Roman"/>
                      <w:color w:val="000000"/>
                      <w:szCs w:val="21"/>
                      <w:highlight w:val="none"/>
                    </w:rPr>
                    <w:t>）</w:t>
                  </w:r>
                </w:p>
              </w:tc>
            </w:tr>
            <w:tr w14:paraId="011D86C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653" w:hRule="atLeast"/>
                <w:jc w:val="center"/>
              </w:trPr>
              <w:tc>
                <w:tcPr>
                  <w:tcW w:w="411" w:type="pct"/>
                  <w:vMerge w:val="restart"/>
                  <w:tcBorders>
                    <w:tl2br w:val="nil"/>
                    <w:tr2bl w:val="nil"/>
                  </w:tcBorders>
                  <w:noWrap w:val="0"/>
                  <w:vAlign w:val="center"/>
                </w:tcPr>
                <w:p w14:paraId="3C9BCA41">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cs="Times New Roman"/>
                      <w:color w:val="000000"/>
                      <w:szCs w:val="21"/>
                      <w:highlight w:val="none"/>
                      <w:lang w:eastAsia="zh-CN"/>
                    </w:rPr>
                    <w:t>水泥稳定土</w:t>
                  </w:r>
                  <w:r>
                    <w:rPr>
                      <w:rFonts w:hint="eastAsia" w:cs="Times New Roman"/>
                      <w:color w:val="000000"/>
                      <w:szCs w:val="21"/>
                      <w:highlight w:val="none"/>
                      <w:lang w:val="en-US" w:eastAsia="zh-CN"/>
                    </w:rPr>
                    <w:t>生产废气</w:t>
                  </w:r>
                </w:p>
              </w:tc>
              <w:tc>
                <w:tcPr>
                  <w:tcW w:w="726" w:type="pct"/>
                  <w:tcBorders>
                    <w:tl2br w:val="nil"/>
                    <w:tr2bl w:val="nil"/>
                  </w:tcBorders>
                  <w:noWrap w:val="0"/>
                  <w:vAlign w:val="center"/>
                </w:tcPr>
                <w:p w14:paraId="640F4E46">
                  <w:pPr>
                    <w:keepNext w:val="0"/>
                    <w:keepLines w:val="0"/>
                    <w:pageBreakBefore w:val="0"/>
                    <w:widowControl w:val="0"/>
                    <w:kinsoku/>
                    <w:overflowPunct/>
                    <w:topLinePunct w:val="0"/>
                    <w:autoSpaceDE/>
                    <w:autoSpaceDN/>
                    <w:bidi w:val="0"/>
                    <w:adjustRightInd w:val="0"/>
                    <w:snapToGrid w:val="0"/>
                    <w:jc w:val="center"/>
                    <w:textAlignment w:val="auto"/>
                    <w:rPr>
                      <w:rFonts w:hint="default" w:cs="Times New Roman"/>
                      <w:color w:val="000000"/>
                      <w:szCs w:val="21"/>
                      <w:highlight w:val="none"/>
                      <w:lang w:val="en-US" w:eastAsia="zh-CN"/>
                    </w:rPr>
                  </w:pPr>
                  <w:r>
                    <w:rPr>
                      <w:rFonts w:hint="eastAsia" w:cs="Times New Roman"/>
                      <w:color w:val="000000"/>
                      <w:szCs w:val="21"/>
                      <w:highlight w:val="none"/>
                      <w:lang w:val="en-US" w:eastAsia="zh-CN"/>
                    </w:rPr>
                    <w:t>水泥筒仓</w:t>
                  </w:r>
                </w:p>
              </w:tc>
              <w:tc>
                <w:tcPr>
                  <w:tcW w:w="526" w:type="pct"/>
                  <w:tcBorders>
                    <w:tl2br w:val="nil"/>
                    <w:tr2bl w:val="nil"/>
                  </w:tcBorders>
                  <w:noWrap w:val="0"/>
                  <w:vAlign w:val="center"/>
                </w:tcPr>
                <w:p w14:paraId="277706EC">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lang w:val="en-US" w:eastAsia="zh-CN"/>
                    </w:rPr>
                  </w:pPr>
                  <w:r>
                    <w:rPr>
                      <w:rFonts w:hint="eastAsia" w:cs="Times New Roman"/>
                      <w:color w:val="000000"/>
                      <w:szCs w:val="21"/>
                      <w:highlight w:val="none"/>
                      <w:lang w:val="en-US" w:eastAsia="zh-CN"/>
                    </w:rPr>
                    <w:t>颗粒物</w:t>
                  </w:r>
                </w:p>
              </w:tc>
              <w:tc>
                <w:tcPr>
                  <w:tcW w:w="3336" w:type="pct"/>
                  <w:tcBorders>
                    <w:tl2br w:val="nil"/>
                    <w:tr2bl w:val="nil"/>
                  </w:tcBorders>
                  <w:noWrap w:val="0"/>
                  <w:vAlign w:val="center"/>
                </w:tcPr>
                <w:p w14:paraId="71116C87">
                  <w:pPr>
                    <w:keepNext w:val="0"/>
                    <w:keepLines w:val="0"/>
                    <w:pageBreakBefore w:val="0"/>
                    <w:widowControl w:val="0"/>
                    <w:kinsoku/>
                    <w:overflowPunct/>
                    <w:topLinePunct w:val="0"/>
                    <w:autoSpaceDE/>
                    <w:autoSpaceDN/>
                    <w:bidi w:val="0"/>
                    <w:jc w:val="center"/>
                    <w:textAlignment w:val="auto"/>
                    <w:rPr>
                      <w:rFonts w:hint="default" w:cs="Times New Roman"/>
                      <w:color w:val="000000"/>
                      <w:szCs w:val="21"/>
                      <w:highlight w:val="none"/>
                      <w:lang w:val="en-US" w:eastAsia="zh-CN"/>
                    </w:rPr>
                  </w:pPr>
                  <w:r>
                    <w:rPr>
                      <w:rFonts w:hint="eastAsia" w:cs="Times New Roman"/>
                      <w:color w:val="000000"/>
                      <w:szCs w:val="21"/>
                      <w:highlight w:val="none"/>
                      <w:lang w:val="en-US" w:eastAsia="zh-CN"/>
                    </w:rPr>
                    <w:t>水泥入仓时2个水泥筒仓产生的颗粒物通过自带除尘器收集处理，再通过搅拌工序的排气筒达标排放</w:t>
                  </w:r>
                </w:p>
              </w:tc>
            </w:tr>
            <w:tr w14:paraId="0D3DC048">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932" w:hRule="atLeast"/>
                <w:jc w:val="center"/>
              </w:trPr>
              <w:tc>
                <w:tcPr>
                  <w:tcW w:w="411" w:type="pct"/>
                  <w:vMerge w:val="continue"/>
                  <w:tcBorders>
                    <w:tl2br w:val="nil"/>
                    <w:tr2bl w:val="nil"/>
                  </w:tcBorders>
                  <w:noWrap w:val="0"/>
                  <w:vAlign w:val="center"/>
                </w:tcPr>
                <w:p w14:paraId="4B92B9A6">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noWrap w:val="0"/>
                  <w:vAlign w:val="center"/>
                </w:tcPr>
                <w:p w14:paraId="16FD6ADF">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szCs w:val="21"/>
                      <w:highlight w:val="none"/>
                      <w:lang w:val="en-US" w:eastAsia="zh-CN"/>
                    </w:rPr>
                    <w:t>给料工序</w:t>
                  </w:r>
                  <w:r>
                    <w:rPr>
                      <w:rFonts w:hint="eastAsia" w:cs="Times New Roman"/>
                      <w:color w:val="000000"/>
                      <w:szCs w:val="21"/>
                      <w:highlight w:val="none"/>
                      <w:lang w:val="en-US" w:eastAsia="zh-CN"/>
                    </w:rPr>
                    <w:t>颗粒物</w:t>
                  </w:r>
                </w:p>
              </w:tc>
              <w:tc>
                <w:tcPr>
                  <w:tcW w:w="526" w:type="pct"/>
                  <w:tcBorders>
                    <w:tl2br w:val="nil"/>
                    <w:tr2bl w:val="nil"/>
                  </w:tcBorders>
                  <w:noWrap w:val="0"/>
                  <w:vAlign w:val="center"/>
                </w:tcPr>
                <w:p w14:paraId="1BE0E71D">
                  <w:pPr>
                    <w:keepNext w:val="0"/>
                    <w:keepLines w:val="0"/>
                    <w:pageBreakBefore w:val="0"/>
                    <w:widowControl w:val="0"/>
                    <w:kinsoku/>
                    <w:overflowPunct/>
                    <w:topLinePunct w:val="0"/>
                    <w:autoSpaceDE/>
                    <w:autoSpaceDN/>
                    <w:bidi w:val="0"/>
                    <w:jc w:val="center"/>
                    <w:textAlignment w:val="auto"/>
                    <w:rPr>
                      <w:rFonts w:hint="eastAsia"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颗粒物</w:t>
                  </w:r>
                </w:p>
              </w:tc>
              <w:tc>
                <w:tcPr>
                  <w:tcW w:w="3336" w:type="pct"/>
                  <w:tcBorders>
                    <w:tl2br w:val="nil"/>
                    <w:tr2bl w:val="nil"/>
                  </w:tcBorders>
                  <w:noWrap w:val="0"/>
                  <w:vAlign w:val="center"/>
                </w:tcPr>
                <w:p w14:paraId="7A4C0C7A">
                  <w:pPr>
                    <w:keepNext w:val="0"/>
                    <w:keepLines w:val="0"/>
                    <w:pageBreakBefore w:val="0"/>
                    <w:widowControl w:val="0"/>
                    <w:kinsoku/>
                    <w:wordWrap w:val="0"/>
                    <w:overflowPunct/>
                    <w:topLinePunct w:val="0"/>
                    <w:autoSpaceDE/>
                    <w:autoSpaceDN/>
                    <w:bidi w:val="0"/>
                    <w:adjustRightInd/>
                    <w:snapToGrid/>
                    <w:jc w:val="center"/>
                    <w:textAlignment w:val="auto"/>
                    <w:rPr>
                      <w:rFonts w:hint="default" w:ascii="Times New Roman" w:hAnsi="Times New Roman" w:cs="Times New Roman"/>
                      <w:color w:val="000000"/>
                      <w:szCs w:val="21"/>
                      <w:highlight w:val="none"/>
                    </w:rPr>
                  </w:pPr>
                  <w:r>
                    <w:rPr>
                      <w:rFonts w:hint="eastAsia" w:cs="Times New Roman"/>
                      <w:color w:val="000000"/>
                      <w:szCs w:val="21"/>
                      <w:highlight w:val="none"/>
                      <w:lang w:val="en-US" w:eastAsia="zh-CN"/>
                    </w:rPr>
                    <w:t>配料仓</w:t>
                  </w:r>
                  <w:r>
                    <w:rPr>
                      <w:rFonts w:hint="default" w:ascii="Times New Roman" w:hAnsi="Times New Roman" w:cs="Times New Roman"/>
                      <w:color w:val="000000"/>
                      <w:szCs w:val="21"/>
                      <w:highlight w:val="none"/>
                      <w:lang w:val="en-US" w:eastAsia="zh-CN"/>
                    </w:rPr>
                    <w:t>给料机</w:t>
                  </w:r>
                  <w:r>
                    <w:rPr>
                      <w:rFonts w:hint="eastAsia" w:cs="Times New Roman"/>
                      <w:color w:val="000000"/>
                      <w:szCs w:val="21"/>
                      <w:highlight w:val="none"/>
                      <w:lang w:val="en-US" w:eastAsia="zh-CN"/>
                    </w:rPr>
                    <w:t>产尘点处</w:t>
                  </w:r>
                  <w:r>
                    <w:rPr>
                      <w:rFonts w:hint="default" w:ascii="Times New Roman" w:hAnsi="Times New Roman" w:cs="Times New Roman"/>
                      <w:color w:val="000000"/>
                      <w:szCs w:val="21"/>
                      <w:highlight w:val="none"/>
                      <w:lang w:val="en-US" w:eastAsia="zh-CN"/>
                    </w:rPr>
                    <w:t>设置集气罩</w:t>
                  </w:r>
                  <w:r>
                    <w:rPr>
                      <w:rFonts w:hint="eastAsia" w:cs="Times New Roman"/>
                      <w:color w:val="000000"/>
                      <w:szCs w:val="21"/>
                      <w:highlight w:val="none"/>
                      <w:lang w:val="en-US" w:eastAsia="zh-CN"/>
                    </w:rPr>
                    <w:t>收集废气</w:t>
                  </w:r>
                  <w:r>
                    <w:rPr>
                      <w:rFonts w:hint="default" w:ascii="Times New Roman" w:hAnsi="Times New Roman" w:cs="Times New Roman"/>
                      <w:color w:val="000000"/>
                      <w:szCs w:val="21"/>
                      <w:highlight w:val="none"/>
                      <w:lang w:val="en-US" w:eastAsia="zh-CN"/>
                    </w:rPr>
                    <w:t>，收集到废气经袋式除尘器</w:t>
                  </w:r>
                  <w:r>
                    <w:rPr>
                      <w:rFonts w:hint="eastAsia" w:cs="Times New Roman"/>
                      <w:color w:val="000000"/>
                      <w:szCs w:val="21"/>
                      <w:highlight w:val="none"/>
                      <w:lang w:val="en-US" w:eastAsia="zh-CN"/>
                    </w:rPr>
                    <w:t>（TA00</w:t>
                  </w:r>
                  <w:r>
                    <w:rPr>
                      <w:rFonts w:hint="default" w:cs="Times New Roman"/>
                      <w:color w:val="000000"/>
                      <w:szCs w:val="21"/>
                      <w:highlight w:val="none"/>
                      <w:lang w:eastAsia="zh-CN"/>
                    </w:rPr>
                    <w:t>4</w:t>
                  </w:r>
                  <w:r>
                    <w:rPr>
                      <w:rFonts w:hint="eastAsia" w:cs="Times New Roman"/>
                      <w:color w:val="000000"/>
                      <w:szCs w:val="21"/>
                      <w:highlight w:val="none"/>
                      <w:lang w:val="en-US" w:eastAsia="zh-CN"/>
                    </w:rPr>
                    <w:t>）</w:t>
                  </w:r>
                  <w:r>
                    <w:rPr>
                      <w:rFonts w:hint="default" w:ascii="Times New Roman" w:hAnsi="Times New Roman" w:cs="Times New Roman"/>
                      <w:color w:val="000000"/>
                      <w:szCs w:val="21"/>
                      <w:highlight w:val="none"/>
                      <w:lang w:val="en-US" w:eastAsia="zh-CN"/>
                    </w:rPr>
                    <w:t>处理后通过15m高的排气筒达标排放</w:t>
                  </w:r>
                  <w:r>
                    <w:rPr>
                      <w:rFonts w:hint="default" w:ascii="Times New Roman" w:hAnsi="Times New Roman" w:cs="Times New Roman"/>
                      <w:color w:val="000000"/>
                      <w:szCs w:val="21"/>
                      <w:highlight w:val="none"/>
                    </w:rPr>
                    <w:t>（DA00</w:t>
                  </w:r>
                  <w:r>
                    <w:rPr>
                      <w:rFonts w:hint="eastAsia" w:cs="Times New Roman"/>
                      <w:color w:val="000000"/>
                      <w:szCs w:val="21"/>
                      <w:highlight w:val="none"/>
                      <w:lang w:val="en-US" w:eastAsia="zh-CN"/>
                    </w:rPr>
                    <w:t>2</w:t>
                  </w:r>
                  <w:r>
                    <w:rPr>
                      <w:rFonts w:hint="default" w:ascii="Times New Roman" w:hAnsi="Times New Roman" w:cs="Times New Roman"/>
                      <w:color w:val="000000"/>
                      <w:szCs w:val="21"/>
                      <w:highlight w:val="none"/>
                    </w:rPr>
                    <w:t>）</w:t>
                  </w:r>
                </w:p>
              </w:tc>
            </w:tr>
            <w:tr w14:paraId="683AEE3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687" w:hRule="atLeast"/>
                <w:jc w:val="center"/>
              </w:trPr>
              <w:tc>
                <w:tcPr>
                  <w:tcW w:w="411" w:type="pct"/>
                  <w:vMerge w:val="continue"/>
                  <w:tcBorders>
                    <w:tl2br w:val="nil"/>
                    <w:tr2bl w:val="nil"/>
                  </w:tcBorders>
                  <w:noWrap w:val="0"/>
                  <w:vAlign w:val="center"/>
                </w:tcPr>
                <w:p w14:paraId="73ABB0C9">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noWrap w:val="0"/>
                  <w:vAlign w:val="center"/>
                </w:tcPr>
                <w:p w14:paraId="4ABD22B5">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cs="Times New Roman"/>
                      <w:color w:val="000000"/>
                      <w:szCs w:val="21"/>
                      <w:highlight w:val="none"/>
                      <w:lang w:val="en-US" w:eastAsia="zh-CN"/>
                    </w:rPr>
                  </w:pPr>
                  <w:r>
                    <w:rPr>
                      <w:rFonts w:hint="eastAsia" w:cs="Times New Roman"/>
                      <w:color w:val="000000"/>
                      <w:szCs w:val="21"/>
                      <w:highlight w:val="none"/>
                      <w:lang w:val="en-US" w:eastAsia="zh-CN"/>
                    </w:rPr>
                    <w:t>搅拌工序颗粒物</w:t>
                  </w:r>
                </w:p>
              </w:tc>
              <w:tc>
                <w:tcPr>
                  <w:tcW w:w="526" w:type="pct"/>
                  <w:tcBorders>
                    <w:tl2br w:val="nil"/>
                    <w:tr2bl w:val="nil"/>
                  </w:tcBorders>
                  <w:noWrap w:val="0"/>
                  <w:vAlign w:val="center"/>
                </w:tcPr>
                <w:p w14:paraId="173A106D">
                  <w:pPr>
                    <w:keepNext w:val="0"/>
                    <w:keepLines w:val="0"/>
                    <w:pageBreakBefore w:val="0"/>
                    <w:widowControl w:val="0"/>
                    <w:kinsoku/>
                    <w:overflowPunct/>
                    <w:topLinePunct w:val="0"/>
                    <w:autoSpaceDE/>
                    <w:autoSpaceDN/>
                    <w:bidi w:val="0"/>
                    <w:jc w:val="center"/>
                    <w:textAlignment w:val="auto"/>
                    <w:rPr>
                      <w:rFonts w:hint="default" w:cs="Times New Roman"/>
                      <w:color w:val="000000"/>
                      <w:szCs w:val="21"/>
                      <w:highlight w:val="none"/>
                      <w:lang w:val="en-US" w:eastAsia="zh-CN"/>
                    </w:rPr>
                  </w:pPr>
                  <w:r>
                    <w:rPr>
                      <w:rFonts w:hint="eastAsia" w:cs="Times New Roman"/>
                      <w:color w:val="000000"/>
                      <w:szCs w:val="21"/>
                      <w:highlight w:val="none"/>
                      <w:lang w:val="en-US" w:eastAsia="zh-CN"/>
                    </w:rPr>
                    <w:t>颗粒物</w:t>
                  </w:r>
                </w:p>
              </w:tc>
              <w:tc>
                <w:tcPr>
                  <w:tcW w:w="3336" w:type="pct"/>
                  <w:tcBorders>
                    <w:tl2br w:val="nil"/>
                    <w:tr2bl w:val="nil"/>
                  </w:tcBorders>
                  <w:noWrap w:val="0"/>
                  <w:vAlign w:val="center"/>
                </w:tcPr>
                <w:p w14:paraId="597F8AE7">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lang w:val="en-US" w:eastAsia="zh-CN"/>
                    </w:rPr>
                  </w:pPr>
                  <w:r>
                    <w:rPr>
                      <w:rFonts w:hint="eastAsia" w:cs="Times New Roman"/>
                      <w:color w:val="000000"/>
                      <w:szCs w:val="21"/>
                      <w:highlight w:val="none"/>
                      <w:lang w:val="en-US" w:eastAsia="zh-CN"/>
                    </w:rPr>
                    <w:t>搅拌</w:t>
                  </w:r>
                  <w:r>
                    <w:rPr>
                      <w:rFonts w:hint="default" w:ascii="Times New Roman" w:hAnsi="Times New Roman" w:cs="Times New Roman"/>
                      <w:color w:val="000000"/>
                      <w:szCs w:val="21"/>
                      <w:highlight w:val="none"/>
                      <w:lang w:val="en-US" w:eastAsia="zh-CN"/>
                    </w:rPr>
                    <w:t>机</w:t>
                  </w:r>
                  <w:r>
                    <w:rPr>
                      <w:rFonts w:hint="eastAsia" w:cs="Times New Roman"/>
                      <w:color w:val="000000"/>
                      <w:szCs w:val="21"/>
                      <w:highlight w:val="none"/>
                      <w:lang w:val="en-US" w:eastAsia="zh-CN"/>
                    </w:rPr>
                    <w:t>产尘点处</w:t>
                  </w:r>
                  <w:r>
                    <w:rPr>
                      <w:rFonts w:hint="default" w:ascii="Times New Roman" w:hAnsi="Times New Roman" w:cs="Times New Roman"/>
                      <w:color w:val="000000"/>
                      <w:szCs w:val="21"/>
                      <w:highlight w:val="none"/>
                      <w:lang w:val="en-US" w:eastAsia="zh-CN"/>
                    </w:rPr>
                    <w:t>设置集气罩，收集到废气经袋式除尘器</w:t>
                  </w:r>
                  <w:r>
                    <w:rPr>
                      <w:rFonts w:hint="eastAsia" w:cs="Times New Roman"/>
                      <w:color w:val="000000"/>
                      <w:szCs w:val="21"/>
                      <w:highlight w:val="none"/>
                      <w:lang w:val="en-US" w:eastAsia="zh-CN"/>
                    </w:rPr>
                    <w:t>（TA00</w:t>
                  </w:r>
                  <w:r>
                    <w:rPr>
                      <w:rFonts w:hint="default" w:cs="Times New Roman"/>
                      <w:color w:val="000000"/>
                      <w:szCs w:val="21"/>
                      <w:highlight w:val="none"/>
                      <w:lang w:eastAsia="zh-CN"/>
                    </w:rPr>
                    <w:t>4</w:t>
                  </w:r>
                  <w:r>
                    <w:rPr>
                      <w:rFonts w:hint="eastAsia" w:cs="Times New Roman"/>
                      <w:color w:val="000000"/>
                      <w:szCs w:val="21"/>
                      <w:highlight w:val="none"/>
                      <w:lang w:val="en-US" w:eastAsia="zh-CN"/>
                    </w:rPr>
                    <w:t>）</w:t>
                  </w:r>
                  <w:r>
                    <w:rPr>
                      <w:rFonts w:hint="default" w:ascii="Times New Roman" w:hAnsi="Times New Roman" w:cs="Times New Roman"/>
                      <w:color w:val="000000"/>
                      <w:szCs w:val="21"/>
                      <w:highlight w:val="none"/>
                      <w:lang w:val="en-US" w:eastAsia="zh-CN"/>
                    </w:rPr>
                    <w:t>处理后通过15m高的排气筒达标排放</w:t>
                  </w:r>
                  <w:r>
                    <w:rPr>
                      <w:rFonts w:hint="default" w:ascii="Times New Roman" w:hAnsi="Times New Roman" w:cs="Times New Roman"/>
                      <w:color w:val="000000"/>
                      <w:szCs w:val="21"/>
                      <w:highlight w:val="none"/>
                    </w:rPr>
                    <w:t>（DA00</w:t>
                  </w:r>
                  <w:r>
                    <w:rPr>
                      <w:rFonts w:hint="eastAsia" w:cs="Times New Roman"/>
                      <w:color w:val="000000"/>
                      <w:szCs w:val="21"/>
                      <w:highlight w:val="none"/>
                      <w:lang w:val="en-US" w:eastAsia="zh-CN"/>
                    </w:rPr>
                    <w:t>2</w:t>
                  </w:r>
                  <w:r>
                    <w:rPr>
                      <w:rFonts w:hint="default" w:ascii="Times New Roman" w:hAnsi="Times New Roman" w:cs="Times New Roman"/>
                      <w:color w:val="000000"/>
                      <w:szCs w:val="21"/>
                      <w:highlight w:val="none"/>
                    </w:rPr>
                    <w:t>）</w:t>
                  </w:r>
                </w:p>
              </w:tc>
            </w:tr>
            <w:tr w14:paraId="28FF640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795" w:hRule="atLeast"/>
                <w:jc w:val="center"/>
              </w:trPr>
              <w:tc>
                <w:tcPr>
                  <w:tcW w:w="411" w:type="pct"/>
                  <w:tcBorders>
                    <w:tl2br w:val="nil"/>
                    <w:tr2bl w:val="nil"/>
                  </w:tcBorders>
                  <w:noWrap w:val="0"/>
                  <w:vAlign w:val="center"/>
                </w:tcPr>
                <w:p w14:paraId="67EF6843">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cs="Times New Roman"/>
                      <w:color w:val="000000"/>
                      <w:szCs w:val="21"/>
                      <w:highlight w:val="none"/>
                    </w:rPr>
                    <w:t>无组织废气</w:t>
                  </w:r>
                </w:p>
              </w:tc>
              <w:tc>
                <w:tcPr>
                  <w:tcW w:w="726" w:type="pct"/>
                  <w:tcBorders>
                    <w:tl2br w:val="nil"/>
                    <w:tr2bl w:val="nil"/>
                  </w:tcBorders>
                  <w:noWrap w:val="0"/>
                  <w:vAlign w:val="center"/>
                </w:tcPr>
                <w:p w14:paraId="20F20FC5">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highlight w:val="none"/>
                      <w:lang w:eastAsia="zh-CN" w:bidi="ar-SA"/>
                    </w:rPr>
                  </w:pPr>
                  <w:r>
                    <w:rPr>
                      <w:rFonts w:hint="eastAsia" w:cs="Times New Roman"/>
                      <w:color w:val="000000"/>
                      <w:szCs w:val="21"/>
                      <w:highlight w:val="none"/>
                      <w:lang w:val="en-US" w:eastAsia="zh-CN"/>
                    </w:rPr>
                    <w:t>原料存放、</w:t>
                  </w:r>
                  <w:r>
                    <w:rPr>
                      <w:rFonts w:hint="default" w:ascii="Times New Roman" w:hAnsi="Times New Roman" w:cs="Times New Roman"/>
                      <w:color w:val="000000"/>
                      <w:szCs w:val="21"/>
                      <w:highlight w:val="none"/>
                    </w:rPr>
                    <w:t>车辆运输</w:t>
                  </w:r>
                </w:p>
              </w:tc>
              <w:tc>
                <w:tcPr>
                  <w:tcW w:w="526" w:type="pct"/>
                  <w:tcBorders>
                    <w:tl2br w:val="nil"/>
                    <w:tr2bl w:val="nil"/>
                  </w:tcBorders>
                  <w:noWrap w:val="0"/>
                  <w:vAlign w:val="center"/>
                </w:tcPr>
                <w:p w14:paraId="0F900EEC">
                  <w:pPr>
                    <w:keepNext w:val="0"/>
                    <w:keepLines w:val="0"/>
                    <w:pageBreakBefore w:val="0"/>
                    <w:widowControl w:val="0"/>
                    <w:kinsoku/>
                    <w:overflowPunct/>
                    <w:topLinePunct w:val="0"/>
                    <w:autoSpaceDE/>
                    <w:autoSpaceDN/>
                    <w:bidi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Cs w:val="21"/>
                      <w:highlight w:val="none"/>
                    </w:rPr>
                    <w:t>颗粒物</w:t>
                  </w:r>
                </w:p>
              </w:tc>
              <w:tc>
                <w:tcPr>
                  <w:tcW w:w="3336" w:type="pct"/>
                  <w:tcBorders>
                    <w:tl2br w:val="nil"/>
                    <w:tr2bl w:val="nil"/>
                  </w:tcBorders>
                  <w:noWrap w:val="0"/>
                  <w:vAlign w:val="center"/>
                </w:tcPr>
                <w:p w14:paraId="45591791">
                  <w:pPr>
                    <w:keepNext w:val="0"/>
                    <w:keepLines w:val="0"/>
                    <w:pageBreakBefore w:val="0"/>
                    <w:widowControl w:val="0"/>
                    <w:kinsoku/>
                    <w:overflowPunct/>
                    <w:topLinePunct w:val="0"/>
                    <w:autoSpaceDE/>
                    <w:autoSpaceDN/>
                    <w:bidi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kern w:val="0"/>
                      <w:szCs w:val="21"/>
                      <w:highlight w:val="none"/>
                    </w:rPr>
                    <w:t>厂房内定期清扫、道路清扫、</w:t>
                  </w:r>
                  <w:r>
                    <w:rPr>
                      <w:rFonts w:hint="eastAsia" w:cs="Times New Roman"/>
                      <w:color w:val="000000"/>
                      <w:kern w:val="0"/>
                      <w:szCs w:val="21"/>
                      <w:highlight w:val="none"/>
                      <w:lang w:val="en-US" w:eastAsia="zh-CN"/>
                    </w:rPr>
                    <w:t>喷雾</w:t>
                  </w:r>
                  <w:r>
                    <w:rPr>
                      <w:rFonts w:hint="default" w:ascii="Times New Roman" w:hAnsi="Times New Roman" w:cs="Times New Roman"/>
                      <w:color w:val="000000"/>
                      <w:kern w:val="0"/>
                      <w:szCs w:val="21"/>
                      <w:highlight w:val="none"/>
                    </w:rPr>
                    <w:t>抑尘、车辆冲洗</w:t>
                  </w:r>
                </w:p>
              </w:tc>
            </w:tr>
            <w:tr w14:paraId="7AF99C9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599" w:hRule="atLeast"/>
                <w:jc w:val="center"/>
              </w:trPr>
              <w:tc>
                <w:tcPr>
                  <w:tcW w:w="411" w:type="pct"/>
                  <w:vMerge w:val="restart"/>
                  <w:tcBorders>
                    <w:tl2br w:val="nil"/>
                    <w:tr2bl w:val="nil"/>
                  </w:tcBorders>
                  <w:noWrap w:val="0"/>
                  <w:vAlign w:val="center"/>
                </w:tcPr>
                <w:p w14:paraId="4046055C">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废水</w:t>
                  </w:r>
                </w:p>
              </w:tc>
              <w:tc>
                <w:tcPr>
                  <w:tcW w:w="726" w:type="pct"/>
                  <w:tcBorders>
                    <w:tl2br w:val="nil"/>
                    <w:tr2bl w:val="nil"/>
                  </w:tcBorders>
                  <w:noWrap w:val="0"/>
                  <w:vAlign w:val="center"/>
                </w:tcPr>
                <w:p w14:paraId="663668A6">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车辆冲洗废水</w:t>
                  </w:r>
                </w:p>
              </w:tc>
              <w:tc>
                <w:tcPr>
                  <w:tcW w:w="526" w:type="pct"/>
                  <w:tcBorders>
                    <w:tl2br w:val="nil"/>
                    <w:tr2bl w:val="nil"/>
                  </w:tcBorders>
                  <w:noWrap w:val="0"/>
                  <w:vAlign w:val="center"/>
                </w:tcPr>
                <w:p w14:paraId="7EBEB270">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SS</w:t>
                  </w:r>
                </w:p>
              </w:tc>
              <w:tc>
                <w:tcPr>
                  <w:tcW w:w="3336" w:type="pct"/>
                  <w:tcBorders>
                    <w:tl2br w:val="nil"/>
                    <w:tr2bl w:val="nil"/>
                  </w:tcBorders>
                  <w:noWrap w:val="0"/>
                  <w:vAlign w:val="center"/>
                </w:tcPr>
                <w:p w14:paraId="68EC0D4B">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szCs w:val="21"/>
                      <w:highlight w:val="none"/>
                    </w:rPr>
                    <w:t>经</w:t>
                  </w:r>
                  <w:r>
                    <w:rPr>
                      <w:rFonts w:hint="eastAsia" w:cs="Times New Roman"/>
                      <w:color w:val="000000"/>
                      <w:szCs w:val="21"/>
                      <w:highlight w:val="none"/>
                      <w:lang w:val="en-US" w:eastAsia="zh-CN"/>
                    </w:rPr>
                    <w:t>车辆</w:t>
                  </w:r>
                  <w:r>
                    <w:rPr>
                      <w:rFonts w:hint="default" w:ascii="Times New Roman" w:hAnsi="Times New Roman" w:cs="Times New Roman"/>
                      <w:color w:val="000000"/>
                      <w:szCs w:val="21"/>
                      <w:highlight w:val="none"/>
                    </w:rPr>
                    <w:t>沉淀池</w:t>
                  </w:r>
                  <w:r>
                    <w:rPr>
                      <w:rFonts w:hint="eastAsia" w:cs="Times New Roman"/>
                      <w:color w:val="000000"/>
                      <w:szCs w:val="21"/>
                      <w:highlight w:val="none"/>
                      <w:lang w:eastAsia="zh-CN"/>
                    </w:rPr>
                    <w:t>（</w:t>
                  </w:r>
                  <w:r>
                    <w:rPr>
                      <w:rFonts w:hint="eastAsia" w:cs="Times New Roman"/>
                      <w:color w:val="000000"/>
                      <w:szCs w:val="21"/>
                      <w:highlight w:val="none"/>
                      <w:lang w:val="en-US" w:eastAsia="zh-CN"/>
                    </w:rPr>
                    <w:t>5m</w:t>
                  </w:r>
                  <w:r>
                    <w:rPr>
                      <w:rFonts w:hint="eastAsia" w:cs="Times New Roman"/>
                      <w:color w:val="000000"/>
                      <w:szCs w:val="21"/>
                      <w:highlight w:val="none"/>
                      <w:vertAlign w:val="superscript"/>
                      <w:lang w:val="en-US" w:eastAsia="zh-CN"/>
                    </w:rPr>
                    <w:t>3</w:t>
                  </w:r>
                  <w:r>
                    <w:rPr>
                      <w:rFonts w:hint="eastAsia" w:cs="Times New Roman"/>
                      <w:color w:val="000000"/>
                      <w:szCs w:val="21"/>
                      <w:highlight w:val="none"/>
                      <w:lang w:eastAsia="zh-CN"/>
                    </w:rPr>
                    <w:t>）</w:t>
                  </w:r>
                  <w:r>
                    <w:rPr>
                      <w:rFonts w:hint="default" w:ascii="Times New Roman" w:hAnsi="Times New Roman" w:cs="Times New Roman"/>
                      <w:color w:val="000000"/>
                      <w:szCs w:val="21"/>
                      <w:highlight w:val="none"/>
                    </w:rPr>
                    <w:t>沉淀后</w:t>
                  </w:r>
                  <w:r>
                    <w:rPr>
                      <w:rFonts w:hint="eastAsia" w:cs="Times New Roman"/>
                      <w:color w:val="000000"/>
                      <w:szCs w:val="21"/>
                      <w:highlight w:val="none"/>
                      <w:lang w:val="en-US" w:eastAsia="zh-CN"/>
                    </w:rPr>
                    <w:t>循环</w:t>
                  </w:r>
                  <w:r>
                    <w:rPr>
                      <w:rFonts w:hint="default" w:ascii="Times New Roman" w:hAnsi="Times New Roman" w:cs="Times New Roman"/>
                      <w:color w:val="000000"/>
                      <w:szCs w:val="21"/>
                      <w:highlight w:val="none"/>
                    </w:rPr>
                    <w:t>回用</w:t>
                  </w:r>
                  <w:r>
                    <w:rPr>
                      <w:rFonts w:hint="eastAsia" w:cs="Times New Roman"/>
                      <w:color w:val="000000"/>
                      <w:szCs w:val="21"/>
                      <w:highlight w:val="none"/>
                      <w:lang w:eastAsia="zh-CN"/>
                    </w:rPr>
                    <w:t>，</w:t>
                  </w:r>
                  <w:r>
                    <w:rPr>
                      <w:rFonts w:hint="eastAsia" w:cs="Times New Roman"/>
                      <w:color w:val="000000"/>
                      <w:szCs w:val="21"/>
                      <w:highlight w:val="none"/>
                      <w:lang w:val="en-US" w:eastAsia="zh-CN"/>
                    </w:rPr>
                    <w:t>不外排</w:t>
                  </w:r>
                </w:p>
              </w:tc>
            </w:tr>
            <w:tr w14:paraId="15A2344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884" w:hRule="atLeast"/>
                <w:jc w:val="center"/>
              </w:trPr>
              <w:tc>
                <w:tcPr>
                  <w:tcW w:w="411" w:type="pct"/>
                  <w:vMerge w:val="continue"/>
                  <w:tcBorders>
                    <w:tl2br w:val="nil"/>
                    <w:tr2bl w:val="nil"/>
                  </w:tcBorders>
                  <w:noWrap w:val="0"/>
                  <w:vAlign w:val="center"/>
                </w:tcPr>
                <w:p w14:paraId="015F388E">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noWrap w:val="0"/>
                  <w:vAlign w:val="center"/>
                </w:tcPr>
                <w:p w14:paraId="55E9CB6E">
                  <w:pPr>
                    <w:keepNext w:val="0"/>
                    <w:keepLines w:val="0"/>
                    <w:pageBreakBefore w:val="0"/>
                    <w:widowControl w:val="0"/>
                    <w:kinsoku/>
                    <w:overflowPunct/>
                    <w:topLinePunct w:val="0"/>
                    <w:autoSpaceDE/>
                    <w:autoSpaceDN/>
                    <w:bidi w:val="0"/>
                    <w:jc w:val="center"/>
                    <w:textAlignment w:val="auto"/>
                    <w:rPr>
                      <w:rFonts w:hint="eastAsia" w:cs="Times New Roman"/>
                      <w:bCs/>
                      <w:color w:val="000000"/>
                      <w:szCs w:val="21"/>
                      <w:highlight w:val="none"/>
                      <w:lang w:val="en-US" w:eastAsia="zh-CN"/>
                    </w:rPr>
                  </w:pPr>
                  <w:r>
                    <w:rPr>
                      <w:rFonts w:hint="eastAsia" w:cs="Times New Roman"/>
                      <w:bCs/>
                      <w:color w:val="000000"/>
                      <w:szCs w:val="21"/>
                      <w:highlight w:val="none"/>
                      <w:lang w:val="en-US" w:eastAsia="zh-CN"/>
                    </w:rPr>
                    <w:t>筛分、水洗、脱水</w:t>
                  </w:r>
                </w:p>
                <w:p w14:paraId="5B5CB262">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废水</w:t>
                  </w:r>
                </w:p>
              </w:tc>
              <w:tc>
                <w:tcPr>
                  <w:tcW w:w="526" w:type="pct"/>
                  <w:tcBorders>
                    <w:tl2br w:val="nil"/>
                    <w:tr2bl w:val="nil"/>
                  </w:tcBorders>
                  <w:noWrap w:val="0"/>
                  <w:vAlign w:val="center"/>
                </w:tcPr>
                <w:p w14:paraId="50F31EAD">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SS</w:t>
                  </w:r>
                </w:p>
              </w:tc>
              <w:tc>
                <w:tcPr>
                  <w:tcW w:w="3336" w:type="pct"/>
                  <w:tcBorders>
                    <w:tl2br w:val="nil"/>
                    <w:tr2bl w:val="nil"/>
                  </w:tcBorders>
                  <w:noWrap w:val="0"/>
                  <w:vAlign w:val="center"/>
                </w:tcPr>
                <w:p w14:paraId="1EDA9352">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eastAsia="宋体" w:cs="Times New Roman"/>
                      <w:color w:val="auto"/>
                      <w:kern w:val="2"/>
                      <w:sz w:val="21"/>
                      <w:szCs w:val="21"/>
                      <w:highlight w:val="none"/>
                      <w:u w:val="none"/>
                      <w:lang w:val="en-US" w:eastAsia="zh-CN" w:bidi="ar-SA"/>
                    </w:rPr>
                    <w:t>运营过程中生产废水</w:t>
                  </w:r>
                  <w:r>
                    <w:rPr>
                      <w:rFonts w:hint="eastAsia" w:cs="Times New Roman"/>
                      <w:color w:val="auto"/>
                      <w:kern w:val="2"/>
                      <w:sz w:val="21"/>
                      <w:szCs w:val="21"/>
                      <w:highlight w:val="none"/>
                      <w:u w:val="none"/>
                      <w:lang w:val="en-US" w:eastAsia="zh-CN" w:bidi="ar-SA"/>
                    </w:rPr>
                    <w:t>经过污水池</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10</w:t>
                  </w:r>
                  <w:r>
                    <w:rPr>
                      <w:rFonts w:hint="default" w:ascii="Times New Roman" w:hAnsi="Times New Roman" w:eastAsia="宋体" w:cs="Times New Roman"/>
                      <w:color w:val="auto"/>
                      <w:kern w:val="2"/>
                      <w:sz w:val="21"/>
                      <w:szCs w:val="21"/>
                      <w:highlight w:val="none"/>
                      <w:u w:val="none"/>
                      <w:lang w:val="en-US" w:eastAsia="zh-CN" w:bidi="ar-SA"/>
                    </w:rPr>
                    <w:t>m</w:t>
                  </w:r>
                  <w:r>
                    <w:rPr>
                      <w:rFonts w:hint="default" w:ascii="Times New Roman" w:hAnsi="Times New Roman" w:eastAsia="宋体" w:cs="Times New Roman"/>
                      <w:color w:val="auto"/>
                      <w:kern w:val="2"/>
                      <w:sz w:val="21"/>
                      <w:szCs w:val="21"/>
                      <w:highlight w:val="none"/>
                      <w:u w:val="none"/>
                      <w:vertAlign w:val="superscript"/>
                      <w:lang w:val="en-US" w:eastAsia="zh-CN" w:bidi="ar-SA"/>
                    </w:rPr>
                    <w:t>3</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+沉降浓缩罐</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300</w:t>
                  </w:r>
                  <w:r>
                    <w:rPr>
                      <w:rFonts w:hint="default" w:ascii="Times New Roman" w:hAnsi="Times New Roman" w:eastAsia="宋体" w:cs="Times New Roman"/>
                      <w:color w:val="auto"/>
                      <w:kern w:val="2"/>
                      <w:sz w:val="21"/>
                      <w:szCs w:val="21"/>
                      <w:highlight w:val="none"/>
                      <w:u w:val="none"/>
                      <w:lang w:val="en-US" w:eastAsia="zh-CN" w:bidi="ar-SA"/>
                    </w:rPr>
                    <w:t>m</w:t>
                  </w:r>
                  <w:r>
                    <w:rPr>
                      <w:rFonts w:hint="default" w:ascii="Times New Roman" w:hAnsi="Times New Roman" w:eastAsia="宋体" w:cs="Times New Roman"/>
                      <w:color w:val="auto"/>
                      <w:kern w:val="2"/>
                      <w:sz w:val="21"/>
                      <w:szCs w:val="21"/>
                      <w:highlight w:val="none"/>
                      <w:u w:val="none"/>
                      <w:vertAlign w:val="superscript"/>
                      <w:lang w:val="en-US" w:eastAsia="zh-CN" w:bidi="ar-SA"/>
                    </w:rPr>
                    <w:t>3</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+清水池</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80</w:t>
                  </w:r>
                  <w:r>
                    <w:rPr>
                      <w:rFonts w:hint="default" w:ascii="Times New Roman" w:hAnsi="Times New Roman" w:eastAsia="宋体" w:cs="Times New Roman"/>
                      <w:color w:val="auto"/>
                      <w:kern w:val="2"/>
                      <w:sz w:val="21"/>
                      <w:szCs w:val="21"/>
                      <w:highlight w:val="none"/>
                      <w:u w:val="none"/>
                      <w:lang w:val="en-US" w:eastAsia="zh-CN" w:bidi="ar-SA"/>
                    </w:rPr>
                    <w:t>m</w:t>
                  </w:r>
                  <w:r>
                    <w:rPr>
                      <w:rFonts w:hint="default" w:ascii="Times New Roman" w:hAnsi="Times New Roman" w:eastAsia="宋体" w:cs="Times New Roman"/>
                      <w:color w:val="auto"/>
                      <w:kern w:val="2"/>
                      <w:sz w:val="21"/>
                      <w:szCs w:val="21"/>
                      <w:highlight w:val="none"/>
                      <w:u w:val="none"/>
                      <w:vertAlign w:val="superscript"/>
                      <w:lang w:val="en-US" w:eastAsia="zh-CN" w:bidi="ar-SA"/>
                    </w:rPr>
                    <w:t>3</w:t>
                  </w:r>
                  <w:r>
                    <w:rPr>
                      <w:rFonts w:hint="default" w:ascii="Times New Roman" w:hAnsi="Times New Roman" w:eastAsia="宋体" w:cs="Times New Roman"/>
                      <w:color w:val="auto"/>
                      <w:kern w:val="2"/>
                      <w:sz w:val="21"/>
                      <w:szCs w:val="21"/>
                      <w:highlight w:val="none"/>
                      <w:u w:val="none"/>
                      <w:lang w:val="en-US" w:eastAsia="zh-CN" w:bidi="ar-SA"/>
                    </w:rPr>
                    <w:t>）</w:t>
                  </w:r>
                  <w:r>
                    <w:rPr>
                      <w:rFonts w:hint="eastAsia" w:cs="Times New Roman"/>
                      <w:color w:val="auto"/>
                      <w:kern w:val="2"/>
                      <w:sz w:val="21"/>
                      <w:szCs w:val="21"/>
                      <w:highlight w:val="none"/>
                      <w:u w:val="none"/>
                      <w:lang w:val="en-US" w:eastAsia="zh-CN" w:bidi="ar-SA"/>
                    </w:rPr>
                    <w:t>+板框压滤机处理后</w:t>
                  </w:r>
                  <w:r>
                    <w:rPr>
                      <w:rFonts w:hint="default" w:ascii="Times New Roman" w:hAnsi="Times New Roman" w:eastAsia="宋体" w:cs="Times New Roman"/>
                      <w:color w:val="auto"/>
                      <w:kern w:val="2"/>
                      <w:sz w:val="21"/>
                      <w:szCs w:val="21"/>
                      <w:highlight w:val="none"/>
                      <w:u w:val="none"/>
                      <w:lang w:val="en-US" w:eastAsia="zh-CN" w:bidi="ar-SA"/>
                    </w:rPr>
                    <w:t>循环</w:t>
                  </w:r>
                  <w:r>
                    <w:rPr>
                      <w:rFonts w:hint="eastAsia" w:cs="Times New Roman"/>
                      <w:color w:val="auto"/>
                      <w:kern w:val="2"/>
                      <w:sz w:val="21"/>
                      <w:szCs w:val="21"/>
                      <w:highlight w:val="none"/>
                      <w:u w:val="none"/>
                      <w:lang w:val="en-US" w:eastAsia="zh-CN" w:bidi="ar-SA"/>
                    </w:rPr>
                    <w:t>回用</w:t>
                  </w:r>
                  <w:r>
                    <w:rPr>
                      <w:rFonts w:hint="default" w:ascii="Times New Roman" w:hAnsi="Times New Roman" w:eastAsia="宋体" w:cs="Times New Roman"/>
                      <w:color w:val="auto"/>
                      <w:kern w:val="2"/>
                      <w:sz w:val="21"/>
                      <w:szCs w:val="21"/>
                      <w:highlight w:val="none"/>
                      <w:u w:val="none"/>
                      <w:lang w:val="en-US" w:eastAsia="zh-CN" w:bidi="ar-SA"/>
                    </w:rPr>
                    <w:t>，不外排</w:t>
                  </w:r>
                  <w:r>
                    <w:rPr>
                      <w:rFonts w:hint="eastAsia" w:cs="Times New Roman"/>
                      <w:color w:val="auto"/>
                      <w:kern w:val="2"/>
                      <w:sz w:val="21"/>
                      <w:szCs w:val="21"/>
                      <w:highlight w:val="none"/>
                      <w:u w:val="none"/>
                      <w:lang w:val="en-US" w:eastAsia="zh-CN" w:bidi="ar-SA"/>
                    </w:rPr>
                    <w:t>。</w:t>
                  </w:r>
                </w:p>
              </w:tc>
            </w:tr>
            <w:tr w14:paraId="205D31D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1216" w:hRule="atLeast"/>
                <w:jc w:val="center"/>
              </w:trPr>
              <w:tc>
                <w:tcPr>
                  <w:tcW w:w="411" w:type="pct"/>
                  <w:vMerge w:val="continue"/>
                  <w:tcBorders>
                    <w:tl2br w:val="nil"/>
                    <w:tr2bl w:val="nil"/>
                  </w:tcBorders>
                  <w:noWrap w:val="0"/>
                  <w:vAlign w:val="center"/>
                </w:tcPr>
                <w:p w14:paraId="2117D3EB">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noWrap w:val="0"/>
                  <w:vAlign w:val="center"/>
                </w:tcPr>
                <w:p w14:paraId="6EA55868">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生活污水</w:t>
                  </w:r>
                </w:p>
              </w:tc>
              <w:tc>
                <w:tcPr>
                  <w:tcW w:w="526" w:type="pct"/>
                  <w:tcBorders>
                    <w:tl2br w:val="nil"/>
                    <w:tr2bl w:val="nil"/>
                  </w:tcBorders>
                  <w:noWrap w:val="0"/>
                  <w:vAlign w:val="center"/>
                </w:tcPr>
                <w:p w14:paraId="461D2281">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COD、BOD</w:t>
                  </w:r>
                  <w:r>
                    <w:rPr>
                      <w:rFonts w:hint="default" w:ascii="Times New Roman" w:hAnsi="Times New Roman" w:cs="Times New Roman"/>
                      <w:color w:val="000000"/>
                      <w:szCs w:val="21"/>
                      <w:highlight w:val="none"/>
                      <w:vertAlign w:val="subscript"/>
                    </w:rPr>
                    <w:t>5</w:t>
                  </w:r>
                  <w:r>
                    <w:rPr>
                      <w:rFonts w:hint="default" w:ascii="Times New Roman" w:hAnsi="Times New Roman" w:cs="Times New Roman"/>
                      <w:color w:val="000000"/>
                      <w:szCs w:val="21"/>
                      <w:highlight w:val="none"/>
                    </w:rPr>
                    <w:t>、氨氮、SS、</w:t>
                  </w:r>
                </w:p>
              </w:tc>
              <w:tc>
                <w:tcPr>
                  <w:tcW w:w="3336" w:type="pct"/>
                  <w:tcBorders>
                    <w:tl2br w:val="nil"/>
                    <w:tr2bl w:val="nil"/>
                  </w:tcBorders>
                  <w:noWrap w:val="0"/>
                  <w:vAlign w:val="center"/>
                </w:tcPr>
                <w:p w14:paraId="0C5EAC26">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生活污水</w:t>
                  </w:r>
                  <w:r>
                    <w:rPr>
                      <w:rFonts w:hint="default" w:ascii="Times New Roman" w:hAnsi="Times New Roman" w:cs="Times New Roman"/>
                      <w:color w:val="000000"/>
                      <w:szCs w:val="21"/>
                      <w:highlight w:val="none"/>
                    </w:rPr>
                    <w:t>经化粪池</w:t>
                  </w:r>
                  <w:r>
                    <w:rPr>
                      <w:rFonts w:hint="eastAsia" w:cs="Times New Roman"/>
                      <w:color w:val="000000"/>
                      <w:szCs w:val="21"/>
                      <w:highlight w:val="none"/>
                      <w:lang w:val="en-US" w:eastAsia="zh-CN"/>
                    </w:rPr>
                    <w:t>（10m</w:t>
                  </w:r>
                  <w:r>
                    <w:rPr>
                      <w:rFonts w:hint="eastAsia" w:cs="Times New Roman"/>
                      <w:color w:val="000000"/>
                      <w:szCs w:val="21"/>
                      <w:highlight w:val="none"/>
                      <w:vertAlign w:val="superscript"/>
                      <w:lang w:val="en-US" w:eastAsia="zh-CN"/>
                    </w:rPr>
                    <w:t>3</w:t>
                  </w:r>
                  <w:r>
                    <w:rPr>
                      <w:rFonts w:hint="eastAsia" w:cs="Times New Roman"/>
                      <w:color w:val="000000"/>
                      <w:szCs w:val="21"/>
                      <w:highlight w:val="none"/>
                      <w:lang w:val="en-US" w:eastAsia="zh-CN"/>
                    </w:rPr>
                    <w:t>）</w:t>
                  </w:r>
                  <w:r>
                    <w:rPr>
                      <w:rFonts w:hint="default" w:ascii="Times New Roman" w:hAnsi="Times New Roman" w:cs="Times New Roman"/>
                      <w:color w:val="000000"/>
                      <w:szCs w:val="21"/>
                      <w:highlight w:val="none"/>
                    </w:rPr>
                    <w:t>处理后</w:t>
                  </w:r>
                  <w:r>
                    <w:rPr>
                      <w:rFonts w:hint="default" w:ascii="Times New Roman" w:hAnsi="Times New Roman" w:cs="Times New Roman"/>
                      <w:color w:val="000000"/>
                      <w:szCs w:val="21"/>
                      <w:highlight w:val="none"/>
                      <w:lang w:val="en-US" w:eastAsia="zh-CN"/>
                    </w:rPr>
                    <w:t>用于周围农田施肥，资源化利用，不外排</w:t>
                  </w:r>
                  <w:r>
                    <w:rPr>
                      <w:rFonts w:hint="eastAsia" w:cs="Times New Roman"/>
                      <w:color w:val="000000"/>
                      <w:szCs w:val="21"/>
                      <w:highlight w:val="none"/>
                      <w:lang w:val="en-US" w:eastAsia="zh-CN"/>
                    </w:rPr>
                    <w:t>。</w:t>
                  </w:r>
                </w:p>
              </w:tc>
            </w:tr>
            <w:tr w14:paraId="7CC47FB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647" w:hRule="atLeast"/>
                <w:jc w:val="center"/>
              </w:trPr>
              <w:tc>
                <w:tcPr>
                  <w:tcW w:w="411" w:type="pct"/>
                  <w:vMerge w:val="restart"/>
                  <w:tcBorders>
                    <w:tl2br w:val="nil"/>
                    <w:tr2bl w:val="nil"/>
                  </w:tcBorders>
                  <w:noWrap w:val="0"/>
                  <w:vAlign w:val="center"/>
                </w:tcPr>
                <w:p w14:paraId="57CDC421">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固废</w:t>
                  </w:r>
                </w:p>
              </w:tc>
              <w:tc>
                <w:tcPr>
                  <w:tcW w:w="726" w:type="pct"/>
                  <w:tcBorders>
                    <w:tl2br w:val="nil"/>
                    <w:tr2bl w:val="nil"/>
                  </w:tcBorders>
                  <w:noWrap w:val="0"/>
                  <w:vAlign w:val="center"/>
                </w:tcPr>
                <w:p w14:paraId="2AF0FA9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水洗</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脱水</w:t>
                  </w:r>
                  <w:r>
                    <w:rPr>
                      <w:rFonts w:hint="eastAsia" w:cs="Times New Roman"/>
                      <w:color w:val="000000"/>
                      <w:szCs w:val="21"/>
                      <w:highlight w:val="none"/>
                      <w:lang w:val="en-US" w:eastAsia="zh-CN"/>
                    </w:rPr>
                    <w:t>工序</w:t>
                  </w:r>
                </w:p>
              </w:tc>
              <w:tc>
                <w:tcPr>
                  <w:tcW w:w="526" w:type="pct"/>
                  <w:tcBorders>
                    <w:tl2br w:val="nil"/>
                    <w:tr2bl w:val="nil"/>
                  </w:tcBorders>
                  <w:noWrap w:val="0"/>
                  <w:vAlign w:val="center"/>
                </w:tcPr>
                <w:p w14:paraId="57426C9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泥饼</w:t>
                  </w:r>
                </w:p>
              </w:tc>
              <w:tc>
                <w:tcPr>
                  <w:tcW w:w="3336" w:type="pct"/>
                  <w:tcBorders>
                    <w:tl2br w:val="nil"/>
                    <w:tr2bl w:val="nil"/>
                  </w:tcBorders>
                  <w:noWrap w:val="0"/>
                  <w:vAlign w:val="center"/>
                </w:tcPr>
                <w:p w14:paraId="130A90D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szCs w:val="21"/>
                      <w:highlight w:val="none"/>
                      <w:lang w:val="en-US" w:eastAsia="zh-CN"/>
                    </w:rPr>
                  </w:pPr>
                  <w:r>
                    <w:rPr>
                      <w:rFonts w:hint="eastAsia" w:cs="Times New Roman"/>
                      <w:bCs/>
                      <w:color w:val="000000"/>
                      <w:szCs w:val="21"/>
                      <w:highlight w:val="none"/>
                      <w:lang w:val="en-US" w:eastAsia="zh-CN"/>
                    </w:rPr>
                    <w:t>浓缩后的底泥</w:t>
                  </w:r>
                  <w:r>
                    <w:rPr>
                      <w:rFonts w:hint="default" w:ascii="Times New Roman" w:hAnsi="Times New Roman" w:cs="Times New Roman"/>
                      <w:bCs/>
                      <w:color w:val="000000"/>
                      <w:szCs w:val="21"/>
                      <w:highlight w:val="none"/>
                      <w:lang w:val="en-US" w:eastAsia="zh-CN"/>
                    </w:rPr>
                    <w:t>经</w:t>
                  </w:r>
                  <w:r>
                    <w:rPr>
                      <w:rFonts w:hint="eastAsia" w:cs="Times New Roman"/>
                      <w:bCs/>
                      <w:color w:val="000000"/>
                      <w:szCs w:val="21"/>
                      <w:highlight w:val="none"/>
                      <w:lang w:val="en-US" w:eastAsia="zh-CN"/>
                    </w:rPr>
                    <w:t>板框</w:t>
                  </w:r>
                  <w:r>
                    <w:rPr>
                      <w:rFonts w:hint="default" w:ascii="Times New Roman" w:hAnsi="Times New Roman" w:cs="Times New Roman"/>
                      <w:bCs/>
                      <w:color w:val="000000"/>
                      <w:szCs w:val="21"/>
                      <w:highlight w:val="none"/>
                      <w:lang w:val="en-US" w:eastAsia="zh-CN"/>
                    </w:rPr>
                    <w:t>压滤机压滤后</w:t>
                  </w:r>
                  <w:r>
                    <w:rPr>
                      <w:rFonts w:hint="default" w:ascii="Times New Roman" w:hAnsi="Times New Roman" w:cs="Times New Roman" w:eastAsiaTheme="minorEastAsia"/>
                      <w:sz w:val="21"/>
                      <w:szCs w:val="21"/>
                      <w:highlight w:val="none"/>
                      <w:vertAlign w:val="baseline"/>
                      <w:lang w:val="en-US" w:eastAsia="zh-CN"/>
                    </w:rPr>
                    <w:t>暂存于</w:t>
                  </w:r>
                  <w:r>
                    <w:rPr>
                      <w:rFonts w:hint="eastAsia" w:cs="Times New Roman" w:eastAsiaTheme="minorEastAsia"/>
                      <w:sz w:val="21"/>
                      <w:szCs w:val="21"/>
                      <w:highlight w:val="none"/>
                      <w:vertAlign w:val="baseline"/>
                      <w:lang w:val="en-US" w:eastAsia="zh-CN"/>
                    </w:rPr>
                    <w:t>一般固废</w:t>
                  </w:r>
                  <w:r>
                    <w:rPr>
                      <w:rFonts w:hint="default" w:ascii="Times New Roman" w:hAnsi="Times New Roman" w:cs="Times New Roman" w:eastAsiaTheme="minorEastAsia"/>
                      <w:b w:val="0"/>
                      <w:bCs/>
                      <w:color w:val="auto"/>
                      <w:sz w:val="21"/>
                      <w:szCs w:val="21"/>
                      <w:highlight w:val="none"/>
                      <w:u w:val="none"/>
                      <w:lang w:val="en-US" w:eastAsia="zh-CN"/>
                    </w:rPr>
                    <w:t>暂存</w:t>
                  </w:r>
                  <w:r>
                    <w:rPr>
                      <w:rFonts w:hint="eastAsia" w:cs="Times New Roman" w:eastAsiaTheme="minorEastAsia"/>
                      <w:sz w:val="21"/>
                      <w:szCs w:val="21"/>
                      <w:highlight w:val="none"/>
                      <w:vertAlign w:val="baseline"/>
                      <w:lang w:val="en-US" w:eastAsia="zh-CN"/>
                    </w:rPr>
                    <w:t>间</w:t>
                  </w:r>
                  <w:r>
                    <w:rPr>
                      <w:rFonts w:hint="default" w:cs="Times New Roman" w:eastAsiaTheme="minorEastAsia"/>
                      <w:sz w:val="21"/>
                      <w:szCs w:val="21"/>
                      <w:highlight w:val="none"/>
                      <w:vertAlign w:val="baseline"/>
                      <w:lang w:val="en-US" w:eastAsia="zh-CN"/>
                    </w:rPr>
                    <w:t>，</w:t>
                  </w:r>
                  <w:r>
                    <w:rPr>
                      <w:rFonts w:hint="eastAsia" w:cs="Times New Roman" w:eastAsiaTheme="minorEastAsia"/>
                      <w:sz w:val="21"/>
                      <w:szCs w:val="21"/>
                      <w:highlight w:val="none"/>
                      <w:vertAlign w:val="baseline"/>
                      <w:lang w:val="en-US" w:eastAsia="zh-CN"/>
                    </w:rPr>
                    <w:t>用于回填土地</w:t>
                  </w:r>
                  <w:r>
                    <w:rPr>
                      <w:rFonts w:hint="eastAsia" w:cs="Times New Roman"/>
                      <w:bCs/>
                      <w:color w:val="000000"/>
                      <w:szCs w:val="21"/>
                      <w:highlight w:val="none"/>
                      <w:lang w:val="en-US" w:eastAsia="zh-CN"/>
                    </w:rPr>
                    <w:t>。</w:t>
                  </w:r>
                </w:p>
              </w:tc>
            </w:tr>
            <w:tr w14:paraId="49E9464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107" w:hRule="atLeast"/>
                <w:jc w:val="center"/>
              </w:trPr>
              <w:tc>
                <w:tcPr>
                  <w:tcW w:w="411" w:type="pct"/>
                  <w:vMerge w:val="continue"/>
                  <w:tcBorders>
                    <w:tl2br w:val="nil"/>
                    <w:tr2bl w:val="nil"/>
                  </w:tcBorders>
                  <w:noWrap w:val="0"/>
                  <w:vAlign w:val="center"/>
                </w:tcPr>
                <w:p w14:paraId="76C749F3">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shd w:val="clear" w:color="auto" w:fill="auto"/>
                  <w:noWrap w:val="0"/>
                  <w:vAlign w:val="center"/>
                </w:tcPr>
                <w:p w14:paraId="4A2CE87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车辆冲洗工序</w:t>
                  </w:r>
                </w:p>
              </w:tc>
              <w:tc>
                <w:tcPr>
                  <w:tcW w:w="526" w:type="pct"/>
                  <w:tcBorders>
                    <w:tl2br w:val="nil"/>
                    <w:tr2bl w:val="nil"/>
                  </w:tcBorders>
                  <w:shd w:val="clear" w:color="auto" w:fill="auto"/>
                  <w:noWrap w:val="0"/>
                  <w:vAlign w:val="center"/>
                </w:tcPr>
                <w:p w14:paraId="431C204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污泥</w:t>
                  </w:r>
                </w:p>
              </w:tc>
              <w:tc>
                <w:tcPr>
                  <w:tcW w:w="3336" w:type="pct"/>
                  <w:tcBorders>
                    <w:tl2br w:val="nil"/>
                    <w:tr2bl w:val="nil"/>
                  </w:tcBorders>
                  <w:shd w:val="clear" w:color="auto" w:fill="auto"/>
                  <w:noWrap w:val="0"/>
                  <w:vAlign w:val="center"/>
                </w:tcPr>
                <w:p w14:paraId="0CE672C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kern w:val="2"/>
                      <w:sz w:val="21"/>
                      <w:szCs w:val="21"/>
                      <w:highlight w:val="none"/>
                      <w:lang w:val="en-US" w:eastAsia="zh-CN" w:bidi="ar-SA"/>
                    </w:rPr>
                  </w:pPr>
                  <w:r>
                    <w:rPr>
                      <w:rFonts w:hint="eastAsia" w:cs="Times New Roman"/>
                      <w:bCs/>
                      <w:color w:val="000000"/>
                      <w:szCs w:val="21"/>
                      <w:highlight w:val="none"/>
                      <w:lang w:val="en-US" w:eastAsia="zh-CN"/>
                    </w:rPr>
                    <w:t>车辆冲洗沉淀池污泥与泥饼一同回填土地填埋处理。</w:t>
                  </w:r>
                </w:p>
              </w:tc>
            </w:tr>
            <w:tr w14:paraId="29A443FB">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299" w:hRule="atLeast"/>
                <w:jc w:val="center"/>
              </w:trPr>
              <w:tc>
                <w:tcPr>
                  <w:tcW w:w="411" w:type="pct"/>
                  <w:vMerge w:val="continue"/>
                  <w:tcBorders>
                    <w:tl2br w:val="nil"/>
                    <w:tr2bl w:val="nil"/>
                  </w:tcBorders>
                  <w:noWrap w:val="0"/>
                  <w:vAlign w:val="center"/>
                </w:tcPr>
                <w:p w14:paraId="79378237">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noWrap w:val="0"/>
                  <w:vAlign w:val="center"/>
                </w:tcPr>
                <w:p w14:paraId="22D513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000000"/>
                      <w:szCs w:val="21"/>
                      <w:highlight w:val="none"/>
                      <w:lang w:val="zh-CN"/>
                    </w:rPr>
                  </w:pPr>
                  <w:r>
                    <w:rPr>
                      <w:rFonts w:hint="default" w:ascii="Times New Roman" w:hAnsi="Times New Roman" w:cs="Times New Roman"/>
                      <w:bCs/>
                      <w:color w:val="000000"/>
                      <w:szCs w:val="21"/>
                      <w:highlight w:val="none"/>
                      <w:lang w:val="zh-CN"/>
                    </w:rPr>
                    <w:t>袋式除</w:t>
                  </w:r>
                </w:p>
                <w:p w14:paraId="409CD68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000000"/>
                      <w:szCs w:val="21"/>
                      <w:highlight w:val="none"/>
                      <w:lang w:val="zh-CN"/>
                    </w:rPr>
                  </w:pPr>
                  <w:r>
                    <w:rPr>
                      <w:rFonts w:hint="default" w:ascii="Times New Roman" w:hAnsi="Times New Roman" w:cs="Times New Roman"/>
                      <w:bCs/>
                      <w:color w:val="000000"/>
                      <w:szCs w:val="21"/>
                      <w:highlight w:val="none"/>
                      <w:lang w:val="zh-CN"/>
                    </w:rPr>
                    <w:t>尘器</w:t>
                  </w:r>
                </w:p>
              </w:tc>
              <w:tc>
                <w:tcPr>
                  <w:tcW w:w="526" w:type="pct"/>
                  <w:tcBorders>
                    <w:tl2br w:val="nil"/>
                    <w:tr2bl w:val="nil"/>
                  </w:tcBorders>
                  <w:noWrap w:val="0"/>
                  <w:vAlign w:val="center"/>
                </w:tcPr>
                <w:p w14:paraId="24B2239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szCs w:val="21"/>
                      <w:highlight w:val="none"/>
                      <w:lang w:val="en-US" w:eastAsia="zh-CN"/>
                    </w:rPr>
                  </w:pPr>
                  <w:r>
                    <w:rPr>
                      <w:rFonts w:hint="eastAsia" w:cs="Times New Roman"/>
                      <w:bCs/>
                      <w:color w:val="000000"/>
                      <w:szCs w:val="21"/>
                      <w:highlight w:val="none"/>
                      <w:lang w:val="en-US" w:eastAsia="zh-CN"/>
                    </w:rPr>
                    <w:t>颗粒物</w:t>
                  </w:r>
                </w:p>
              </w:tc>
              <w:tc>
                <w:tcPr>
                  <w:tcW w:w="3336" w:type="pct"/>
                  <w:tcBorders>
                    <w:tl2br w:val="nil"/>
                    <w:tr2bl w:val="nil"/>
                  </w:tcBorders>
                  <w:noWrap w:val="0"/>
                  <w:vAlign w:val="center"/>
                </w:tcPr>
                <w:p w14:paraId="4CF15D9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szCs w:val="21"/>
                      <w:highlight w:val="none"/>
                      <w:lang w:val="en-US" w:eastAsia="zh-CN"/>
                    </w:rPr>
                  </w:pPr>
                  <w:r>
                    <w:rPr>
                      <w:rFonts w:hint="eastAsia" w:cs="Times New Roman"/>
                      <w:bCs/>
                      <w:color w:val="000000"/>
                      <w:szCs w:val="21"/>
                      <w:highlight w:val="none"/>
                      <w:lang w:val="en-US" w:eastAsia="zh-CN"/>
                    </w:rPr>
                    <w:t>企业统一定期收集后循环回用。</w:t>
                  </w:r>
                </w:p>
              </w:tc>
            </w:tr>
            <w:tr w14:paraId="7A96906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191" w:hRule="atLeast"/>
                <w:jc w:val="center"/>
              </w:trPr>
              <w:tc>
                <w:tcPr>
                  <w:tcW w:w="411" w:type="pct"/>
                  <w:vMerge w:val="continue"/>
                  <w:tcBorders>
                    <w:tl2br w:val="nil"/>
                    <w:tr2bl w:val="nil"/>
                  </w:tcBorders>
                  <w:noWrap w:val="0"/>
                  <w:vAlign w:val="center"/>
                </w:tcPr>
                <w:p w14:paraId="1127285E">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noWrap w:val="0"/>
                  <w:vAlign w:val="center"/>
                </w:tcPr>
                <w:p w14:paraId="02E36EF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000000"/>
                      <w:szCs w:val="21"/>
                      <w:highlight w:val="none"/>
                      <w:lang w:val="zh-CN"/>
                    </w:rPr>
                  </w:pPr>
                  <w:r>
                    <w:rPr>
                      <w:rFonts w:hint="default" w:ascii="Times New Roman" w:hAnsi="Times New Roman" w:cs="Times New Roman"/>
                      <w:bCs/>
                      <w:color w:val="000000"/>
                      <w:szCs w:val="21"/>
                      <w:highlight w:val="none"/>
                      <w:lang w:val="zh-CN"/>
                    </w:rPr>
                    <w:t>袋式除</w:t>
                  </w:r>
                </w:p>
                <w:p w14:paraId="444967E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000000"/>
                      <w:szCs w:val="21"/>
                      <w:highlight w:val="none"/>
                      <w:lang w:val="zh-CN"/>
                    </w:rPr>
                  </w:pPr>
                  <w:r>
                    <w:rPr>
                      <w:rFonts w:hint="default" w:ascii="Times New Roman" w:hAnsi="Times New Roman" w:cs="Times New Roman"/>
                      <w:bCs/>
                      <w:color w:val="000000"/>
                      <w:szCs w:val="21"/>
                      <w:highlight w:val="none"/>
                      <w:lang w:val="zh-CN"/>
                    </w:rPr>
                    <w:t>尘器</w:t>
                  </w:r>
                </w:p>
              </w:tc>
              <w:tc>
                <w:tcPr>
                  <w:tcW w:w="526" w:type="pct"/>
                  <w:tcBorders>
                    <w:tl2br w:val="nil"/>
                    <w:tr2bl w:val="nil"/>
                  </w:tcBorders>
                  <w:noWrap w:val="0"/>
                  <w:vAlign w:val="center"/>
                </w:tcPr>
                <w:p w14:paraId="373A78F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滤袋</w:t>
                  </w:r>
                </w:p>
              </w:tc>
              <w:tc>
                <w:tcPr>
                  <w:tcW w:w="3336" w:type="pct"/>
                  <w:tcBorders>
                    <w:tl2br w:val="nil"/>
                    <w:tr2bl w:val="nil"/>
                  </w:tcBorders>
                  <w:noWrap w:val="0"/>
                  <w:vAlign w:val="center"/>
                </w:tcPr>
                <w:p w14:paraId="5DDB6B5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Cs/>
                      <w:color w:val="000000"/>
                      <w:szCs w:val="21"/>
                      <w:highlight w:val="none"/>
                      <w:lang w:val="en-US" w:eastAsia="zh-CN"/>
                    </w:rPr>
                  </w:pPr>
                  <w:r>
                    <w:rPr>
                      <w:rFonts w:hint="eastAsia" w:ascii="Times New Roman" w:hAnsi="Times New Roman" w:eastAsia="宋体" w:cs="宋体"/>
                      <w:color w:val="auto"/>
                      <w:kern w:val="2"/>
                      <w:sz w:val="21"/>
                      <w:szCs w:val="21"/>
                      <w:highlight w:val="none"/>
                      <w:lang w:val="en-US" w:eastAsia="zh-CN" w:bidi="ar-SA"/>
                    </w:rPr>
                    <w:t>由</w:t>
                  </w:r>
                  <w:r>
                    <w:rPr>
                      <w:rFonts w:hint="eastAsia" w:cs="宋体"/>
                      <w:color w:val="auto"/>
                      <w:kern w:val="2"/>
                      <w:sz w:val="21"/>
                      <w:szCs w:val="21"/>
                      <w:highlight w:val="none"/>
                      <w:lang w:val="en-US" w:eastAsia="zh-CN" w:bidi="ar-SA"/>
                    </w:rPr>
                    <w:t>原厂家回收处理</w:t>
                  </w:r>
                  <w:r>
                    <w:rPr>
                      <w:rFonts w:hint="eastAsia" w:ascii="Times New Roman" w:hAnsi="Times New Roman" w:cs="宋体"/>
                      <w:color w:val="auto"/>
                      <w:kern w:val="2"/>
                      <w:sz w:val="21"/>
                      <w:szCs w:val="21"/>
                      <w:highlight w:val="none"/>
                      <w:lang w:val="en-US" w:eastAsia="zh-CN" w:bidi="ar-SA"/>
                    </w:rPr>
                    <w:t>。</w:t>
                  </w:r>
                </w:p>
              </w:tc>
            </w:tr>
            <w:tr w14:paraId="5DC28D0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90" w:hRule="atLeast"/>
                <w:jc w:val="center"/>
              </w:trPr>
              <w:tc>
                <w:tcPr>
                  <w:tcW w:w="411" w:type="pct"/>
                  <w:vMerge w:val="continue"/>
                  <w:tcBorders>
                    <w:tl2br w:val="nil"/>
                    <w:tr2bl w:val="nil"/>
                  </w:tcBorders>
                  <w:noWrap w:val="0"/>
                  <w:vAlign w:val="center"/>
                </w:tcPr>
                <w:p w14:paraId="5A08132E">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shd w:val="clear" w:color="auto" w:fill="auto"/>
                  <w:noWrap w:val="0"/>
                  <w:vAlign w:val="center"/>
                </w:tcPr>
                <w:p w14:paraId="0A3452C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kern w:val="2"/>
                      <w:sz w:val="21"/>
                      <w:szCs w:val="21"/>
                      <w:highlight w:val="none"/>
                      <w:lang w:val="zh-CN" w:eastAsia="zh-CN" w:bidi="ar-SA"/>
                    </w:rPr>
                  </w:pPr>
                  <w:r>
                    <w:rPr>
                      <w:rFonts w:hint="eastAsia" w:cs="Times New Roman"/>
                      <w:bCs/>
                      <w:color w:val="000000"/>
                      <w:szCs w:val="21"/>
                      <w:highlight w:val="none"/>
                      <w:lang w:val="en-US" w:eastAsia="zh-CN"/>
                    </w:rPr>
                    <w:t>絮凝剂</w:t>
                  </w:r>
                </w:p>
              </w:tc>
              <w:tc>
                <w:tcPr>
                  <w:tcW w:w="526" w:type="pct"/>
                  <w:tcBorders>
                    <w:tl2br w:val="nil"/>
                    <w:tr2bl w:val="nil"/>
                  </w:tcBorders>
                  <w:shd w:val="clear" w:color="auto" w:fill="auto"/>
                  <w:noWrap w:val="0"/>
                  <w:vAlign w:val="center"/>
                </w:tcPr>
                <w:p w14:paraId="058A4E4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cs="Times New Roman"/>
                      <w:color w:val="000000"/>
                      <w:szCs w:val="21"/>
                      <w:highlight w:val="none"/>
                      <w:lang w:val="en-US" w:eastAsia="zh-CN"/>
                    </w:rPr>
                    <w:t>包装袋</w:t>
                  </w:r>
                </w:p>
              </w:tc>
              <w:tc>
                <w:tcPr>
                  <w:tcW w:w="3336" w:type="pct"/>
                  <w:tcBorders>
                    <w:tl2br w:val="nil"/>
                    <w:tr2bl w:val="nil"/>
                  </w:tcBorders>
                  <w:shd w:val="clear" w:color="auto" w:fill="auto"/>
                  <w:noWrap w:val="0"/>
                  <w:vAlign w:val="center"/>
                </w:tcPr>
                <w:p w14:paraId="365B5A8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kern w:val="2"/>
                      <w:sz w:val="21"/>
                      <w:szCs w:val="21"/>
                      <w:highlight w:val="none"/>
                      <w:lang w:val="en-US" w:eastAsia="zh-CN" w:bidi="ar-SA"/>
                    </w:rPr>
                    <w:t>由环卫部门集中清运</w:t>
                  </w:r>
                  <w:r>
                    <w:rPr>
                      <w:rFonts w:hint="eastAsia" w:ascii="Times New Roman" w:hAnsi="Times New Roman" w:cs="宋体"/>
                      <w:color w:val="auto"/>
                      <w:kern w:val="2"/>
                      <w:sz w:val="21"/>
                      <w:szCs w:val="21"/>
                      <w:highlight w:val="none"/>
                      <w:lang w:val="en-US" w:eastAsia="zh-CN" w:bidi="ar-SA"/>
                    </w:rPr>
                    <w:t>。</w:t>
                  </w:r>
                </w:p>
              </w:tc>
            </w:tr>
            <w:tr w14:paraId="25A7005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975" w:hRule="atLeast"/>
                <w:jc w:val="center"/>
              </w:trPr>
              <w:tc>
                <w:tcPr>
                  <w:tcW w:w="411" w:type="pct"/>
                  <w:vMerge w:val="continue"/>
                  <w:tcBorders>
                    <w:tl2br w:val="nil"/>
                    <w:tr2bl w:val="nil"/>
                  </w:tcBorders>
                  <w:noWrap w:val="0"/>
                  <w:vAlign w:val="center"/>
                </w:tcPr>
                <w:p w14:paraId="78E74174">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noWrap w:val="0"/>
                  <w:vAlign w:val="center"/>
                </w:tcPr>
                <w:p w14:paraId="3DC33F8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000000"/>
                      <w:szCs w:val="21"/>
                      <w:highlight w:val="none"/>
                      <w:lang w:val="zh-CN"/>
                    </w:rPr>
                  </w:pPr>
                  <w:r>
                    <w:rPr>
                      <w:rFonts w:hint="default" w:ascii="Times New Roman" w:hAnsi="Times New Roman" w:cs="Times New Roman"/>
                      <w:bCs/>
                      <w:color w:val="000000"/>
                      <w:szCs w:val="21"/>
                      <w:highlight w:val="none"/>
                      <w:lang w:val="zh-CN"/>
                    </w:rPr>
                    <w:t>设备保养</w:t>
                  </w:r>
                </w:p>
              </w:tc>
              <w:tc>
                <w:tcPr>
                  <w:tcW w:w="526" w:type="pct"/>
                  <w:tcBorders>
                    <w:tl2br w:val="nil"/>
                    <w:tr2bl w:val="nil"/>
                  </w:tcBorders>
                  <w:noWrap w:val="0"/>
                  <w:vAlign w:val="center"/>
                </w:tcPr>
                <w:p w14:paraId="6CAE3EC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废润滑油、废润滑油桶</w:t>
                  </w:r>
                </w:p>
              </w:tc>
              <w:tc>
                <w:tcPr>
                  <w:tcW w:w="3336" w:type="pct"/>
                  <w:tcBorders>
                    <w:tl2br w:val="nil"/>
                    <w:tr2bl w:val="nil"/>
                  </w:tcBorders>
                  <w:noWrap w:val="0"/>
                  <w:vAlign w:val="center"/>
                </w:tcPr>
                <w:p w14:paraId="5C5B4F6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szCs w:val="21"/>
                      <w:highlight w:val="none"/>
                      <w:lang w:val="zh-CN" w:eastAsia="zh-CN"/>
                    </w:rPr>
                  </w:pPr>
                  <w:r>
                    <w:rPr>
                      <w:rFonts w:hint="eastAsia" w:cs="Times New Roman"/>
                      <w:color w:val="000000"/>
                      <w:szCs w:val="21"/>
                      <w:highlight w:val="none"/>
                      <w:lang w:val="en-US" w:eastAsia="zh-CN"/>
                    </w:rPr>
                    <w:t>生产过程中产生的危险废物</w:t>
                  </w:r>
                  <w:r>
                    <w:rPr>
                      <w:rFonts w:hint="default" w:ascii="Times New Roman" w:hAnsi="Times New Roman" w:cs="Times New Roman"/>
                      <w:color w:val="000000"/>
                      <w:szCs w:val="21"/>
                      <w:highlight w:val="none"/>
                      <w:lang w:val="en-US" w:eastAsia="zh-CN"/>
                    </w:rPr>
                    <w:t>暂存于危废暂存间</w:t>
                  </w:r>
                  <w:r>
                    <w:rPr>
                      <w:rFonts w:hint="eastAsia" w:cs="Times New Roman"/>
                      <w:color w:val="000000"/>
                      <w:szCs w:val="21"/>
                      <w:highlight w:val="none"/>
                      <w:lang w:val="en-US" w:eastAsia="zh-CN"/>
                    </w:rPr>
                    <w:t>（4m</w:t>
                  </w:r>
                  <w:r>
                    <w:rPr>
                      <w:rFonts w:hint="eastAsia" w:cs="Times New Roman"/>
                      <w:color w:val="000000"/>
                      <w:szCs w:val="21"/>
                      <w:highlight w:val="none"/>
                      <w:vertAlign w:val="superscript"/>
                      <w:lang w:val="en-US" w:eastAsia="zh-CN"/>
                    </w:rPr>
                    <w:t>2</w:t>
                  </w:r>
                  <w:r>
                    <w:rPr>
                      <w:rFonts w:hint="eastAsia" w:cs="Times New Roman"/>
                      <w:color w:val="000000"/>
                      <w:szCs w:val="21"/>
                      <w:highlight w:val="none"/>
                      <w:lang w:val="en-US" w:eastAsia="zh-CN"/>
                    </w:rPr>
                    <w:t>）</w:t>
                  </w:r>
                  <w:r>
                    <w:rPr>
                      <w:rFonts w:hint="default" w:ascii="Times New Roman" w:hAnsi="Times New Roman" w:cs="Times New Roman"/>
                      <w:color w:val="000000"/>
                      <w:szCs w:val="21"/>
                      <w:highlight w:val="none"/>
                      <w:lang w:val="en-US" w:eastAsia="zh-CN"/>
                    </w:rPr>
                    <w:t>，</w:t>
                  </w:r>
                  <w:r>
                    <w:rPr>
                      <w:rFonts w:hint="default" w:ascii="Times New Roman" w:hAnsi="Times New Roman" w:cs="Times New Roman"/>
                      <w:color w:val="000000"/>
                      <w:szCs w:val="21"/>
                      <w:highlight w:val="none"/>
                    </w:rPr>
                    <w:t>定期委托</w:t>
                  </w:r>
                  <w:r>
                    <w:rPr>
                      <w:rFonts w:hint="eastAsia" w:cs="Times New Roman"/>
                      <w:color w:val="000000"/>
                      <w:szCs w:val="21"/>
                      <w:highlight w:val="none"/>
                      <w:lang w:val="en-US" w:eastAsia="zh-CN"/>
                    </w:rPr>
                    <w:t>给</w:t>
                  </w:r>
                  <w:r>
                    <w:rPr>
                      <w:rFonts w:hint="default" w:ascii="Times New Roman" w:hAnsi="Times New Roman" w:cs="Times New Roman"/>
                      <w:color w:val="000000"/>
                      <w:szCs w:val="21"/>
                      <w:highlight w:val="none"/>
                    </w:rPr>
                    <w:t>有资质</w:t>
                  </w:r>
                  <w:r>
                    <w:rPr>
                      <w:rFonts w:hint="eastAsia" w:cs="Times New Roman"/>
                      <w:color w:val="000000"/>
                      <w:szCs w:val="21"/>
                      <w:highlight w:val="none"/>
                      <w:lang w:val="en-US" w:eastAsia="zh-CN"/>
                    </w:rPr>
                    <w:t>的</w:t>
                  </w:r>
                  <w:r>
                    <w:rPr>
                      <w:rFonts w:hint="default" w:ascii="Times New Roman" w:hAnsi="Times New Roman" w:cs="Times New Roman"/>
                      <w:color w:val="000000"/>
                      <w:szCs w:val="21"/>
                      <w:highlight w:val="none"/>
                    </w:rPr>
                    <w:t>单位</w:t>
                  </w:r>
                  <w:r>
                    <w:rPr>
                      <w:rFonts w:hint="eastAsia" w:cs="Times New Roman"/>
                      <w:color w:val="000000"/>
                      <w:szCs w:val="21"/>
                      <w:highlight w:val="none"/>
                      <w:lang w:val="en-US" w:eastAsia="zh-CN"/>
                    </w:rPr>
                    <w:t>进行</w:t>
                  </w:r>
                  <w:r>
                    <w:rPr>
                      <w:rFonts w:hint="default" w:ascii="Times New Roman" w:hAnsi="Times New Roman" w:cs="Times New Roman"/>
                      <w:color w:val="000000"/>
                      <w:szCs w:val="21"/>
                      <w:highlight w:val="none"/>
                    </w:rPr>
                    <w:t>安全处置</w:t>
                  </w:r>
                  <w:r>
                    <w:rPr>
                      <w:rFonts w:hint="eastAsia" w:cs="Times New Roman"/>
                      <w:color w:val="000000"/>
                      <w:szCs w:val="21"/>
                      <w:highlight w:val="none"/>
                      <w:lang w:eastAsia="zh-CN"/>
                    </w:rPr>
                    <w:t>。</w:t>
                  </w:r>
                </w:p>
              </w:tc>
            </w:tr>
            <w:tr w14:paraId="4257FF3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251" w:hRule="atLeast"/>
                <w:jc w:val="center"/>
              </w:trPr>
              <w:tc>
                <w:tcPr>
                  <w:tcW w:w="411" w:type="pct"/>
                  <w:vMerge w:val="continue"/>
                  <w:tcBorders>
                    <w:tl2br w:val="nil"/>
                    <w:tr2bl w:val="nil"/>
                  </w:tcBorders>
                  <w:noWrap w:val="0"/>
                  <w:vAlign w:val="center"/>
                </w:tcPr>
                <w:p w14:paraId="3C144D45">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p>
              </w:tc>
              <w:tc>
                <w:tcPr>
                  <w:tcW w:w="726" w:type="pct"/>
                  <w:tcBorders>
                    <w:tl2br w:val="nil"/>
                    <w:tr2bl w:val="nil"/>
                  </w:tcBorders>
                  <w:noWrap w:val="0"/>
                  <w:vAlign w:val="center"/>
                </w:tcPr>
                <w:p w14:paraId="5927EEE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szCs w:val="21"/>
                      <w:highlight w:val="none"/>
                      <w:lang w:val="en-US" w:eastAsia="zh-CN"/>
                    </w:rPr>
                  </w:pPr>
                  <w:r>
                    <w:rPr>
                      <w:rFonts w:hint="default" w:ascii="Times New Roman" w:hAnsi="Times New Roman" w:cs="Times New Roman"/>
                      <w:bCs/>
                      <w:color w:val="000000"/>
                      <w:szCs w:val="21"/>
                      <w:highlight w:val="none"/>
                      <w:lang w:val="zh-CN"/>
                    </w:rPr>
                    <w:t>职工</w:t>
                  </w:r>
                  <w:r>
                    <w:rPr>
                      <w:rFonts w:hint="eastAsia" w:cs="Times New Roman"/>
                      <w:bCs/>
                      <w:color w:val="000000"/>
                      <w:szCs w:val="21"/>
                      <w:highlight w:val="none"/>
                      <w:lang w:val="en-US" w:eastAsia="zh-CN"/>
                    </w:rPr>
                    <w:t>生活</w:t>
                  </w:r>
                </w:p>
              </w:tc>
              <w:tc>
                <w:tcPr>
                  <w:tcW w:w="526" w:type="pct"/>
                  <w:tcBorders>
                    <w:tl2br w:val="nil"/>
                    <w:tr2bl w:val="nil"/>
                  </w:tcBorders>
                  <w:noWrap w:val="0"/>
                  <w:vAlign w:val="center"/>
                </w:tcPr>
                <w:p w14:paraId="194962F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Cs w:val="21"/>
                      <w:highlight w:val="none"/>
                      <w:lang w:val="zh-CN"/>
                    </w:rPr>
                  </w:pPr>
                  <w:r>
                    <w:rPr>
                      <w:rFonts w:hint="default" w:ascii="Times New Roman" w:hAnsi="Times New Roman" w:cs="Times New Roman"/>
                      <w:color w:val="000000"/>
                      <w:kern w:val="0"/>
                      <w:szCs w:val="21"/>
                      <w:highlight w:val="none"/>
                      <w:lang w:val="zh-CN"/>
                    </w:rPr>
                    <w:t>生活</w:t>
                  </w:r>
                </w:p>
                <w:p w14:paraId="434F951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000000"/>
                      <w:szCs w:val="21"/>
                      <w:highlight w:val="none"/>
                      <w:lang w:val="zh-CN"/>
                    </w:rPr>
                  </w:pPr>
                  <w:r>
                    <w:rPr>
                      <w:rFonts w:hint="default" w:ascii="Times New Roman" w:hAnsi="Times New Roman" w:cs="Times New Roman"/>
                      <w:color w:val="000000"/>
                      <w:kern w:val="0"/>
                      <w:szCs w:val="21"/>
                      <w:highlight w:val="none"/>
                      <w:lang w:val="zh-CN"/>
                    </w:rPr>
                    <w:t>垃圾</w:t>
                  </w:r>
                </w:p>
              </w:tc>
              <w:tc>
                <w:tcPr>
                  <w:tcW w:w="3336" w:type="pct"/>
                  <w:tcBorders>
                    <w:tl2br w:val="nil"/>
                    <w:tr2bl w:val="nil"/>
                  </w:tcBorders>
                  <w:noWrap w:val="0"/>
                  <w:vAlign w:val="center"/>
                </w:tcPr>
                <w:p w14:paraId="7C50A3F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000000"/>
                      <w:szCs w:val="21"/>
                      <w:highlight w:val="none"/>
                      <w:lang w:val="zh-CN"/>
                    </w:rPr>
                  </w:pPr>
                  <w:r>
                    <w:rPr>
                      <w:rFonts w:hint="eastAsia" w:cs="宋体"/>
                      <w:color w:val="auto"/>
                      <w:kern w:val="2"/>
                      <w:sz w:val="21"/>
                      <w:szCs w:val="21"/>
                      <w:highlight w:val="none"/>
                      <w:lang w:val="en-US" w:eastAsia="zh-CN" w:bidi="ar-SA"/>
                    </w:rPr>
                    <w:t>企业将生活垃圾分类收集处理</w:t>
                  </w:r>
                  <w:r>
                    <w:rPr>
                      <w:rFonts w:hint="eastAsia" w:ascii="Times New Roman" w:hAnsi="Times New Roman" w:eastAsia="宋体" w:cs="宋体"/>
                      <w:color w:val="auto"/>
                      <w:kern w:val="2"/>
                      <w:sz w:val="21"/>
                      <w:szCs w:val="21"/>
                      <w:highlight w:val="none"/>
                      <w:lang w:val="en-US" w:eastAsia="zh-CN" w:bidi="ar-SA"/>
                    </w:rPr>
                    <w:t>，由环卫部门集中清运</w:t>
                  </w:r>
                  <w:r>
                    <w:rPr>
                      <w:rFonts w:hint="eastAsia" w:cs="宋体"/>
                      <w:color w:val="auto"/>
                      <w:kern w:val="2"/>
                      <w:sz w:val="21"/>
                      <w:szCs w:val="21"/>
                      <w:highlight w:val="none"/>
                      <w:lang w:val="en-US" w:eastAsia="zh-CN" w:bidi="ar-SA"/>
                    </w:rPr>
                    <w:t>。</w:t>
                  </w:r>
                </w:p>
              </w:tc>
            </w:tr>
            <w:tr w14:paraId="5E20E4D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91" w:hRule="atLeast"/>
                <w:jc w:val="center"/>
              </w:trPr>
              <w:tc>
                <w:tcPr>
                  <w:tcW w:w="411" w:type="pct"/>
                  <w:tcBorders>
                    <w:tl2br w:val="nil"/>
                    <w:tr2bl w:val="nil"/>
                  </w:tcBorders>
                  <w:noWrap w:val="0"/>
                  <w:vAlign w:val="center"/>
                </w:tcPr>
                <w:p w14:paraId="78BB46DA">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噪声</w:t>
                  </w:r>
                </w:p>
              </w:tc>
              <w:tc>
                <w:tcPr>
                  <w:tcW w:w="726" w:type="pct"/>
                  <w:tcBorders>
                    <w:tl2br w:val="nil"/>
                    <w:tr2bl w:val="nil"/>
                  </w:tcBorders>
                  <w:noWrap w:val="0"/>
                  <w:vAlign w:val="center"/>
                </w:tcPr>
                <w:p w14:paraId="6EF6CDC0">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生产设备</w:t>
                  </w:r>
                </w:p>
              </w:tc>
              <w:tc>
                <w:tcPr>
                  <w:tcW w:w="526" w:type="pct"/>
                  <w:tcBorders>
                    <w:tl2br w:val="nil"/>
                    <w:tr2bl w:val="nil"/>
                  </w:tcBorders>
                  <w:noWrap w:val="0"/>
                  <w:vAlign w:val="center"/>
                </w:tcPr>
                <w:p w14:paraId="139377C8">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噪声</w:t>
                  </w:r>
                </w:p>
              </w:tc>
              <w:tc>
                <w:tcPr>
                  <w:tcW w:w="3336" w:type="pct"/>
                  <w:tcBorders>
                    <w:tl2br w:val="nil"/>
                    <w:tr2bl w:val="nil"/>
                  </w:tcBorders>
                  <w:noWrap w:val="0"/>
                  <w:vAlign w:val="center"/>
                </w:tcPr>
                <w:p w14:paraId="2594FF31">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基础减振、厂房隔声等</w:t>
                  </w:r>
                </w:p>
              </w:tc>
            </w:tr>
          </w:tbl>
          <w:p w14:paraId="3CE0ABC9">
            <w:pPr>
              <w:pStyle w:val="35"/>
              <w:ind w:firstLine="0"/>
              <w:rPr>
                <w:rFonts w:hint="default" w:ascii="Times New Roman" w:hAnsi="Times New Roman" w:cs="Times New Roman"/>
                <w:bCs/>
                <w:highlight w:val="none"/>
              </w:rPr>
            </w:pPr>
          </w:p>
        </w:tc>
      </w:tr>
      <w:tr w14:paraId="3041B8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47" w:hRule="atLeast"/>
          <w:jc w:val="center"/>
        </w:trPr>
        <w:tc>
          <w:tcPr>
            <w:tcW w:w="817" w:type="dxa"/>
            <w:noWrap w:val="0"/>
            <w:vAlign w:val="center"/>
          </w:tcPr>
          <w:p w14:paraId="09F00DF3">
            <w:pPr>
              <w:pStyle w:val="20"/>
              <w:adjustRightInd w:val="0"/>
              <w:snapToGrid w:val="0"/>
              <w:spacing w:before="0" w:beforeAutospacing="0" w:after="0" w:afterAutospacing="0"/>
              <w:jc w:val="center"/>
              <w:rPr>
                <w:rFonts w:hint="default" w:ascii="Times New Roman" w:hAnsi="Times New Roman" w:cs="Times New Roman"/>
                <w:b/>
                <w:szCs w:val="24"/>
                <w:highlight w:val="none"/>
                <w:lang w:val="en-US" w:eastAsia="zh-CN"/>
              </w:rPr>
            </w:pPr>
            <w:r>
              <w:rPr>
                <w:rFonts w:hint="default" w:ascii="Times New Roman" w:hAnsi="Times New Roman" w:cs="Times New Roman"/>
                <w:b/>
                <w:bCs/>
                <w:kern w:val="2"/>
                <w:szCs w:val="24"/>
                <w:highlight w:val="none"/>
                <w:lang w:val="en-US" w:eastAsia="zh-CN"/>
              </w:rPr>
              <w:t>与项目有关的原有环境污染问题</w:t>
            </w:r>
          </w:p>
        </w:tc>
        <w:tc>
          <w:tcPr>
            <w:tcW w:w="8243" w:type="dxa"/>
            <w:noWrap w:val="0"/>
            <w:vAlign w:val="center"/>
          </w:tcPr>
          <w:p w14:paraId="3BEDFB80">
            <w:pPr>
              <w:pStyle w:val="35"/>
              <w:rPr>
                <w:rFonts w:hint="default" w:ascii="Times New Roman" w:hAnsi="Times New Roman" w:cs="Times New Roman"/>
                <w:bCs/>
                <w:highlight w:val="none"/>
              </w:rPr>
            </w:pPr>
            <w:r>
              <w:rPr>
                <w:rFonts w:hint="default" w:ascii="Times New Roman" w:hAnsi="Times New Roman" w:cs="Times New Roman"/>
                <w:bCs/>
                <w:highlight w:val="none"/>
              </w:rPr>
              <w:t>本项目选址位于</w:t>
            </w:r>
            <w:r>
              <w:rPr>
                <w:rFonts w:hint="default" w:ascii="Times New Roman" w:hAnsi="Times New Roman" w:cs="Times New Roman"/>
                <w:bCs/>
                <w:highlight w:val="none"/>
                <w:lang w:eastAsia="zh-CN"/>
              </w:rPr>
              <w:t>平顶山</w:t>
            </w:r>
            <w:r>
              <w:rPr>
                <w:rFonts w:hint="default" w:ascii="Times New Roman" w:hAnsi="Times New Roman" w:cs="Times New Roman"/>
                <w:bCs/>
                <w:highlight w:val="none"/>
                <w:lang w:val="en-US" w:eastAsia="zh-CN"/>
              </w:rPr>
              <w:t>市叶县廉村镇湾张村东南地叶廉路北侧建设该项目</w:t>
            </w:r>
            <w:r>
              <w:rPr>
                <w:rFonts w:hint="default" w:ascii="Times New Roman" w:hAnsi="Times New Roman" w:cs="Times New Roman"/>
                <w:bCs/>
                <w:highlight w:val="none"/>
                <w:lang w:eastAsia="zh-CN"/>
              </w:rPr>
              <w:t>，</w:t>
            </w:r>
            <w:r>
              <w:rPr>
                <w:rFonts w:hint="default" w:ascii="Times New Roman" w:hAnsi="Times New Roman" w:cs="Times New Roman"/>
                <w:bCs/>
                <w:highlight w:val="none"/>
                <w:lang w:val="en-US" w:eastAsia="zh-CN"/>
              </w:rPr>
              <w:t>经现场勘查，该选址</w:t>
            </w:r>
            <w:r>
              <w:rPr>
                <w:rFonts w:hint="default" w:ascii="Times New Roman" w:hAnsi="Times New Roman" w:cs="Times New Roman"/>
                <w:bCs/>
                <w:highlight w:val="none"/>
                <w:lang w:eastAsia="zh-CN"/>
              </w:rPr>
              <w:t>现状为空地，</w:t>
            </w:r>
            <w:r>
              <w:rPr>
                <w:rFonts w:hint="default" w:ascii="Times New Roman" w:hAnsi="Times New Roman" w:cs="Times New Roman"/>
                <w:bCs/>
                <w:highlight w:val="none"/>
                <w:lang w:val="en-US" w:eastAsia="zh-CN"/>
              </w:rPr>
              <w:t>本</w:t>
            </w:r>
            <w:r>
              <w:rPr>
                <w:rFonts w:hint="default" w:ascii="Times New Roman" w:hAnsi="Times New Roman" w:cs="Times New Roman"/>
                <w:bCs/>
                <w:highlight w:val="none"/>
                <w:lang w:eastAsia="zh-CN"/>
              </w:rPr>
              <w:t>项目为新建，</w:t>
            </w:r>
            <w:r>
              <w:rPr>
                <w:rFonts w:hint="default" w:ascii="Times New Roman" w:hAnsi="Times New Roman" w:cs="Times New Roman"/>
                <w:bCs/>
                <w:highlight w:val="none"/>
                <w:lang w:val="en-US" w:eastAsia="zh-CN"/>
              </w:rPr>
              <w:t>因此，</w:t>
            </w:r>
            <w:r>
              <w:rPr>
                <w:rFonts w:hint="default" w:ascii="Times New Roman" w:hAnsi="Times New Roman" w:cs="Times New Roman"/>
                <w:bCs/>
                <w:highlight w:val="none"/>
                <w:lang w:eastAsia="zh-CN"/>
              </w:rPr>
              <w:t>不存在原有环境污染问题。</w:t>
            </w:r>
          </w:p>
        </w:tc>
      </w:tr>
    </w:tbl>
    <w:p w14:paraId="19CE69B9">
      <w:pPr>
        <w:pStyle w:val="20"/>
        <w:jc w:val="center"/>
        <w:rPr>
          <w:rFonts w:ascii="黑体" w:hAnsi="黑体" w:eastAsia="黑体"/>
          <w:snapToGrid w:val="0"/>
          <w:sz w:val="36"/>
          <w:szCs w:val="36"/>
        </w:rPr>
        <w:sectPr>
          <w:footerReference r:id="rId4" w:type="default"/>
          <w:pgSz w:w="11906" w:h="16838"/>
          <w:pgMar w:top="1440" w:right="1080" w:bottom="1440" w:left="1080"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4329EEC9">
      <w:pPr>
        <w:pStyle w:val="20"/>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textAlignment w:val="auto"/>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37"/>
        <w:gridCol w:w="8353"/>
      </w:tblGrid>
      <w:tr w14:paraId="771AB2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66" w:hRule="atLeast"/>
          <w:jc w:val="center"/>
        </w:trPr>
        <w:tc>
          <w:tcPr>
            <w:tcW w:w="637" w:type="dxa"/>
            <w:noWrap w:val="0"/>
            <w:vAlign w:val="center"/>
          </w:tcPr>
          <w:p w14:paraId="3BD904D2">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区域</w:t>
            </w:r>
          </w:p>
          <w:p w14:paraId="7406546D">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环境</w:t>
            </w:r>
          </w:p>
          <w:p w14:paraId="729BA03F">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质量</w:t>
            </w:r>
          </w:p>
          <w:p w14:paraId="36165C26">
            <w:pPr>
              <w:adjustRightInd w:val="0"/>
              <w:snapToGrid w:val="0"/>
              <w:jc w:val="center"/>
              <w:rPr>
                <w:rFonts w:ascii="宋体" w:hAnsi="宋体" w:cs="宋体"/>
                <w:kern w:val="0"/>
                <w:highlight w:val="none"/>
              </w:rPr>
            </w:pPr>
            <w:r>
              <w:rPr>
                <w:rFonts w:hint="eastAsia" w:ascii="宋体" w:hAnsi="宋体" w:cs="宋体"/>
                <w:b/>
                <w:kern w:val="0"/>
                <w:sz w:val="24"/>
                <w:highlight w:val="none"/>
              </w:rPr>
              <w:t>现状</w:t>
            </w:r>
          </w:p>
        </w:tc>
        <w:tc>
          <w:tcPr>
            <w:tcW w:w="8353" w:type="dxa"/>
            <w:noWrap w:val="0"/>
            <w:vAlign w:val="center"/>
          </w:tcPr>
          <w:p w14:paraId="6AEC4528">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b/>
                <w:highlight w:val="none"/>
                <w:lang w:val="en-US" w:eastAsia="zh-CN"/>
              </w:rPr>
            </w:pPr>
            <w:r>
              <w:rPr>
                <w:rFonts w:hint="default" w:ascii="Times New Roman" w:hAnsi="Times New Roman" w:cs="Times New Roman"/>
                <w:b/>
                <w:highlight w:val="none"/>
              </w:rPr>
              <w:t>1、大气环境</w:t>
            </w:r>
            <w:r>
              <w:rPr>
                <w:rFonts w:hint="eastAsia" w:hAnsi="Times New Roman" w:cs="Times New Roman"/>
                <w:b/>
                <w:highlight w:val="none"/>
                <w:lang w:val="en-US" w:eastAsia="zh-CN"/>
              </w:rPr>
              <w:t>质量现状</w:t>
            </w:r>
          </w:p>
          <w:p w14:paraId="357AC94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本项目选址位于</w:t>
            </w:r>
            <w:r>
              <w:rPr>
                <w:rFonts w:hint="default" w:ascii="Times New Roman" w:hAnsi="Times New Roman" w:cs="Times New Roman"/>
                <w:bCs/>
                <w:sz w:val="24"/>
                <w:szCs w:val="24"/>
                <w:highlight w:val="none"/>
                <w:lang w:eastAsia="zh-CN"/>
              </w:rPr>
              <w:t>平顶山</w:t>
            </w:r>
            <w:r>
              <w:rPr>
                <w:rFonts w:hint="default" w:ascii="Times New Roman" w:hAnsi="Times New Roman" w:cs="Times New Roman"/>
                <w:bCs/>
                <w:sz w:val="24"/>
                <w:szCs w:val="24"/>
                <w:highlight w:val="none"/>
                <w:lang w:val="en-US" w:eastAsia="zh-CN"/>
              </w:rPr>
              <w:t>市叶县廉村镇湾张村东南地叶廉路北侧，根据当地环境功能区划，该区域执行《环境空气质量标准》（GB3095-2012）二级标准及修改单。根据202</w:t>
            </w:r>
            <w:r>
              <w:rPr>
                <w:rFonts w:hint="eastAsia" w:cs="Times New Roman"/>
                <w:bCs/>
                <w:sz w:val="24"/>
                <w:szCs w:val="24"/>
                <w:highlight w:val="none"/>
                <w:lang w:val="en-US" w:eastAsia="zh-CN"/>
              </w:rPr>
              <w:t>3</w:t>
            </w:r>
            <w:r>
              <w:rPr>
                <w:rFonts w:hint="default" w:ascii="Times New Roman" w:hAnsi="Times New Roman" w:cs="Times New Roman"/>
                <w:bCs/>
                <w:sz w:val="24"/>
                <w:szCs w:val="24"/>
                <w:highlight w:val="none"/>
                <w:lang w:val="en-US" w:eastAsia="zh-CN"/>
              </w:rPr>
              <w:t>年度叶县环境空气质量监测网中评价基准年的监测数据，分析区域环境空气质量达标情况，</w:t>
            </w:r>
            <w:r>
              <w:rPr>
                <w:rFonts w:hint="default" w:ascii="Times New Roman" w:hAnsi="Times New Roman" w:cs="Times New Roman"/>
                <w:sz w:val="24"/>
                <w:szCs w:val="24"/>
                <w:highlight w:val="none"/>
              </w:rPr>
              <w:t>监测因子为SO</w:t>
            </w:r>
            <w:r>
              <w:rPr>
                <w:rFonts w:hint="default" w:ascii="Times New Roman" w:hAnsi="Times New Roman" w:cs="Times New Roman"/>
                <w:sz w:val="24"/>
                <w:szCs w:val="24"/>
                <w:highlight w:val="none"/>
                <w:vertAlign w:val="subscript"/>
              </w:rPr>
              <w:t>2</w:t>
            </w:r>
            <w:r>
              <w:rPr>
                <w:rFonts w:hint="default" w:ascii="Times New Roman" w:hAnsi="Times New Roman" w:cs="Times New Roman"/>
                <w:sz w:val="24"/>
                <w:szCs w:val="24"/>
                <w:highlight w:val="none"/>
              </w:rPr>
              <w:t>、NO</w:t>
            </w:r>
            <w:r>
              <w:rPr>
                <w:rFonts w:hint="default" w:ascii="Times New Roman" w:hAnsi="Times New Roman" w:cs="Times New Roman"/>
                <w:sz w:val="24"/>
                <w:szCs w:val="24"/>
                <w:highlight w:val="none"/>
                <w:vertAlign w:val="subscript"/>
              </w:rPr>
              <w:t>2</w:t>
            </w:r>
            <w:r>
              <w:rPr>
                <w:rFonts w:hint="default" w:ascii="Times New Roman" w:hAnsi="Times New Roman" w:cs="Times New Roman"/>
                <w:sz w:val="24"/>
                <w:szCs w:val="24"/>
                <w:highlight w:val="none"/>
              </w:rPr>
              <w:t>、PM</w:t>
            </w:r>
            <w:r>
              <w:rPr>
                <w:rFonts w:hint="default" w:ascii="Times New Roman" w:hAnsi="Times New Roman" w:cs="Times New Roman"/>
                <w:sz w:val="24"/>
                <w:szCs w:val="24"/>
                <w:highlight w:val="none"/>
                <w:vertAlign w:val="subscript"/>
              </w:rPr>
              <w:t>10</w:t>
            </w:r>
            <w:r>
              <w:rPr>
                <w:rFonts w:hint="default" w:ascii="Times New Roman" w:hAnsi="Times New Roman" w:cs="Times New Roman"/>
                <w:sz w:val="24"/>
                <w:szCs w:val="24"/>
                <w:highlight w:val="none"/>
              </w:rPr>
              <w:t>、PM</w:t>
            </w:r>
            <w:r>
              <w:rPr>
                <w:rFonts w:hint="default" w:ascii="Times New Roman" w:hAnsi="Times New Roman" w:cs="Times New Roman"/>
                <w:sz w:val="24"/>
                <w:szCs w:val="24"/>
                <w:highlight w:val="none"/>
                <w:vertAlign w:val="subscript"/>
              </w:rPr>
              <w:t>2.5</w:t>
            </w:r>
            <w:r>
              <w:rPr>
                <w:rFonts w:hint="default" w:ascii="Times New Roman" w:hAnsi="Times New Roman" w:cs="Times New Roman"/>
                <w:sz w:val="24"/>
                <w:szCs w:val="24"/>
                <w:highlight w:val="none"/>
              </w:rPr>
              <w:t>、CO、O</w:t>
            </w:r>
            <w:r>
              <w:rPr>
                <w:rFonts w:hint="default" w:ascii="Times New Roman" w:hAnsi="Times New Roman" w:cs="Times New Roman"/>
                <w:sz w:val="24"/>
                <w:szCs w:val="24"/>
                <w:highlight w:val="none"/>
                <w:vertAlign w:val="subscript"/>
              </w:rPr>
              <w:t>3</w:t>
            </w:r>
            <w:r>
              <w:rPr>
                <w:rFonts w:hint="default" w:ascii="Times New Roman" w:hAnsi="Times New Roman" w:cs="Times New Roman"/>
                <w:sz w:val="24"/>
                <w:szCs w:val="24"/>
                <w:highlight w:val="none"/>
              </w:rPr>
              <w:t>共6项，监测结果见下表。</w:t>
            </w:r>
          </w:p>
          <w:p w14:paraId="47BD2B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Calibri" w:hAnsi="Calibri" w:eastAsia="黑体" w:cs="Calibri"/>
                <w:bCs/>
                <w:sz w:val="24"/>
                <w:highlight w:val="none"/>
              </w:rPr>
            </w:pPr>
            <w:r>
              <w:rPr>
                <w:rFonts w:hint="default" w:ascii="Times New Roman" w:hAnsi="Times New Roman" w:eastAsia="黑体" w:cs="Times New Roman"/>
                <w:sz w:val="24"/>
                <w:highlight w:val="none"/>
              </w:rPr>
              <w:t>表</w:t>
            </w:r>
            <w:r>
              <w:rPr>
                <w:rFonts w:hint="default" w:ascii="Times New Roman" w:hAnsi="Times New Roman" w:eastAsia="黑体" w:cs="Times New Roman"/>
                <w:sz w:val="24"/>
                <w:highlight w:val="none"/>
                <w:lang w:val="en-US" w:eastAsia="zh-CN"/>
              </w:rPr>
              <w:t>3-1</w:t>
            </w:r>
            <w:r>
              <w:rPr>
                <w:rFonts w:hint="default" w:ascii="Times New Roman" w:hAnsi="Times New Roman" w:eastAsia="黑体" w:cs="Times New Roman"/>
                <w:sz w:val="24"/>
                <w:highlight w:val="none"/>
              </w:rPr>
              <w:t xml:space="preserve"> </w:t>
            </w:r>
            <w:r>
              <w:rPr>
                <w:rFonts w:hint="default" w:ascii="Times New Roman" w:hAnsi="Times New Roman" w:eastAsia="黑体" w:cs="Times New Roman"/>
                <w:bCs/>
                <w:sz w:val="24"/>
                <w:highlight w:val="none"/>
              </w:rPr>
              <w:t>叶县环境</w:t>
            </w:r>
            <w:r>
              <w:rPr>
                <w:rFonts w:ascii="Calibri" w:eastAsia="黑体" w:cs="Calibri"/>
                <w:bCs/>
                <w:sz w:val="24"/>
                <w:highlight w:val="none"/>
              </w:rPr>
              <w:t>空气质量达标情况一览表</w:t>
            </w:r>
          </w:p>
          <w:tbl>
            <w:tblPr>
              <w:tblStyle w:val="23"/>
              <w:tblW w:w="4987" w:type="pct"/>
              <w:tblInd w:w="-1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666"/>
              <w:gridCol w:w="828"/>
              <w:gridCol w:w="1548"/>
              <w:gridCol w:w="792"/>
              <w:gridCol w:w="744"/>
              <w:gridCol w:w="864"/>
              <w:gridCol w:w="918"/>
              <w:gridCol w:w="737"/>
            </w:tblGrid>
            <w:tr w14:paraId="14977A0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79" w:hRule="atLeast"/>
              </w:trPr>
              <w:tc>
                <w:tcPr>
                  <w:tcW w:w="1028" w:type="pct"/>
                  <w:tcBorders>
                    <w:tl2br w:val="nil"/>
                    <w:tr2bl w:val="nil"/>
                  </w:tcBorders>
                  <w:noWrap w:val="0"/>
                  <w:vAlign w:val="center"/>
                </w:tcPr>
                <w:p w14:paraId="792C5511">
                  <w:pPr>
                    <w:jc w:val="center"/>
                    <w:rPr>
                      <w:rFonts w:hint="default" w:ascii="Times New Roman" w:hAnsi="Times New Roman" w:cs="Times New Roman"/>
                      <w:highlight w:val="none"/>
                    </w:rPr>
                  </w:pPr>
                  <w:r>
                    <w:rPr>
                      <w:rFonts w:hint="default" w:ascii="Times New Roman" w:hAnsi="Times New Roman" w:cs="Times New Roman"/>
                      <w:highlight w:val="none"/>
                    </w:rPr>
                    <w:t>监测点位</w:t>
                  </w:r>
                </w:p>
              </w:tc>
              <w:tc>
                <w:tcPr>
                  <w:tcW w:w="511" w:type="pct"/>
                  <w:tcBorders>
                    <w:tl2br w:val="nil"/>
                    <w:tr2bl w:val="nil"/>
                  </w:tcBorders>
                  <w:noWrap w:val="0"/>
                  <w:vAlign w:val="center"/>
                </w:tcPr>
                <w:p w14:paraId="03F19D45">
                  <w:pPr>
                    <w:jc w:val="center"/>
                    <w:rPr>
                      <w:rFonts w:hint="default" w:ascii="Times New Roman" w:hAnsi="Times New Roman" w:cs="Times New Roman"/>
                      <w:highlight w:val="none"/>
                    </w:rPr>
                  </w:pPr>
                  <w:r>
                    <w:rPr>
                      <w:rFonts w:hint="default" w:ascii="Times New Roman" w:hAnsi="Times New Roman" w:cs="Times New Roman"/>
                      <w:highlight w:val="none"/>
                    </w:rPr>
                    <w:t>污染物</w:t>
                  </w:r>
                </w:p>
              </w:tc>
              <w:tc>
                <w:tcPr>
                  <w:tcW w:w="955" w:type="pct"/>
                  <w:tcBorders>
                    <w:tl2br w:val="nil"/>
                    <w:tr2bl w:val="nil"/>
                  </w:tcBorders>
                  <w:noWrap w:val="0"/>
                  <w:vAlign w:val="center"/>
                </w:tcPr>
                <w:p w14:paraId="53D0D224">
                  <w:pPr>
                    <w:jc w:val="center"/>
                    <w:rPr>
                      <w:rFonts w:hint="default" w:ascii="Times New Roman" w:hAnsi="Times New Roman" w:cs="Times New Roman"/>
                      <w:highlight w:val="none"/>
                    </w:rPr>
                  </w:pPr>
                  <w:r>
                    <w:rPr>
                      <w:rFonts w:hint="default" w:ascii="Times New Roman" w:hAnsi="Times New Roman" w:cs="Times New Roman"/>
                      <w:highlight w:val="none"/>
                    </w:rPr>
                    <w:t>年评价指标</w:t>
                  </w:r>
                </w:p>
              </w:tc>
              <w:tc>
                <w:tcPr>
                  <w:tcW w:w="489" w:type="pct"/>
                  <w:tcBorders>
                    <w:tl2br w:val="nil"/>
                    <w:tr2bl w:val="nil"/>
                  </w:tcBorders>
                  <w:noWrap w:val="0"/>
                  <w:vAlign w:val="center"/>
                </w:tcPr>
                <w:p w14:paraId="616775AF">
                  <w:pPr>
                    <w:jc w:val="center"/>
                    <w:rPr>
                      <w:rFonts w:hint="default" w:ascii="Times New Roman" w:hAnsi="Times New Roman" w:cs="Times New Roman"/>
                      <w:highlight w:val="none"/>
                    </w:rPr>
                  </w:pPr>
                  <w:r>
                    <w:rPr>
                      <w:rFonts w:hint="default" w:ascii="Times New Roman" w:hAnsi="Times New Roman" w:cs="Times New Roman"/>
                      <w:highlight w:val="none"/>
                    </w:rPr>
                    <w:t>现状浓度</w:t>
                  </w:r>
                </w:p>
              </w:tc>
              <w:tc>
                <w:tcPr>
                  <w:tcW w:w="459" w:type="pct"/>
                  <w:tcBorders>
                    <w:tl2br w:val="nil"/>
                    <w:tr2bl w:val="nil"/>
                  </w:tcBorders>
                  <w:noWrap w:val="0"/>
                  <w:vAlign w:val="center"/>
                </w:tcPr>
                <w:p w14:paraId="22BD25C8">
                  <w:pPr>
                    <w:jc w:val="center"/>
                    <w:rPr>
                      <w:rFonts w:hint="default" w:ascii="Times New Roman" w:hAnsi="Times New Roman" w:cs="Times New Roman"/>
                      <w:highlight w:val="none"/>
                    </w:rPr>
                  </w:pPr>
                  <w:r>
                    <w:rPr>
                      <w:rFonts w:hint="default" w:ascii="Times New Roman" w:hAnsi="Times New Roman" w:cs="Times New Roman"/>
                      <w:highlight w:val="none"/>
                    </w:rPr>
                    <w:t>标准值</w:t>
                  </w:r>
                </w:p>
              </w:tc>
              <w:tc>
                <w:tcPr>
                  <w:tcW w:w="533" w:type="pct"/>
                  <w:tcBorders>
                    <w:tl2br w:val="nil"/>
                    <w:tr2bl w:val="nil"/>
                  </w:tcBorders>
                  <w:noWrap w:val="0"/>
                  <w:vAlign w:val="center"/>
                </w:tcPr>
                <w:p w14:paraId="1A66E2C3">
                  <w:pPr>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566" w:type="pct"/>
                  <w:tcBorders>
                    <w:tl2br w:val="nil"/>
                    <w:tr2bl w:val="nil"/>
                  </w:tcBorders>
                  <w:noWrap w:val="0"/>
                  <w:vAlign w:val="center"/>
                </w:tcPr>
                <w:p w14:paraId="6985AEE6">
                  <w:pPr>
                    <w:jc w:val="center"/>
                    <w:rPr>
                      <w:rFonts w:hint="default" w:ascii="Times New Roman" w:hAnsi="Times New Roman" w:eastAsia="宋体" w:cs="Times New Roman"/>
                      <w:highlight w:val="none"/>
                      <w:lang w:eastAsia="zh-CN"/>
                    </w:rPr>
                  </w:pPr>
                  <w:r>
                    <w:rPr>
                      <w:rFonts w:hint="default" w:ascii="Times New Roman" w:hAnsi="Times New Roman" w:cs="Times New Roman"/>
                      <w:highlight w:val="none"/>
                      <w:lang w:eastAsia="zh-CN"/>
                    </w:rPr>
                    <w:t>占标率</w:t>
                  </w:r>
                </w:p>
              </w:tc>
              <w:tc>
                <w:tcPr>
                  <w:tcW w:w="455" w:type="pct"/>
                  <w:tcBorders>
                    <w:tl2br w:val="nil"/>
                    <w:tr2bl w:val="nil"/>
                  </w:tcBorders>
                  <w:noWrap w:val="0"/>
                  <w:vAlign w:val="center"/>
                </w:tcPr>
                <w:p w14:paraId="338C3199">
                  <w:pPr>
                    <w:jc w:val="center"/>
                    <w:rPr>
                      <w:rFonts w:hint="default" w:ascii="Times New Roman" w:hAnsi="Times New Roman" w:cs="Times New Roman"/>
                      <w:highlight w:val="none"/>
                    </w:rPr>
                  </w:pPr>
                  <w:r>
                    <w:rPr>
                      <w:rFonts w:hint="default" w:ascii="Times New Roman" w:hAnsi="Times New Roman" w:cs="Times New Roman"/>
                      <w:highlight w:val="none"/>
                    </w:rPr>
                    <w:t>达标</w:t>
                  </w:r>
                </w:p>
                <w:p w14:paraId="2B397D7C">
                  <w:pPr>
                    <w:jc w:val="center"/>
                    <w:rPr>
                      <w:rFonts w:hint="default" w:ascii="Times New Roman" w:hAnsi="Times New Roman" w:cs="Times New Roman"/>
                      <w:highlight w:val="none"/>
                    </w:rPr>
                  </w:pPr>
                  <w:r>
                    <w:rPr>
                      <w:rFonts w:hint="default" w:ascii="Times New Roman" w:hAnsi="Times New Roman" w:cs="Times New Roman"/>
                      <w:highlight w:val="none"/>
                    </w:rPr>
                    <w:t>情况</w:t>
                  </w:r>
                </w:p>
              </w:tc>
            </w:tr>
            <w:tr w14:paraId="335A6CA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99" w:hRule="atLeast"/>
              </w:trPr>
              <w:tc>
                <w:tcPr>
                  <w:tcW w:w="1028" w:type="pct"/>
                  <w:vMerge w:val="restart"/>
                  <w:tcBorders>
                    <w:tl2br w:val="nil"/>
                    <w:tr2bl w:val="nil"/>
                  </w:tcBorders>
                  <w:noWrap w:val="0"/>
                  <w:vAlign w:val="center"/>
                </w:tcPr>
                <w:p w14:paraId="666EE362">
                  <w:pPr>
                    <w:jc w:val="center"/>
                    <w:rPr>
                      <w:rFonts w:hint="default" w:ascii="Times New Roman" w:hAnsi="Times New Roman" w:cs="Times New Roman"/>
                      <w:highlight w:val="none"/>
                    </w:rPr>
                  </w:pPr>
                  <w:r>
                    <w:rPr>
                      <w:rFonts w:hint="default" w:ascii="Times New Roman" w:hAnsi="Times New Roman" w:cs="Times New Roman"/>
                      <w:highlight w:val="none"/>
                    </w:rPr>
                    <w:t>叶县（E113.</w:t>
                  </w:r>
                  <w:r>
                    <w:rPr>
                      <w:rFonts w:hint="default" w:ascii="Times New Roman" w:hAnsi="Times New Roman" w:cs="Times New Roman"/>
                      <w:highlight w:val="none"/>
                      <w:lang w:val="en-US" w:eastAsia="zh-CN"/>
                    </w:rPr>
                    <w:t>373201°</w:t>
                  </w:r>
                  <w:r>
                    <w:rPr>
                      <w:rFonts w:hint="default" w:ascii="Times New Roman" w:hAnsi="Times New Roman" w:cs="Times New Roman"/>
                      <w:highlight w:val="none"/>
                    </w:rPr>
                    <w:t>，N33.</w:t>
                  </w:r>
                  <w:r>
                    <w:rPr>
                      <w:rFonts w:hint="default" w:ascii="Times New Roman" w:hAnsi="Times New Roman" w:cs="Times New Roman"/>
                      <w:highlight w:val="none"/>
                      <w:lang w:val="en-US" w:eastAsia="zh-CN"/>
                    </w:rPr>
                    <w:t>624001°</w:t>
                  </w:r>
                  <w:r>
                    <w:rPr>
                      <w:rFonts w:hint="default" w:ascii="Times New Roman" w:hAnsi="Times New Roman" w:cs="Times New Roman"/>
                      <w:highlight w:val="none"/>
                    </w:rPr>
                    <w:t>）</w:t>
                  </w:r>
                </w:p>
              </w:tc>
              <w:tc>
                <w:tcPr>
                  <w:tcW w:w="511" w:type="pct"/>
                  <w:tcBorders>
                    <w:tl2br w:val="nil"/>
                    <w:tr2bl w:val="nil"/>
                  </w:tcBorders>
                  <w:noWrap w:val="0"/>
                  <w:vAlign w:val="center"/>
                </w:tcPr>
                <w:p w14:paraId="18B45030">
                  <w:pPr>
                    <w:jc w:val="center"/>
                    <w:rPr>
                      <w:rFonts w:hint="default" w:ascii="Times New Roman" w:hAnsi="Times New Roman" w:cs="Times New Roman"/>
                      <w:highlight w:val="none"/>
                    </w:rPr>
                  </w:pPr>
                  <w:r>
                    <w:rPr>
                      <w:rFonts w:hint="default" w:ascii="Times New Roman" w:hAnsi="Times New Roman" w:cs="Times New Roman"/>
                      <w:highlight w:val="none"/>
                    </w:rPr>
                    <w:t>PM</w:t>
                  </w:r>
                  <w:r>
                    <w:rPr>
                      <w:rFonts w:hint="default" w:ascii="Times New Roman" w:hAnsi="Times New Roman" w:cs="Times New Roman"/>
                      <w:highlight w:val="none"/>
                      <w:vertAlign w:val="subscript"/>
                    </w:rPr>
                    <w:t>2.5</w:t>
                  </w:r>
                </w:p>
              </w:tc>
              <w:tc>
                <w:tcPr>
                  <w:tcW w:w="955" w:type="pct"/>
                  <w:tcBorders>
                    <w:tl2br w:val="nil"/>
                    <w:tr2bl w:val="nil"/>
                  </w:tcBorders>
                  <w:noWrap w:val="0"/>
                  <w:vAlign w:val="center"/>
                </w:tcPr>
                <w:p w14:paraId="48E201E6">
                  <w:pPr>
                    <w:jc w:val="center"/>
                    <w:rPr>
                      <w:rFonts w:hint="default" w:ascii="Times New Roman" w:hAnsi="Times New Roman" w:cs="Times New Roman"/>
                      <w:highlight w:val="none"/>
                    </w:rPr>
                  </w:pPr>
                  <w:r>
                    <w:rPr>
                      <w:rFonts w:hint="default" w:ascii="Times New Roman" w:hAnsi="Times New Roman" w:cs="Times New Roman"/>
                      <w:highlight w:val="none"/>
                    </w:rPr>
                    <w:t>年均值</w:t>
                  </w:r>
                </w:p>
              </w:tc>
              <w:tc>
                <w:tcPr>
                  <w:tcW w:w="489" w:type="pct"/>
                  <w:tcBorders>
                    <w:tl2br w:val="nil"/>
                    <w:tr2bl w:val="nil"/>
                  </w:tcBorders>
                  <w:noWrap w:val="0"/>
                  <w:vAlign w:val="center"/>
                </w:tcPr>
                <w:p w14:paraId="1A86426E">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36</w:t>
                  </w:r>
                </w:p>
              </w:tc>
              <w:tc>
                <w:tcPr>
                  <w:tcW w:w="459" w:type="pct"/>
                  <w:tcBorders>
                    <w:tl2br w:val="nil"/>
                    <w:tr2bl w:val="nil"/>
                  </w:tcBorders>
                  <w:noWrap w:val="0"/>
                  <w:vAlign w:val="center"/>
                </w:tcPr>
                <w:p w14:paraId="68C57D45">
                  <w:pPr>
                    <w:jc w:val="center"/>
                    <w:rPr>
                      <w:rFonts w:hint="default" w:ascii="Times New Roman" w:hAnsi="Times New Roman" w:cs="Times New Roman"/>
                      <w:highlight w:val="none"/>
                    </w:rPr>
                  </w:pPr>
                  <w:r>
                    <w:rPr>
                      <w:rFonts w:hint="default" w:ascii="Times New Roman" w:hAnsi="Times New Roman" w:cs="Times New Roman"/>
                      <w:highlight w:val="none"/>
                    </w:rPr>
                    <w:t>35</w:t>
                  </w:r>
                </w:p>
              </w:tc>
              <w:tc>
                <w:tcPr>
                  <w:tcW w:w="533" w:type="pct"/>
                  <w:tcBorders>
                    <w:tl2br w:val="nil"/>
                    <w:tr2bl w:val="nil"/>
                  </w:tcBorders>
                  <w:noWrap w:val="0"/>
                  <w:vAlign w:val="center"/>
                </w:tcPr>
                <w:p w14:paraId="3CA71882">
                  <w:pPr>
                    <w:jc w:val="center"/>
                    <w:rPr>
                      <w:rFonts w:hint="default" w:ascii="Times New Roman" w:hAnsi="Times New Roman" w:cs="Times New Roman"/>
                      <w:highlight w:val="none"/>
                    </w:rPr>
                  </w:pPr>
                  <w:r>
                    <w:rPr>
                      <w:rFonts w:hint="default" w:ascii="Times New Roman" w:hAnsi="Times New Roman" w:cs="Times New Roman"/>
                      <w:highlight w:val="none"/>
                    </w:rPr>
                    <w:t>μg/m³</w:t>
                  </w:r>
                </w:p>
              </w:tc>
              <w:tc>
                <w:tcPr>
                  <w:tcW w:w="566" w:type="pct"/>
                  <w:tcBorders>
                    <w:tl2br w:val="nil"/>
                    <w:tr2bl w:val="nil"/>
                  </w:tcBorders>
                  <w:noWrap w:val="0"/>
                  <w:vAlign w:val="center"/>
                </w:tcPr>
                <w:p w14:paraId="160B8CD7">
                  <w:pPr>
                    <w:jc w:val="center"/>
                    <w:rPr>
                      <w:rFonts w:hint="default" w:ascii="Times New Roman" w:hAnsi="Times New Roman" w:eastAsia="宋体" w:cs="Times New Roman"/>
                      <w:highlight w:val="none"/>
                      <w:lang w:val="en-US" w:eastAsia="zh-CN"/>
                    </w:rPr>
                  </w:pPr>
                  <w:r>
                    <w:rPr>
                      <w:rFonts w:hint="eastAsia" w:cs="Times New Roman"/>
                      <w:color w:val="auto"/>
                      <w:szCs w:val="21"/>
                      <w:highlight w:val="none"/>
                      <w:lang w:val="en-US" w:eastAsia="zh-CN"/>
                    </w:rPr>
                    <w:t>102.9%</w:t>
                  </w:r>
                </w:p>
              </w:tc>
              <w:tc>
                <w:tcPr>
                  <w:tcW w:w="455" w:type="pct"/>
                  <w:tcBorders>
                    <w:tl2br w:val="nil"/>
                    <w:tr2bl w:val="nil"/>
                  </w:tcBorders>
                  <w:noWrap w:val="0"/>
                  <w:vAlign w:val="center"/>
                </w:tcPr>
                <w:p w14:paraId="398CF16A">
                  <w:pPr>
                    <w:jc w:val="center"/>
                    <w:rPr>
                      <w:rFonts w:hint="default" w:ascii="Times New Roman" w:hAnsi="Times New Roman" w:cs="Times New Roman"/>
                      <w:highlight w:val="none"/>
                    </w:rPr>
                  </w:pPr>
                  <w:r>
                    <w:rPr>
                      <w:rFonts w:hint="eastAsia" w:cs="Times New Roman"/>
                      <w:highlight w:val="none"/>
                      <w:lang w:val="en-US" w:eastAsia="zh-CN"/>
                    </w:rPr>
                    <w:t>超标</w:t>
                  </w:r>
                </w:p>
              </w:tc>
            </w:tr>
            <w:tr w14:paraId="0797D4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99" w:hRule="atLeast"/>
              </w:trPr>
              <w:tc>
                <w:tcPr>
                  <w:tcW w:w="1028" w:type="pct"/>
                  <w:vMerge w:val="continue"/>
                  <w:tcBorders>
                    <w:tl2br w:val="nil"/>
                    <w:tr2bl w:val="nil"/>
                  </w:tcBorders>
                  <w:noWrap w:val="0"/>
                  <w:vAlign w:val="center"/>
                </w:tcPr>
                <w:p w14:paraId="5F090D27">
                  <w:pPr>
                    <w:jc w:val="center"/>
                    <w:rPr>
                      <w:rFonts w:hint="default" w:ascii="Times New Roman" w:hAnsi="Times New Roman" w:cs="Times New Roman"/>
                      <w:highlight w:val="none"/>
                    </w:rPr>
                  </w:pPr>
                </w:p>
              </w:tc>
              <w:tc>
                <w:tcPr>
                  <w:tcW w:w="511" w:type="pct"/>
                  <w:tcBorders>
                    <w:tl2br w:val="nil"/>
                    <w:tr2bl w:val="nil"/>
                  </w:tcBorders>
                  <w:noWrap w:val="0"/>
                  <w:vAlign w:val="center"/>
                </w:tcPr>
                <w:p w14:paraId="1B309EE9">
                  <w:pPr>
                    <w:jc w:val="center"/>
                    <w:rPr>
                      <w:rFonts w:hint="default" w:ascii="Times New Roman" w:hAnsi="Times New Roman" w:cs="Times New Roman"/>
                      <w:highlight w:val="none"/>
                    </w:rPr>
                  </w:pPr>
                  <w:r>
                    <w:rPr>
                      <w:rFonts w:hint="default" w:ascii="Times New Roman" w:hAnsi="Times New Roman" w:cs="Times New Roman"/>
                      <w:highlight w:val="none"/>
                    </w:rPr>
                    <w:t>PM</w:t>
                  </w:r>
                  <w:r>
                    <w:rPr>
                      <w:rFonts w:hint="default" w:ascii="Times New Roman" w:hAnsi="Times New Roman" w:cs="Times New Roman"/>
                      <w:highlight w:val="none"/>
                      <w:vertAlign w:val="subscript"/>
                    </w:rPr>
                    <w:t>10</w:t>
                  </w:r>
                </w:p>
              </w:tc>
              <w:tc>
                <w:tcPr>
                  <w:tcW w:w="955" w:type="pct"/>
                  <w:tcBorders>
                    <w:tl2br w:val="nil"/>
                    <w:tr2bl w:val="nil"/>
                  </w:tcBorders>
                  <w:noWrap w:val="0"/>
                  <w:vAlign w:val="center"/>
                </w:tcPr>
                <w:p w14:paraId="10D0D096">
                  <w:pPr>
                    <w:jc w:val="center"/>
                    <w:rPr>
                      <w:rFonts w:hint="default" w:ascii="Times New Roman" w:hAnsi="Times New Roman" w:cs="Times New Roman"/>
                      <w:highlight w:val="none"/>
                    </w:rPr>
                  </w:pPr>
                  <w:r>
                    <w:rPr>
                      <w:rFonts w:hint="default" w:ascii="Times New Roman" w:hAnsi="Times New Roman" w:cs="Times New Roman"/>
                      <w:highlight w:val="none"/>
                    </w:rPr>
                    <w:t>年均值</w:t>
                  </w:r>
                </w:p>
              </w:tc>
              <w:tc>
                <w:tcPr>
                  <w:tcW w:w="489" w:type="pct"/>
                  <w:tcBorders>
                    <w:tl2br w:val="nil"/>
                    <w:tr2bl w:val="nil"/>
                  </w:tcBorders>
                  <w:noWrap w:val="0"/>
                  <w:vAlign w:val="center"/>
                </w:tcPr>
                <w:p w14:paraId="4F792148">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82</w:t>
                  </w:r>
                </w:p>
              </w:tc>
              <w:tc>
                <w:tcPr>
                  <w:tcW w:w="459" w:type="pct"/>
                  <w:tcBorders>
                    <w:tl2br w:val="nil"/>
                    <w:tr2bl w:val="nil"/>
                  </w:tcBorders>
                  <w:noWrap w:val="0"/>
                  <w:vAlign w:val="center"/>
                </w:tcPr>
                <w:p w14:paraId="2878D1EE">
                  <w:pPr>
                    <w:jc w:val="center"/>
                    <w:rPr>
                      <w:rFonts w:hint="default" w:ascii="Times New Roman" w:hAnsi="Times New Roman" w:cs="Times New Roman"/>
                      <w:highlight w:val="none"/>
                    </w:rPr>
                  </w:pPr>
                  <w:r>
                    <w:rPr>
                      <w:rFonts w:hint="default" w:ascii="Times New Roman" w:hAnsi="Times New Roman" w:cs="Times New Roman"/>
                      <w:highlight w:val="none"/>
                    </w:rPr>
                    <w:t>70</w:t>
                  </w:r>
                </w:p>
              </w:tc>
              <w:tc>
                <w:tcPr>
                  <w:tcW w:w="533" w:type="pct"/>
                  <w:tcBorders>
                    <w:tl2br w:val="nil"/>
                    <w:tr2bl w:val="nil"/>
                  </w:tcBorders>
                  <w:noWrap w:val="0"/>
                  <w:vAlign w:val="center"/>
                </w:tcPr>
                <w:p w14:paraId="2B3F84B2">
                  <w:pPr>
                    <w:jc w:val="center"/>
                    <w:rPr>
                      <w:rFonts w:hint="default" w:ascii="Times New Roman" w:hAnsi="Times New Roman" w:cs="Times New Roman"/>
                      <w:highlight w:val="none"/>
                    </w:rPr>
                  </w:pPr>
                  <w:r>
                    <w:rPr>
                      <w:rFonts w:hint="default" w:ascii="Times New Roman" w:hAnsi="Times New Roman" w:cs="Times New Roman"/>
                      <w:highlight w:val="none"/>
                    </w:rPr>
                    <w:t>μg/m³</w:t>
                  </w:r>
                </w:p>
              </w:tc>
              <w:tc>
                <w:tcPr>
                  <w:tcW w:w="566" w:type="pct"/>
                  <w:tcBorders>
                    <w:tl2br w:val="nil"/>
                    <w:tr2bl w:val="nil"/>
                  </w:tcBorders>
                  <w:noWrap w:val="0"/>
                  <w:vAlign w:val="center"/>
                </w:tcPr>
                <w:p w14:paraId="0A6E28D1">
                  <w:pPr>
                    <w:jc w:val="center"/>
                    <w:rPr>
                      <w:rFonts w:hint="default" w:ascii="Times New Roman" w:hAnsi="Times New Roman" w:eastAsia="宋体" w:cs="Times New Roman"/>
                      <w:highlight w:val="none"/>
                      <w:lang w:val="en-US" w:eastAsia="zh-CN"/>
                    </w:rPr>
                  </w:pPr>
                  <w:r>
                    <w:rPr>
                      <w:rFonts w:hint="eastAsia" w:cs="Times New Roman"/>
                      <w:color w:val="auto"/>
                      <w:szCs w:val="21"/>
                      <w:highlight w:val="none"/>
                      <w:lang w:val="en-US" w:eastAsia="zh-CN"/>
                    </w:rPr>
                    <w:t>117.1%</w:t>
                  </w:r>
                </w:p>
              </w:tc>
              <w:tc>
                <w:tcPr>
                  <w:tcW w:w="455" w:type="pct"/>
                  <w:tcBorders>
                    <w:tl2br w:val="nil"/>
                    <w:tr2bl w:val="nil"/>
                  </w:tcBorders>
                  <w:noWrap w:val="0"/>
                  <w:vAlign w:val="center"/>
                </w:tcPr>
                <w:p w14:paraId="7BEBD56D">
                  <w:pPr>
                    <w:jc w:val="center"/>
                    <w:rPr>
                      <w:rFonts w:hint="default" w:ascii="Times New Roman" w:hAnsi="Times New Roman" w:cs="Times New Roman"/>
                      <w:highlight w:val="none"/>
                    </w:rPr>
                  </w:pPr>
                  <w:r>
                    <w:rPr>
                      <w:rFonts w:hint="eastAsia" w:cs="Times New Roman"/>
                      <w:highlight w:val="none"/>
                      <w:lang w:val="en-US" w:eastAsia="zh-CN"/>
                    </w:rPr>
                    <w:t>超标</w:t>
                  </w:r>
                </w:p>
              </w:tc>
            </w:tr>
            <w:tr w14:paraId="6C552C0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99" w:hRule="atLeast"/>
              </w:trPr>
              <w:tc>
                <w:tcPr>
                  <w:tcW w:w="1028" w:type="pct"/>
                  <w:vMerge w:val="continue"/>
                  <w:tcBorders>
                    <w:tl2br w:val="nil"/>
                    <w:tr2bl w:val="nil"/>
                  </w:tcBorders>
                  <w:noWrap w:val="0"/>
                  <w:vAlign w:val="center"/>
                </w:tcPr>
                <w:p w14:paraId="39CA43D6">
                  <w:pPr>
                    <w:jc w:val="center"/>
                    <w:rPr>
                      <w:rFonts w:hint="default" w:ascii="Times New Roman" w:hAnsi="Times New Roman" w:cs="Times New Roman"/>
                      <w:highlight w:val="none"/>
                    </w:rPr>
                  </w:pPr>
                </w:p>
              </w:tc>
              <w:tc>
                <w:tcPr>
                  <w:tcW w:w="511" w:type="pct"/>
                  <w:tcBorders>
                    <w:tl2br w:val="nil"/>
                    <w:tr2bl w:val="nil"/>
                  </w:tcBorders>
                  <w:noWrap w:val="0"/>
                  <w:vAlign w:val="center"/>
                </w:tcPr>
                <w:p w14:paraId="76D42D3B">
                  <w:pPr>
                    <w:jc w:val="center"/>
                    <w:rPr>
                      <w:rFonts w:hint="default" w:ascii="Times New Roman" w:hAnsi="Times New Roman" w:cs="Times New Roman"/>
                      <w:highlight w:val="none"/>
                    </w:rPr>
                  </w:pPr>
                  <w:r>
                    <w:rPr>
                      <w:rFonts w:hint="default" w:ascii="Times New Roman" w:hAnsi="Times New Roman" w:cs="Times New Roman"/>
                      <w:highlight w:val="none"/>
                    </w:rPr>
                    <w:t>SO</w:t>
                  </w:r>
                  <w:r>
                    <w:rPr>
                      <w:rFonts w:hint="default" w:ascii="Times New Roman" w:hAnsi="Times New Roman" w:cs="Times New Roman"/>
                      <w:highlight w:val="none"/>
                      <w:vertAlign w:val="subscript"/>
                    </w:rPr>
                    <w:t>2</w:t>
                  </w:r>
                </w:p>
              </w:tc>
              <w:tc>
                <w:tcPr>
                  <w:tcW w:w="955" w:type="pct"/>
                  <w:tcBorders>
                    <w:tl2br w:val="nil"/>
                    <w:tr2bl w:val="nil"/>
                  </w:tcBorders>
                  <w:noWrap w:val="0"/>
                  <w:vAlign w:val="center"/>
                </w:tcPr>
                <w:p w14:paraId="6A888DA0">
                  <w:pPr>
                    <w:jc w:val="center"/>
                    <w:rPr>
                      <w:rFonts w:hint="default" w:ascii="Times New Roman" w:hAnsi="Times New Roman" w:cs="Times New Roman"/>
                      <w:highlight w:val="none"/>
                    </w:rPr>
                  </w:pPr>
                  <w:r>
                    <w:rPr>
                      <w:rFonts w:hint="default" w:ascii="Times New Roman" w:hAnsi="Times New Roman" w:cs="Times New Roman"/>
                      <w:highlight w:val="none"/>
                    </w:rPr>
                    <w:t>年均值</w:t>
                  </w:r>
                </w:p>
              </w:tc>
              <w:tc>
                <w:tcPr>
                  <w:tcW w:w="489" w:type="pct"/>
                  <w:tcBorders>
                    <w:tl2br w:val="nil"/>
                    <w:tr2bl w:val="nil"/>
                  </w:tcBorders>
                  <w:noWrap w:val="0"/>
                  <w:vAlign w:val="center"/>
                </w:tcPr>
                <w:p w14:paraId="6148D0FD">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10</w:t>
                  </w:r>
                </w:p>
              </w:tc>
              <w:tc>
                <w:tcPr>
                  <w:tcW w:w="459" w:type="pct"/>
                  <w:tcBorders>
                    <w:tl2br w:val="nil"/>
                    <w:tr2bl w:val="nil"/>
                  </w:tcBorders>
                  <w:noWrap w:val="0"/>
                  <w:vAlign w:val="center"/>
                </w:tcPr>
                <w:p w14:paraId="05A4A310">
                  <w:pPr>
                    <w:jc w:val="center"/>
                    <w:rPr>
                      <w:rFonts w:hint="default" w:ascii="Times New Roman" w:hAnsi="Times New Roman" w:cs="Times New Roman"/>
                      <w:highlight w:val="none"/>
                    </w:rPr>
                  </w:pPr>
                  <w:r>
                    <w:rPr>
                      <w:rFonts w:hint="default" w:ascii="Times New Roman" w:hAnsi="Times New Roman" w:cs="Times New Roman"/>
                      <w:highlight w:val="none"/>
                    </w:rPr>
                    <w:t>60</w:t>
                  </w:r>
                </w:p>
              </w:tc>
              <w:tc>
                <w:tcPr>
                  <w:tcW w:w="533" w:type="pct"/>
                  <w:tcBorders>
                    <w:tl2br w:val="nil"/>
                    <w:tr2bl w:val="nil"/>
                  </w:tcBorders>
                  <w:noWrap w:val="0"/>
                  <w:vAlign w:val="center"/>
                </w:tcPr>
                <w:p w14:paraId="07192C0F">
                  <w:pPr>
                    <w:jc w:val="center"/>
                    <w:rPr>
                      <w:rFonts w:hint="default" w:ascii="Times New Roman" w:hAnsi="Times New Roman" w:cs="Times New Roman"/>
                      <w:highlight w:val="none"/>
                    </w:rPr>
                  </w:pPr>
                  <w:r>
                    <w:rPr>
                      <w:rFonts w:hint="default" w:ascii="Times New Roman" w:hAnsi="Times New Roman" w:cs="Times New Roman"/>
                      <w:highlight w:val="none"/>
                    </w:rPr>
                    <w:t>μg/m³</w:t>
                  </w:r>
                </w:p>
              </w:tc>
              <w:tc>
                <w:tcPr>
                  <w:tcW w:w="566" w:type="pct"/>
                  <w:tcBorders>
                    <w:tl2br w:val="nil"/>
                    <w:tr2bl w:val="nil"/>
                  </w:tcBorders>
                  <w:noWrap w:val="0"/>
                  <w:vAlign w:val="center"/>
                </w:tcPr>
                <w:p w14:paraId="6157A379">
                  <w:pPr>
                    <w:jc w:val="center"/>
                    <w:rPr>
                      <w:rFonts w:hint="default" w:ascii="Times New Roman" w:hAnsi="Times New Roman" w:cs="Times New Roman"/>
                      <w:highlight w:val="none"/>
                    </w:rPr>
                  </w:pPr>
                  <w:r>
                    <w:rPr>
                      <w:rFonts w:hint="eastAsia" w:cs="Times New Roman"/>
                      <w:color w:val="auto"/>
                      <w:szCs w:val="21"/>
                      <w:highlight w:val="none"/>
                      <w:lang w:val="en-US" w:eastAsia="zh-CN"/>
                    </w:rPr>
                    <w:t>16.7%</w:t>
                  </w:r>
                </w:p>
              </w:tc>
              <w:tc>
                <w:tcPr>
                  <w:tcW w:w="455" w:type="pct"/>
                  <w:tcBorders>
                    <w:tl2br w:val="nil"/>
                    <w:tr2bl w:val="nil"/>
                  </w:tcBorders>
                  <w:noWrap w:val="0"/>
                  <w:vAlign w:val="center"/>
                </w:tcPr>
                <w:p w14:paraId="61F59630">
                  <w:pPr>
                    <w:jc w:val="center"/>
                    <w:rPr>
                      <w:rFonts w:hint="default" w:ascii="Times New Roman" w:hAnsi="Times New Roman" w:cs="Times New Roman"/>
                      <w:highlight w:val="none"/>
                    </w:rPr>
                  </w:pPr>
                  <w:r>
                    <w:rPr>
                      <w:rFonts w:hint="default" w:ascii="Times New Roman" w:hAnsi="Times New Roman" w:cs="Times New Roman"/>
                      <w:highlight w:val="none"/>
                    </w:rPr>
                    <w:t>达标</w:t>
                  </w:r>
                </w:p>
              </w:tc>
            </w:tr>
            <w:tr w14:paraId="36FEEDB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99" w:hRule="atLeast"/>
              </w:trPr>
              <w:tc>
                <w:tcPr>
                  <w:tcW w:w="1028" w:type="pct"/>
                  <w:vMerge w:val="continue"/>
                  <w:tcBorders>
                    <w:tl2br w:val="nil"/>
                    <w:tr2bl w:val="nil"/>
                  </w:tcBorders>
                  <w:noWrap w:val="0"/>
                  <w:vAlign w:val="center"/>
                </w:tcPr>
                <w:p w14:paraId="2573BAA7">
                  <w:pPr>
                    <w:jc w:val="center"/>
                    <w:rPr>
                      <w:rFonts w:hint="default" w:ascii="Times New Roman" w:hAnsi="Times New Roman" w:cs="Times New Roman"/>
                      <w:highlight w:val="none"/>
                    </w:rPr>
                  </w:pPr>
                </w:p>
              </w:tc>
              <w:tc>
                <w:tcPr>
                  <w:tcW w:w="511" w:type="pct"/>
                  <w:tcBorders>
                    <w:tl2br w:val="nil"/>
                    <w:tr2bl w:val="nil"/>
                  </w:tcBorders>
                  <w:noWrap w:val="0"/>
                  <w:vAlign w:val="center"/>
                </w:tcPr>
                <w:p w14:paraId="462AD7B5">
                  <w:pPr>
                    <w:jc w:val="center"/>
                    <w:rPr>
                      <w:rFonts w:hint="default" w:ascii="Times New Roman" w:hAnsi="Times New Roman" w:cs="Times New Roman"/>
                      <w:highlight w:val="none"/>
                    </w:rPr>
                  </w:pPr>
                  <w:r>
                    <w:rPr>
                      <w:rFonts w:hint="default" w:ascii="Times New Roman" w:hAnsi="Times New Roman" w:cs="Times New Roman"/>
                      <w:highlight w:val="none"/>
                    </w:rPr>
                    <w:t>NO</w:t>
                  </w:r>
                  <w:r>
                    <w:rPr>
                      <w:rFonts w:hint="default" w:ascii="Times New Roman" w:hAnsi="Times New Roman" w:cs="Times New Roman"/>
                      <w:highlight w:val="none"/>
                      <w:vertAlign w:val="subscript"/>
                    </w:rPr>
                    <w:t>2</w:t>
                  </w:r>
                </w:p>
              </w:tc>
              <w:tc>
                <w:tcPr>
                  <w:tcW w:w="955" w:type="pct"/>
                  <w:tcBorders>
                    <w:tl2br w:val="nil"/>
                    <w:tr2bl w:val="nil"/>
                  </w:tcBorders>
                  <w:noWrap w:val="0"/>
                  <w:vAlign w:val="center"/>
                </w:tcPr>
                <w:p w14:paraId="3CF8126F">
                  <w:pPr>
                    <w:jc w:val="center"/>
                    <w:rPr>
                      <w:rFonts w:hint="default" w:ascii="Times New Roman" w:hAnsi="Times New Roman" w:cs="Times New Roman"/>
                      <w:highlight w:val="none"/>
                    </w:rPr>
                  </w:pPr>
                  <w:r>
                    <w:rPr>
                      <w:rFonts w:hint="default" w:ascii="Times New Roman" w:hAnsi="Times New Roman" w:cs="Times New Roman"/>
                      <w:highlight w:val="none"/>
                    </w:rPr>
                    <w:t>年均值</w:t>
                  </w:r>
                </w:p>
              </w:tc>
              <w:tc>
                <w:tcPr>
                  <w:tcW w:w="489" w:type="pct"/>
                  <w:tcBorders>
                    <w:tl2br w:val="nil"/>
                    <w:tr2bl w:val="nil"/>
                  </w:tcBorders>
                  <w:noWrap w:val="0"/>
                  <w:vAlign w:val="center"/>
                </w:tcPr>
                <w:p w14:paraId="0E817C51">
                  <w:pPr>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24</w:t>
                  </w:r>
                </w:p>
              </w:tc>
              <w:tc>
                <w:tcPr>
                  <w:tcW w:w="459" w:type="pct"/>
                  <w:tcBorders>
                    <w:tl2br w:val="nil"/>
                    <w:tr2bl w:val="nil"/>
                  </w:tcBorders>
                  <w:noWrap w:val="0"/>
                  <w:vAlign w:val="center"/>
                </w:tcPr>
                <w:p w14:paraId="23E2D045">
                  <w:pPr>
                    <w:jc w:val="center"/>
                    <w:rPr>
                      <w:rFonts w:hint="eastAsia" w:ascii="Times New Roman" w:hAnsi="Times New Roman" w:eastAsia="宋体" w:cs="Times New Roman"/>
                      <w:highlight w:val="none"/>
                      <w:lang w:val="en-US" w:eastAsia="zh-CN"/>
                    </w:rPr>
                  </w:pPr>
                  <w:r>
                    <w:rPr>
                      <w:rFonts w:hint="default" w:ascii="Times New Roman" w:hAnsi="Times New Roman" w:cs="Times New Roman"/>
                      <w:highlight w:val="none"/>
                    </w:rPr>
                    <w:t>4</w:t>
                  </w:r>
                  <w:r>
                    <w:rPr>
                      <w:rFonts w:hint="eastAsia" w:cs="Times New Roman"/>
                      <w:highlight w:val="none"/>
                      <w:lang w:val="en-US" w:eastAsia="zh-CN"/>
                    </w:rPr>
                    <w:t>0</w:t>
                  </w:r>
                </w:p>
              </w:tc>
              <w:tc>
                <w:tcPr>
                  <w:tcW w:w="533" w:type="pct"/>
                  <w:tcBorders>
                    <w:tl2br w:val="nil"/>
                    <w:tr2bl w:val="nil"/>
                  </w:tcBorders>
                  <w:noWrap w:val="0"/>
                  <w:vAlign w:val="center"/>
                </w:tcPr>
                <w:p w14:paraId="28F82372">
                  <w:pPr>
                    <w:jc w:val="center"/>
                    <w:rPr>
                      <w:rFonts w:hint="default" w:ascii="Times New Roman" w:hAnsi="Times New Roman" w:cs="Times New Roman"/>
                      <w:highlight w:val="none"/>
                    </w:rPr>
                  </w:pPr>
                  <w:r>
                    <w:rPr>
                      <w:rFonts w:hint="default" w:ascii="Times New Roman" w:hAnsi="Times New Roman" w:cs="Times New Roman"/>
                      <w:highlight w:val="none"/>
                    </w:rPr>
                    <w:t>μg/m³</w:t>
                  </w:r>
                </w:p>
              </w:tc>
              <w:tc>
                <w:tcPr>
                  <w:tcW w:w="566" w:type="pct"/>
                  <w:tcBorders>
                    <w:tl2br w:val="nil"/>
                    <w:tr2bl w:val="nil"/>
                  </w:tcBorders>
                  <w:noWrap w:val="0"/>
                  <w:vAlign w:val="center"/>
                </w:tcPr>
                <w:p w14:paraId="20C1878D">
                  <w:pPr>
                    <w:jc w:val="center"/>
                    <w:rPr>
                      <w:rFonts w:hint="default" w:ascii="Times New Roman" w:hAnsi="Times New Roman" w:eastAsia="宋体" w:cs="Times New Roman"/>
                      <w:highlight w:val="none"/>
                      <w:lang w:eastAsia="zh-CN"/>
                    </w:rPr>
                  </w:pPr>
                  <w:r>
                    <w:rPr>
                      <w:rFonts w:hint="eastAsia" w:cs="Times New Roman"/>
                      <w:color w:val="auto"/>
                      <w:szCs w:val="21"/>
                      <w:highlight w:val="none"/>
                      <w:lang w:val="en-US" w:eastAsia="zh-CN"/>
                    </w:rPr>
                    <w:t>60%</w:t>
                  </w:r>
                </w:p>
              </w:tc>
              <w:tc>
                <w:tcPr>
                  <w:tcW w:w="455" w:type="pct"/>
                  <w:tcBorders>
                    <w:tl2br w:val="nil"/>
                    <w:tr2bl w:val="nil"/>
                  </w:tcBorders>
                  <w:noWrap w:val="0"/>
                  <w:vAlign w:val="center"/>
                </w:tcPr>
                <w:p w14:paraId="3E78ADED">
                  <w:pPr>
                    <w:jc w:val="center"/>
                    <w:rPr>
                      <w:rFonts w:hint="default" w:ascii="Times New Roman" w:hAnsi="Times New Roman" w:cs="Times New Roman"/>
                      <w:highlight w:val="none"/>
                    </w:rPr>
                  </w:pPr>
                  <w:r>
                    <w:rPr>
                      <w:rFonts w:hint="default" w:ascii="Times New Roman" w:hAnsi="Times New Roman" w:cs="Times New Roman"/>
                      <w:highlight w:val="none"/>
                    </w:rPr>
                    <w:t>达标</w:t>
                  </w:r>
                </w:p>
              </w:tc>
            </w:tr>
            <w:tr w14:paraId="499228E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04" w:hRule="atLeast"/>
              </w:trPr>
              <w:tc>
                <w:tcPr>
                  <w:tcW w:w="1028" w:type="pct"/>
                  <w:vMerge w:val="continue"/>
                  <w:tcBorders>
                    <w:tl2br w:val="nil"/>
                    <w:tr2bl w:val="nil"/>
                  </w:tcBorders>
                  <w:noWrap w:val="0"/>
                  <w:vAlign w:val="center"/>
                </w:tcPr>
                <w:p w14:paraId="54ABFB93">
                  <w:pPr>
                    <w:jc w:val="center"/>
                    <w:rPr>
                      <w:rFonts w:hint="default" w:ascii="Times New Roman" w:hAnsi="Times New Roman" w:cs="Times New Roman"/>
                      <w:highlight w:val="none"/>
                    </w:rPr>
                  </w:pPr>
                </w:p>
              </w:tc>
              <w:tc>
                <w:tcPr>
                  <w:tcW w:w="511" w:type="pct"/>
                  <w:tcBorders>
                    <w:tl2br w:val="nil"/>
                    <w:tr2bl w:val="nil"/>
                  </w:tcBorders>
                  <w:noWrap w:val="0"/>
                  <w:vAlign w:val="center"/>
                </w:tcPr>
                <w:p w14:paraId="13183BB3">
                  <w:pPr>
                    <w:jc w:val="center"/>
                    <w:rPr>
                      <w:rFonts w:hint="default" w:ascii="Times New Roman" w:hAnsi="Times New Roman" w:cs="Times New Roman"/>
                      <w:highlight w:val="none"/>
                    </w:rPr>
                  </w:pPr>
                  <w:r>
                    <w:rPr>
                      <w:rFonts w:hint="default" w:ascii="Times New Roman" w:hAnsi="Times New Roman" w:cs="Times New Roman"/>
                      <w:highlight w:val="none"/>
                    </w:rPr>
                    <w:t>CO</w:t>
                  </w:r>
                </w:p>
              </w:tc>
              <w:tc>
                <w:tcPr>
                  <w:tcW w:w="955" w:type="pct"/>
                  <w:tcBorders>
                    <w:tl2br w:val="nil"/>
                    <w:tr2bl w:val="nil"/>
                  </w:tcBorders>
                  <w:noWrap w:val="0"/>
                  <w:vAlign w:val="center"/>
                </w:tcPr>
                <w:p w14:paraId="4C812009">
                  <w:pPr>
                    <w:jc w:val="center"/>
                    <w:rPr>
                      <w:rFonts w:hint="default" w:ascii="Times New Roman" w:hAnsi="Times New Roman" w:cs="Times New Roman"/>
                      <w:highlight w:val="none"/>
                    </w:rPr>
                  </w:pPr>
                  <w:r>
                    <w:rPr>
                      <w:rFonts w:hint="default" w:ascii="Times New Roman" w:hAnsi="Times New Roman" w:cs="Times New Roman"/>
                      <w:highlight w:val="none"/>
                    </w:rPr>
                    <w:t>24小时平均第95%百分位数</w:t>
                  </w:r>
                </w:p>
              </w:tc>
              <w:tc>
                <w:tcPr>
                  <w:tcW w:w="489" w:type="pct"/>
                  <w:tcBorders>
                    <w:tl2br w:val="nil"/>
                    <w:tr2bl w:val="nil"/>
                  </w:tcBorders>
                  <w:noWrap w:val="0"/>
                  <w:vAlign w:val="center"/>
                </w:tcPr>
                <w:p w14:paraId="3364A197">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0.7</w:t>
                  </w:r>
                </w:p>
              </w:tc>
              <w:tc>
                <w:tcPr>
                  <w:tcW w:w="459" w:type="pct"/>
                  <w:tcBorders>
                    <w:tl2br w:val="nil"/>
                    <w:tr2bl w:val="nil"/>
                  </w:tcBorders>
                  <w:noWrap w:val="0"/>
                  <w:vAlign w:val="center"/>
                </w:tcPr>
                <w:p w14:paraId="6918706B">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533" w:type="pct"/>
                  <w:tcBorders>
                    <w:tl2br w:val="nil"/>
                    <w:tr2bl w:val="nil"/>
                  </w:tcBorders>
                  <w:noWrap w:val="0"/>
                  <w:vAlign w:val="center"/>
                </w:tcPr>
                <w:p w14:paraId="373326EB">
                  <w:pPr>
                    <w:jc w:val="center"/>
                    <w:rPr>
                      <w:rFonts w:hint="default" w:ascii="Times New Roman" w:hAnsi="Times New Roman" w:cs="Times New Roman"/>
                      <w:highlight w:val="none"/>
                    </w:rPr>
                  </w:pPr>
                  <w:r>
                    <w:rPr>
                      <w:rFonts w:hint="default" w:ascii="Times New Roman" w:hAnsi="Times New Roman" w:cs="Times New Roman"/>
                      <w:highlight w:val="none"/>
                    </w:rPr>
                    <w:t>mg/m³</w:t>
                  </w:r>
                </w:p>
              </w:tc>
              <w:tc>
                <w:tcPr>
                  <w:tcW w:w="566" w:type="pct"/>
                  <w:tcBorders>
                    <w:tl2br w:val="nil"/>
                    <w:tr2bl w:val="nil"/>
                  </w:tcBorders>
                  <w:noWrap w:val="0"/>
                  <w:vAlign w:val="center"/>
                </w:tcPr>
                <w:p w14:paraId="6ED6EAA6">
                  <w:pPr>
                    <w:jc w:val="center"/>
                    <w:rPr>
                      <w:rFonts w:hint="default" w:ascii="Times New Roman" w:hAnsi="Times New Roman" w:cs="Times New Roman"/>
                      <w:highlight w:val="none"/>
                    </w:rPr>
                  </w:pPr>
                  <w:r>
                    <w:rPr>
                      <w:rFonts w:hint="eastAsia" w:cs="Times New Roman"/>
                      <w:color w:val="auto"/>
                      <w:szCs w:val="21"/>
                      <w:highlight w:val="none"/>
                      <w:lang w:val="en-US" w:eastAsia="zh-CN"/>
                    </w:rPr>
                    <w:t>17.5%</w:t>
                  </w:r>
                </w:p>
              </w:tc>
              <w:tc>
                <w:tcPr>
                  <w:tcW w:w="455" w:type="pct"/>
                  <w:tcBorders>
                    <w:tl2br w:val="nil"/>
                    <w:tr2bl w:val="nil"/>
                  </w:tcBorders>
                  <w:noWrap w:val="0"/>
                  <w:vAlign w:val="center"/>
                </w:tcPr>
                <w:p w14:paraId="01511F2D">
                  <w:pPr>
                    <w:jc w:val="center"/>
                    <w:rPr>
                      <w:rFonts w:hint="default" w:ascii="Times New Roman" w:hAnsi="Times New Roman" w:cs="Times New Roman"/>
                      <w:highlight w:val="none"/>
                    </w:rPr>
                  </w:pPr>
                  <w:r>
                    <w:rPr>
                      <w:rFonts w:hint="default" w:ascii="Times New Roman" w:hAnsi="Times New Roman" w:cs="Times New Roman"/>
                      <w:highlight w:val="none"/>
                    </w:rPr>
                    <w:t>达标</w:t>
                  </w:r>
                </w:p>
              </w:tc>
            </w:tr>
            <w:tr w14:paraId="23C6C42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36" w:hRule="atLeast"/>
              </w:trPr>
              <w:tc>
                <w:tcPr>
                  <w:tcW w:w="1028" w:type="pct"/>
                  <w:vMerge w:val="continue"/>
                  <w:tcBorders>
                    <w:tl2br w:val="nil"/>
                    <w:tr2bl w:val="nil"/>
                  </w:tcBorders>
                  <w:noWrap w:val="0"/>
                  <w:vAlign w:val="center"/>
                </w:tcPr>
                <w:p w14:paraId="0DCABBF2">
                  <w:pPr>
                    <w:jc w:val="center"/>
                    <w:rPr>
                      <w:rFonts w:hint="default" w:ascii="Times New Roman" w:hAnsi="Times New Roman" w:cs="Times New Roman"/>
                      <w:highlight w:val="none"/>
                    </w:rPr>
                  </w:pPr>
                </w:p>
              </w:tc>
              <w:tc>
                <w:tcPr>
                  <w:tcW w:w="511" w:type="pct"/>
                  <w:tcBorders>
                    <w:tl2br w:val="nil"/>
                    <w:tr2bl w:val="nil"/>
                  </w:tcBorders>
                  <w:noWrap w:val="0"/>
                  <w:vAlign w:val="center"/>
                </w:tcPr>
                <w:p w14:paraId="4D24E298">
                  <w:pPr>
                    <w:jc w:val="center"/>
                    <w:rPr>
                      <w:rFonts w:hint="default" w:ascii="Times New Roman" w:hAnsi="Times New Roman" w:cs="Times New Roman"/>
                      <w:highlight w:val="none"/>
                    </w:rPr>
                  </w:pPr>
                  <w:r>
                    <w:rPr>
                      <w:rFonts w:hint="default" w:ascii="Times New Roman" w:hAnsi="Times New Roman" w:cs="Times New Roman"/>
                      <w:highlight w:val="none"/>
                    </w:rPr>
                    <w:t>O</w:t>
                  </w:r>
                  <w:r>
                    <w:rPr>
                      <w:rFonts w:hint="default" w:ascii="Times New Roman" w:hAnsi="Times New Roman" w:cs="Times New Roman"/>
                      <w:highlight w:val="none"/>
                      <w:vertAlign w:val="subscript"/>
                    </w:rPr>
                    <w:t>3</w:t>
                  </w:r>
                </w:p>
              </w:tc>
              <w:tc>
                <w:tcPr>
                  <w:tcW w:w="955" w:type="pct"/>
                  <w:tcBorders>
                    <w:tl2br w:val="nil"/>
                    <w:tr2bl w:val="nil"/>
                  </w:tcBorders>
                  <w:noWrap w:val="0"/>
                  <w:vAlign w:val="center"/>
                </w:tcPr>
                <w:p w14:paraId="419FFDB1">
                  <w:pPr>
                    <w:jc w:val="center"/>
                    <w:rPr>
                      <w:rFonts w:hint="default" w:ascii="Times New Roman" w:hAnsi="Times New Roman" w:cs="Times New Roman"/>
                      <w:highlight w:val="none"/>
                    </w:rPr>
                  </w:pPr>
                  <w:r>
                    <w:rPr>
                      <w:rFonts w:hint="default" w:ascii="Times New Roman" w:hAnsi="Times New Roman" w:cs="Times New Roman"/>
                      <w:highlight w:val="none"/>
                    </w:rPr>
                    <w:t>8小时平均第90%百分位数</w:t>
                  </w:r>
                </w:p>
              </w:tc>
              <w:tc>
                <w:tcPr>
                  <w:tcW w:w="489" w:type="pct"/>
                  <w:tcBorders>
                    <w:tl2br w:val="nil"/>
                    <w:tr2bl w:val="nil"/>
                  </w:tcBorders>
                  <w:noWrap w:val="0"/>
                  <w:vAlign w:val="center"/>
                </w:tcPr>
                <w:p w14:paraId="734047D4">
                  <w:pPr>
                    <w:jc w:val="center"/>
                    <w:rPr>
                      <w:rFonts w:hint="default" w:ascii="Times New Roman" w:hAnsi="Times New Roman" w:eastAsia="宋体" w:cs="Times New Roman"/>
                      <w:highlight w:val="none"/>
                      <w:lang w:val="en-US" w:eastAsia="zh-CN"/>
                    </w:rPr>
                  </w:pPr>
                  <w:r>
                    <w:rPr>
                      <w:rFonts w:hint="eastAsia" w:cs="Times New Roman"/>
                      <w:highlight w:val="none"/>
                      <w:lang w:val="en-US" w:eastAsia="zh-CN"/>
                    </w:rPr>
                    <w:t>104</w:t>
                  </w:r>
                </w:p>
              </w:tc>
              <w:tc>
                <w:tcPr>
                  <w:tcW w:w="459" w:type="pct"/>
                  <w:tcBorders>
                    <w:tl2br w:val="nil"/>
                    <w:tr2bl w:val="nil"/>
                  </w:tcBorders>
                  <w:noWrap w:val="0"/>
                  <w:vAlign w:val="center"/>
                </w:tcPr>
                <w:p w14:paraId="0E2D1738">
                  <w:pPr>
                    <w:jc w:val="center"/>
                    <w:rPr>
                      <w:rFonts w:hint="default" w:ascii="Times New Roman" w:hAnsi="Times New Roman" w:cs="Times New Roman"/>
                      <w:highlight w:val="none"/>
                    </w:rPr>
                  </w:pPr>
                  <w:r>
                    <w:rPr>
                      <w:rFonts w:hint="default" w:ascii="Times New Roman" w:hAnsi="Times New Roman" w:cs="Times New Roman"/>
                      <w:highlight w:val="none"/>
                    </w:rPr>
                    <w:t>160</w:t>
                  </w:r>
                </w:p>
              </w:tc>
              <w:tc>
                <w:tcPr>
                  <w:tcW w:w="533" w:type="pct"/>
                  <w:tcBorders>
                    <w:tl2br w:val="nil"/>
                    <w:tr2bl w:val="nil"/>
                  </w:tcBorders>
                  <w:noWrap w:val="0"/>
                  <w:vAlign w:val="center"/>
                </w:tcPr>
                <w:p w14:paraId="1400CB53">
                  <w:pPr>
                    <w:jc w:val="center"/>
                    <w:rPr>
                      <w:rFonts w:hint="default" w:ascii="Times New Roman" w:hAnsi="Times New Roman" w:cs="Times New Roman"/>
                      <w:highlight w:val="none"/>
                    </w:rPr>
                  </w:pPr>
                  <w:r>
                    <w:rPr>
                      <w:rFonts w:hint="default" w:ascii="Times New Roman" w:hAnsi="Times New Roman" w:cs="Times New Roman"/>
                      <w:highlight w:val="none"/>
                    </w:rPr>
                    <w:t>μg/m³</w:t>
                  </w:r>
                </w:p>
              </w:tc>
              <w:tc>
                <w:tcPr>
                  <w:tcW w:w="566" w:type="pct"/>
                  <w:tcBorders>
                    <w:tl2br w:val="nil"/>
                    <w:tr2bl w:val="nil"/>
                  </w:tcBorders>
                  <w:noWrap w:val="0"/>
                  <w:vAlign w:val="center"/>
                </w:tcPr>
                <w:p w14:paraId="5D3AFEC3">
                  <w:pPr>
                    <w:jc w:val="center"/>
                    <w:rPr>
                      <w:rFonts w:hint="default" w:ascii="Times New Roman" w:hAnsi="Times New Roman" w:eastAsia="宋体" w:cs="Times New Roman"/>
                      <w:highlight w:val="none"/>
                      <w:lang w:val="en-US" w:eastAsia="zh-CN"/>
                    </w:rPr>
                  </w:pPr>
                  <w:r>
                    <w:rPr>
                      <w:rFonts w:hint="eastAsia" w:cs="Times New Roman"/>
                      <w:color w:val="auto"/>
                      <w:szCs w:val="21"/>
                      <w:highlight w:val="none"/>
                      <w:lang w:val="en-US" w:eastAsia="zh-CN"/>
                    </w:rPr>
                    <w:t>65%</w:t>
                  </w:r>
                </w:p>
              </w:tc>
              <w:tc>
                <w:tcPr>
                  <w:tcW w:w="455" w:type="pct"/>
                  <w:tcBorders>
                    <w:tl2br w:val="nil"/>
                    <w:tr2bl w:val="nil"/>
                  </w:tcBorders>
                  <w:noWrap w:val="0"/>
                  <w:vAlign w:val="center"/>
                </w:tcPr>
                <w:p w14:paraId="57F219E2">
                  <w:pPr>
                    <w:jc w:val="center"/>
                    <w:rPr>
                      <w:rFonts w:hint="default" w:ascii="Times New Roman" w:hAnsi="Times New Roman" w:cs="Times New Roman"/>
                      <w:highlight w:val="none"/>
                    </w:rPr>
                  </w:pPr>
                  <w:r>
                    <w:rPr>
                      <w:rFonts w:hint="eastAsia" w:cs="Times New Roman"/>
                      <w:highlight w:val="none"/>
                      <w:lang w:val="en-US" w:eastAsia="zh-CN"/>
                    </w:rPr>
                    <w:t>达</w:t>
                  </w:r>
                  <w:r>
                    <w:rPr>
                      <w:rFonts w:hint="eastAsia" w:ascii="Times New Roman" w:hAnsi="Times New Roman" w:cs="Times New Roman"/>
                      <w:highlight w:val="none"/>
                      <w:lang w:val="en-US" w:eastAsia="zh-CN"/>
                    </w:rPr>
                    <w:t>标</w:t>
                  </w:r>
                </w:p>
              </w:tc>
            </w:tr>
          </w:tbl>
          <w:p w14:paraId="7CF0C2B9">
            <w:pPr>
              <w:pStyle w:val="35"/>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default" w:ascii="Times New Roman" w:hAnsi="Times New Roman" w:cs="Times New Roman"/>
                <w:highlight w:val="none"/>
              </w:rPr>
            </w:pPr>
            <w:r>
              <w:rPr>
                <w:rFonts w:hint="default" w:ascii="Times New Roman" w:hAnsi="Times New Roman" w:cs="Times New Roman"/>
                <w:highlight w:val="none"/>
              </w:rPr>
              <w:t>由上表可知，项目区域环境空气质量</w:t>
            </w:r>
            <w:r>
              <w:rPr>
                <w:rFonts w:hint="eastAsia" w:hAnsi="Times New Roman" w:cs="Times New Roman"/>
                <w:highlight w:val="none"/>
                <w:lang w:val="en-US" w:eastAsia="zh-CN"/>
              </w:rPr>
              <w:t>除</w:t>
            </w:r>
            <w:r>
              <w:rPr>
                <w:rFonts w:hint="default" w:ascii="Times New Roman" w:hAnsi="Times New Roman" w:cs="Times New Roman"/>
                <w:highlight w:val="none"/>
              </w:rPr>
              <w:t>PM</w:t>
            </w:r>
            <w:r>
              <w:rPr>
                <w:rFonts w:hint="default" w:ascii="Times New Roman" w:hAnsi="Times New Roman" w:cs="Times New Roman"/>
                <w:highlight w:val="none"/>
                <w:vertAlign w:val="subscript"/>
              </w:rPr>
              <w:t>10</w:t>
            </w:r>
            <w:r>
              <w:rPr>
                <w:rFonts w:hint="default" w:ascii="Times New Roman" w:hAnsi="Times New Roman" w:cs="Times New Roman"/>
                <w:highlight w:val="none"/>
              </w:rPr>
              <w:t>、PM</w:t>
            </w:r>
            <w:r>
              <w:rPr>
                <w:rFonts w:hint="default" w:ascii="Times New Roman" w:hAnsi="Times New Roman" w:cs="Times New Roman"/>
                <w:highlight w:val="none"/>
                <w:vertAlign w:val="subscript"/>
              </w:rPr>
              <w:t>2.5</w:t>
            </w:r>
            <w:r>
              <w:rPr>
                <w:rFonts w:hint="eastAsia" w:hAnsi="Times New Roman" w:cs="Times New Roman"/>
                <w:highlight w:val="none"/>
                <w:lang w:val="en-US" w:eastAsia="zh-CN"/>
              </w:rPr>
              <w:t>之外，其余</w:t>
            </w:r>
            <w:r>
              <w:rPr>
                <w:rFonts w:hint="default" w:ascii="Times New Roman" w:hAnsi="Times New Roman" w:cs="Times New Roman"/>
                <w:highlight w:val="none"/>
              </w:rPr>
              <w:t>SO</w:t>
            </w:r>
            <w:r>
              <w:rPr>
                <w:rFonts w:hint="default" w:ascii="Times New Roman" w:hAnsi="Times New Roman" w:cs="Times New Roman"/>
                <w:highlight w:val="none"/>
                <w:vertAlign w:val="subscript"/>
              </w:rPr>
              <w:t>2</w:t>
            </w:r>
            <w:r>
              <w:rPr>
                <w:rFonts w:hint="default" w:ascii="Times New Roman" w:hAnsi="Times New Roman" w:cs="Times New Roman"/>
                <w:highlight w:val="none"/>
              </w:rPr>
              <w:t>、NO</w:t>
            </w:r>
            <w:r>
              <w:rPr>
                <w:rFonts w:hint="default" w:ascii="Times New Roman" w:hAnsi="Times New Roman" w:cs="Times New Roman"/>
                <w:highlight w:val="none"/>
                <w:vertAlign w:val="subscript"/>
              </w:rPr>
              <w:t>2</w:t>
            </w:r>
            <w:r>
              <w:rPr>
                <w:rFonts w:hint="default" w:ascii="Times New Roman" w:hAnsi="Times New Roman" w:cs="Times New Roman"/>
                <w:highlight w:val="none"/>
              </w:rPr>
              <w:t>、CO和O</w:t>
            </w:r>
            <w:r>
              <w:rPr>
                <w:rFonts w:hint="default" w:ascii="Times New Roman" w:hAnsi="Times New Roman" w:cs="Times New Roman"/>
                <w:highlight w:val="none"/>
                <w:vertAlign w:val="subscript"/>
              </w:rPr>
              <w:t>3</w:t>
            </w:r>
            <w:r>
              <w:rPr>
                <w:rFonts w:hint="default" w:ascii="Times New Roman" w:hAnsi="Times New Roman" w:cs="Times New Roman"/>
                <w:highlight w:val="none"/>
              </w:rPr>
              <w:t>各监测因子均满足《环境空气质量标准》（GB3095-2012）二级标准</w:t>
            </w:r>
            <w:r>
              <w:rPr>
                <w:rFonts w:hint="default" w:ascii="Times New Roman" w:hAnsi="Times New Roman" w:cs="Times New Roman"/>
                <w:highlight w:val="none"/>
                <w:lang w:val="en-US" w:eastAsia="zh-CN"/>
              </w:rPr>
              <w:t>及修改单要求。</w:t>
            </w:r>
            <w:r>
              <w:rPr>
                <w:rFonts w:hint="default" w:ascii="Times New Roman" w:hAnsi="Times New Roman" w:cs="Times New Roman"/>
                <w:highlight w:val="none"/>
              </w:rPr>
              <w:t>根据《环境影响评价技术导则 大气环境》（HJ2.2-2018），城市环境空气质量达标情况评价指标为SO</w:t>
            </w:r>
            <w:r>
              <w:rPr>
                <w:rFonts w:hint="default" w:ascii="Times New Roman" w:hAnsi="Times New Roman" w:cs="Times New Roman"/>
                <w:highlight w:val="none"/>
                <w:vertAlign w:val="subscript"/>
              </w:rPr>
              <w:t>2</w:t>
            </w:r>
            <w:r>
              <w:rPr>
                <w:rFonts w:hint="default" w:ascii="Times New Roman" w:hAnsi="Times New Roman" w:cs="Times New Roman"/>
                <w:highlight w:val="none"/>
              </w:rPr>
              <w:t>、NO</w:t>
            </w:r>
            <w:r>
              <w:rPr>
                <w:rFonts w:hint="default" w:ascii="Times New Roman" w:hAnsi="Times New Roman" w:cs="Times New Roman"/>
                <w:highlight w:val="none"/>
                <w:vertAlign w:val="subscript"/>
              </w:rPr>
              <w:t>2</w:t>
            </w:r>
            <w:r>
              <w:rPr>
                <w:rFonts w:hint="default" w:ascii="Times New Roman" w:hAnsi="Times New Roman" w:cs="Times New Roman"/>
                <w:highlight w:val="none"/>
              </w:rPr>
              <w:t>、PM</w:t>
            </w:r>
            <w:r>
              <w:rPr>
                <w:rFonts w:hint="default" w:ascii="Times New Roman" w:hAnsi="Times New Roman" w:cs="Times New Roman"/>
                <w:highlight w:val="none"/>
                <w:vertAlign w:val="subscript"/>
              </w:rPr>
              <w:t>10</w:t>
            </w:r>
            <w:r>
              <w:rPr>
                <w:rFonts w:hint="default" w:ascii="Times New Roman" w:hAnsi="Times New Roman" w:cs="Times New Roman"/>
                <w:highlight w:val="none"/>
              </w:rPr>
              <w:t>、PM</w:t>
            </w:r>
            <w:r>
              <w:rPr>
                <w:rFonts w:hint="default" w:ascii="Times New Roman" w:hAnsi="Times New Roman" w:cs="Times New Roman"/>
                <w:highlight w:val="none"/>
                <w:vertAlign w:val="subscript"/>
              </w:rPr>
              <w:t>2.5</w:t>
            </w:r>
            <w:r>
              <w:rPr>
                <w:rFonts w:hint="default" w:ascii="Times New Roman" w:hAnsi="Times New Roman" w:cs="Times New Roman"/>
                <w:highlight w:val="none"/>
              </w:rPr>
              <w:t>、CO和O</w:t>
            </w:r>
            <w:r>
              <w:rPr>
                <w:rFonts w:hint="default" w:ascii="Times New Roman" w:hAnsi="Times New Roman" w:cs="Times New Roman"/>
                <w:highlight w:val="none"/>
                <w:vertAlign w:val="subscript"/>
              </w:rPr>
              <w:t>3</w:t>
            </w:r>
            <w:r>
              <w:rPr>
                <w:rFonts w:hint="default" w:ascii="Times New Roman" w:hAnsi="Times New Roman" w:cs="Times New Roman"/>
                <w:highlight w:val="none"/>
              </w:rPr>
              <w:t>，六项污染物全部达标即为城市环境空气质量达标。由此可知，项目所</w:t>
            </w:r>
            <w:r>
              <w:rPr>
                <w:rFonts w:hint="eastAsia" w:hAnsi="Times New Roman" w:cs="Times New Roman"/>
                <w:highlight w:val="none"/>
                <w:lang w:val="en-US" w:eastAsia="zh-CN"/>
              </w:rPr>
              <w:t>在地</w:t>
            </w:r>
            <w:r>
              <w:rPr>
                <w:rFonts w:hint="default" w:ascii="Times New Roman" w:hAnsi="Times New Roman" w:cs="Times New Roman"/>
                <w:highlight w:val="none"/>
              </w:rPr>
              <w:t>大气环境质量属于</w:t>
            </w:r>
            <w:r>
              <w:rPr>
                <w:rFonts w:hint="eastAsia" w:hAnsi="Times New Roman" w:cs="Times New Roman"/>
                <w:highlight w:val="none"/>
                <w:lang w:val="en-US" w:eastAsia="zh-CN"/>
              </w:rPr>
              <w:t>不</w:t>
            </w:r>
            <w:r>
              <w:rPr>
                <w:rFonts w:hint="default" w:ascii="Times New Roman" w:hAnsi="Times New Roman" w:cs="Times New Roman"/>
                <w:highlight w:val="none"/>
              </w:rPr>
              <w:t>达标区域。</w:t>
            </w:r>
          </w:p>
          <w:p w14:paraId="7DB96DC4">
            <w:pPr>
              <w:pStyle w:val="35"/>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default" w:ascii="Times New Roman" w:hAnsi="Times New Roman" w:cs="Times New Roman"/>
                <w:highlight w:val="none"/>
              </w:rPr>
            </w:pPr>
            <w:r>
              <w:rPr>
                <w:rFonts w:hint="eastAsia" w:ascii="Times New Roman" w:hAnsi="Times New Roman" w:cs="Times New Roman"/>
                <w:color w:val="auto"/>
                <w:sz w:val="24"/>
                <w:highlight w:val="none"/>
              </w:rPr>
              <w:t>为了深入推进大气污染防治工作，有效降低污染物浓度，持续改善空气质量，</w:t>
            </w:r>
            <w:r>
              <w:rPr>
                <w:rFonts w:hint="eastAsia" w:ascii="Times New Roman" w:hAnsi="Times New Roman" w:cs="Times New Roman"/>
                <w:color w:val="auto"/>
                <w:sz w:val="24"/>
                <w:highlight w:val="none"/>
                <w:lang w:val="en-US" w:eastAsia="zh-CN"/>
              </w:rPr>
              <w:t>202</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年</w:t>
            </w:r>
            <w:r>
              <w:rPr>
                <w:rFonts w:hint="eastAsia" w:ascii="Times New Roman" w:hAnsi="Times New Roman" w:cs="Times New Roman"/>
                <w:color w:val="auto"/>
                <w:sz w:val="24"/>
                <w:highlight w:val="none"/>
              </w:rPr>
              <w:t>平顶山市生态环境保护委员会办公室关于印发《平顶山市202</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rPr>
              <w:t>年蓝天保卫战实施方案》，以习近平新时代中国特色社会主义思想为指导，深入贯彻党的二十大精神，全面落实习近平生态文明思想，统筹生态环境保护与经济社会发展，突出精准治污、科学治污、依法治污，聚焦重污染天气消除、臭氧污染防治、柴油货车污染治理攻坚战，加快推进产业、能源、交通运输结构优化调整，强化重点区域、重点领域、重点行业和重点污染源治理，着力推进大气多污染物协同减排，精准有效应对重污染天气，完成上级下达我市的年度空气质量改善和主要大气污染物总量减排目标任务，助力经济高质量发展。</w:t>
            </w:r>
          </w:p>
          <w:p w14:paraId="592C245E">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b/>
                <w:highlight w:val="none"/>
                <w:lang w:val="en-US" w:eastAsia="zh-CN"/>
              </w:rPr>
            </w:pPr>
            <w:r>
              <w:rPr>
                <w:rFonts w:hint="default" w:ascii="Times New Roman" w:hAnsi="Times New Roman" w:cs="Times New Roman"/>
                <w:b/>
                <w:highlight w:val="none"/>
              </w:rPr>
              <w:t>2、地表水环境</w:t>
            </w:r>
            <w:r>
              <w:rPr>
                <w:rFonts w:hint="default" w:ascii="Times New Roman" w:hAnsi="Times New Roman" w:cs="Times New Roman"/>
                <w:b/>
                <w:highlight w:val="none"/>
                <w:lang w:val="en-US" w:eastAsia="zh-CN"/>
              </w:rPr>
              <w:t>质量现状</w:t>
            </w:r>
          </w:p>
          <w:p w14:paraId="3246618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本项目生产废水均循环利用，不外排，生活污水经化粪池处理后用于周围农田施肥</w:t>
            </w:r>
            <w:r>
              <w:rPr>
                <w:rFonts w:hint="eastAsia" w:cs="Times New Roman"/>
                <w:sz w:val="24"/>
                <w:highlight w:val="none"/>
                <w:lang w:eastAsia="zh-CN"/>
              </w:rPr>
              <w:t>，</w:t>
            </w:r>
            <w:r>
              <w:rPr>
                <w:rFonts w:hint="eastAsia" w:cs="Times New Roman"/>
                <w:sz w:val="24"/>
                <w:highlight w:val="none"/>
                <w:lang w:val="en-US" w:eastAsia="zh-CN"/>
              </w:rPr>
              <w:t>不外排</w:t>
            </w:r>
            <w:r>
              <w:rPr>
                <w:rFonts w:hint="default" w:ascii="Times New Roman" w:hAnsi="Times New Roman" w:cs="Times New Roman"/>
                <w:sz w:val="24"/>
                <w:highlight w:val="none"/>
              </w:rPr>
              <w:t>。经调查，该区域纳污河流</w:t>
            </w:r>
            <w:r>
              <w:rPr>
                <w:rFonts w:hint="eastAsia" w:cs="Times New Roman"/>
                <w:sz w:val="24"/>
                <w:highlight w:val="none"/>
                <w:lang w:val="en-US" w:eastAsia="zh-CN"/>
              </w:rPr>
              <w:t>且直线距离最近为</w:t>
            </w:r>
            <w:r>
              <w:rPr>
                <w:rFonts w:hint="default" w:ascii="Times New Roman" w:hAnsi="Times New Roman" w:cs="Times New Roman"/>
                <w:sz w:val="24"/>
                <w:highlight w:val="none"/>
              </w:rPr>
              <w:t>灰河（本项目</w:t>
            </w:r>
            <w:r>
              <w:rPr>
                <w:rFonts w:hint="default" w:ascii="Times New Roman" w:hAnsi="Times New Roman" w:cs="Times New Roman"/>
                <w:sz w:val="24"/>
                <w:highlight w:val="none"/>
                <w:lang w:val="en-US" w:eastAsia="zh-CN"/>
              </w:rPr>
              <w:t>北</w:t>
            </w:r>
            <w:r>
              <w:rPr>
                <w:rFonts w:hint="default" w:ascii="Times New Roman" w:hAnsi="Times New Roman" w:cs="Times New Roman"/>
                <w:sz w:val="24"/>
                <w:highlight w:val="none"/>
              </w:rPr>
              <w:t>侧</w:t>
            </w:r>
            <w:r>
              <w:rPr>
                <w:rFonts w:hint="default" w:ascii="Times New Roman" w:hAnsi="Times New Roman" w:cs="Times New Roman"/>
                <w:sz w:val="24"/>
                <w:highlight w:val="none"/>
                <w:lang w:val="en-US" w:eastAsia="zh-CN"/>
              </w:rPr>
              <w:t>直线距离570</w:t>
            </w:r>
            <w:r>
              <w:rPr>
                <w:rFonts w:hint="default" w:ascii="Times New Roman" w:hAnsi="Times New Roman" w:cs="Times New Roman"/>
                <w:sz w:val="24"/>
                <w:highlight w:val="none"/>
              </w:rPr>
              <w:t>m</w:t>
            </w:r>
            <w:r>
              <w:rPr>
                <w:rFonts w:hint="default" w:ascii="Times New Roman" w:hAnsi="Times New Roman" w:cs="Times New Roman"/>
                <w:sz w:val="24"/>
                <w:highlight w:val="none"/>
                <w:lang w:val="en-US" w:eastAsia="zh-CN"/>
              </w:rPr>
              <w:t>处</w:t>
            </w:r>
            <w:r>
              <w:rPr>
                <w:rFonts w:hint="default" w:ascii="Times New Roman" w:hAnsi="Times New Roman" w:cs="Times New Roman"/>
                <w:sz w:val="24"/>
                <w:highlight w:val="none"/>
              </w:rPr>
              <w:t>）执行《地表水环境质量标准》（GB3838-2002）IV类标准。为了解该区域内灰河水质情况，</w:t>
            </w:r>
            <w:r>
              <w:rPr>
                <w:rFonts w:hint="default" w:ascii="Times New Roman" w:hAnsi="Times New Roman" w:cs="Times New Roman"/>
                <w:bCs/>
                <w:sz w:val="24"/>
                <w:highlight w:val="none"/>
              </w:rPr>
              <w:t>本次地表水现状评价采用20</w:t>
            </w:r>
            <w:r>
              <w:rPr>
                <w:rFonts w:hint="default" w:ascii="Times New Roman" w:hAnsi="Times New Roman" w:cs="Times New Roman"/>
                <w:bCs/>
                <w:sz w:val="24"/>
                <w:highlight w:val="none"/>
                <w:lang w:val="en-US" w:eastAsia="zh-CN"/>
              </w:rPr>
              <w:t>2</w:t>
            </w:r>
            <w:r>
              <w:rPr>
                <w:rFonts w:hint="eastAsia" w:cs="Times New Roman"/>
                <w:bCs/>
                <w:sz w:val="24"/>
                <w:highlight w:val="none"/>
                <w:lang w:val="en-US" w:eastAsia="zh-CN"/>
              </w:rPr>
              <w:t>3</w:t>
            </w:r>
            <w:r>
              <w:rPr>
                <w:rFonts w:hint="default" w:ascii="Times New Roman" w:hAnsi="Times New Roman" w:cs="Times New Roman"/>
                <w:bCs/>
                <w:sz w:val="24"/>
                <w:highlight w:val="none"/>
              </w:rPr>
              <w:t>年度灰河叶县水寨屈庄断面的</w:t>
            </w:r>
            <w:r>
              <w:rPr>
                <w:rFonts w:hint="default" w:ascii="Times New Roman" w:hAnsi="Times New Roman" w:cs="Times New Roman"/>
                <w:bCs/>
                <w:sz w:val="24"/>
                <w:highlight w:val="none"/>
                <w:lang w:eastAsia="zh-CN"/>
              </w:rPr>
              <w:t>例行</w:t>
            </w:r>
            <w:r>
              <w:rPr>
                <w:rFonts w:hint="default" w:ascii="Times New Roman" w:hAnsi="Times New Roman" w:cs="Times New Roman"/>
                <w:bCs/>
                <w:sz w:val="24"/>
                <w:highlight w:val="none"/>
              </w:rPr>
              <w:t>监测数据，详见表</w:t>
            </w:r>
            <w:r>
              <w:rPr>
                <w:rFonts w:hint="default" w:ascii="Times New Roman" w:hAnsi="Times New Roman" w:cs="Times New Roman"/>
                <w:bCs/>
                <w:sz w:val="24"/>
                <w:highlight w:val="none"/>
                <w:lang w:val="en-US" w:eastAsia="zh-CN"/>
              </w:rPr>
              <w:t>3-2</w:t>
            </w:r>
            <w:r>
              <w:rPr>
                <w:rFonts w:hint="default" w:ascii="Times New Roman" w:hAnsi="Times New Roman" w:cs="Times New Roman"/>
                <w:bCs/>
                <w:sz w:val="24"/>
                <w:highlight w:val="none"/>
              </w:rPr>
              <w:t>。</w:t>
            </w:r>
          </w:p>
          <w:p w14:paraId="76B9AEB2">
            <w:pPr>
              <w:keepNext w:val="0"/>
              <w:keepLines w:val="0"/>
              <w:pageBreakBefore w:val="0"/>
              <w:widowControl w:val="0"/>
              <w:kinsoku/>
              <w:wordWrap/>
              <w:overflowPunct/>
              <w:topLinePunct w:val="0"/>
              <w:autoSpaceDE/>
              <w:autoSpaceDN/>
              <w:bidi w:val="0"/>
              <w:adjustRightInd/>
              <w:snapToGrid/>
              <w:spacing w:line="240" w:lineRule="auto"/>
              <w:ind w:firstLine="720" w:firstLineChars="300"/>
              <w:jc w:val="center"/>
              <w:textAlignment w:val="auto"/>
              <w:rPr>
                <w:rFonts w:ascii="Calibri" w:cs="Calibri"/>
                <w:highlight w:val="none"/>
              </w:rPr>
            </w:pPr>
            <w:r>
              <w:rPr>
                <w:rFonts w:hint="default" w:ascii="Times New Roman" w:hAnsi="Times New Roman" w:eastAsia="黑体" w:cs="Times New Roman"/>
                <w:sz w:val="24"/>
                <w:highlight w:val="none"/>
              </w:rPr>
              <w:t>表</w:t>
            </w:r>
            <w:r>
              <w:rPr>
                <w:rFonts w:hint="default" w:ascii="Times New Roman" w:hAnsi="Times New Roman" w:eastAsia="黑体" w:cs="Times New Roman"/>
                <w:sz w:val="24"/>
                <w:highlight w:val="none"/>
                <w:lang w:val="en-US" w:eastAsia="zh-CN"/>
              </w:rPr>
              <w:t>3</w:t>
            </w:r>
            <w:r>
              <w:rPr>
                <w:rFonts w:hint="eastAsia" w:eastAsia="黑体" w:cs="Times New Roman"/>
                <w:sz w:val="24"/>
                <w:highlight w:val="none"/>
                <w:lang w:val="en-US" w:eastAsia="zh-CN"/>
              </w:rPr>
              <w:t>-</w:t>
            </w:r>
            <w:r>
              <w:rPr>
                <w:rFonts w:hint="default" w:ascii="Times New Roman" w:hAnsi="Times New Roman" w:eastAsia="黑体" w:cs="Times New Roman"/>
                <w:sz w:val="24"/>
                <w:highlight w:val="none"/>
                <w:lang w:val="en-US" w:eastAsia="zh-CN"/>
              </w:rPr>
              <w:t>2</w:t>
            </w:r>
            <w:r>
              <w:rPr>
                <w:rFonts w:hint="default" w:ascii="Times New Roman" w:hAnsi="Times New Roman" w:eastAsia="黑体" w:cs="Times New Roman"/>
                <w:sz w:val="24"/>
                <w:highlight w:val="none"/>
              </w:rPr>
              <w:t xml:space="preserve"> 灰河现状监测结果统计</w:t>
            </w:r>
            <w:r>
              <w:rPr>
                <w:rFonts w:ascii="Calibri" w:eastAsia="黑体" w:cs="Calibri"/>
                <w:sz w:val="24"/>
                <w:highlight w:val="none"/>
              </w:rPr>
              <w:t>与评价</w:t>
            </w:r>
            <w:r>
              <w:rPr>
                <w:rFonts w:ascii="Calibri" w:hAnsi="Calibri" w:eastAsia="黑体" w:cs="Calibri"/>
                <w:sz w:val="24"/>
                <w:highlight w:val="none"/>
              </w:rPr>
              <w:t xml:space="preserve">   </w:t>
            </w:r>
            <w:r>
              <w:rPr>
                <w:rFonts w:hint="default" w:ascii="Times New Roman" w:hAnsi="Times New Roman" w:cs="Times New Roman"/>
                <w:highlight w:val="none"/>
              </w:rPr>
              <w:t>单位：mg/L（除pH外）</w:t>
            </w:r>
          </w:p>
          <w:tbl>
            <w:tblPr>
              <w:tblStyle w:val="23"/>
              <w:tblW w:w="4914" w:type="pct"/>
              <w:tblInd w:w="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68"/>
              <w:gridCol w:w="2194"/>
              <w:gridCol w:w="1310"/>
              <w:gridCol w:w="1298"/>
              <w:gridCol w:w="1116"/>
              <w:gridCol w:w="1092"/>
            </w:tblGrid>
            <w:tr w14:paraId="4AF3EC0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18" w:hRule="atLeast"/>
              </w:trPr>
              <w:tc>
                <w:tcPr>
                  <w:tcW w:w="606" w:type="pct"/>
                  <w:tcBorders>
                    <w:tl2br w:val="nil"/>
                    <w:tr2bl w:val="nil"/>
                  </w:tcBorders>
                  <w:noWrap w:val="0"/>
                  <w:vAlign w:val="center"/>
                </w:tcPr>
                <w:p w14:paraId="76BCA423">
                  <w:pPr>
                    <w:keepNext w:val="0"/>
                    <w:keepLines w:val="0"/>
                    <w:pageBreakBefore w:val="0"/>
                    <w:kinsoku/>
                    <w:wordWrap/>
                    <w:overflowPunct/>
                    <w:topLinePunct w:val="0"/>
                    <w:autoSpaceDE/>
                    <w:autoSpaceDN/>
                    <w:bidi w:val="0"/>
                    <w:adjustRightInd/>
                    <w:snapToGrid/>
                    <w:spacing w:line="240" w:lineRule="auto"/>
                    <w:ind w:left="0" w:right="0"/>
                    <w:jc w:val="center"/>
                    <w:textAlignment w:val="auto"/>
                    <w:rPr>
                      <w:szCs w:val="21"/>
                      <w:highlight w:val="none"/>
                    </w:rPr>
                  </w:pPr>
                  <w:r>
                    <w:rPr>
                      <w:rFonts w:hint="eastAsia"/>
                      <w:szCs w:val="21"/>
                      <w:highlight w:val="none"/>
                    </w:rPr>
                    <w:t>检测断面</w:t>
                  </w:r>
                </w:p>
              </w:tc>
              <w:tc>
                <w:tcPr>
                  <w:tcW w:w="1375" w:type="pct"/>
                  <w:tcBorders>
                    <w:tl2br w:val="nil"/>
                    <w:tr2bl w:val="nil"/>
                  </w:tcBorders>
                  <w:noWrap w:val="0"/>
                  <w:vAlign w:val="center"/>
                </w:tcPr>
                <w:p w14:paraId="5FE30AA0">
                  <w:pPr>
                    <w:keepNext w:val="0"/>
                    <w:keepLines w:val="0"/>
                    <w:pageBreakBefore w:val="0"/>
                    <w:kinsoku/>
                    <w:wordWrap/>
                    <w:overflowPunct/>
                    <w:topLinePunct w:val="0"/>
                    <w:autoSpaceDE/>
                    <w:autoSpaceDN/>
                    <w:bidi w:val="0"/>
                    <w:adjustRightInd/>
                    <w:snapToGrid/>
                    <w:spacing w:line="240" w:lineRule="auto"/>
                    <w:ind w:left="0" w:right="0"/>
                    <w:jc w:val="center"/>
                    <w:textAlignment w:val="auto"/>
                    <w:rPr>
                      <w:szCs w:val="21"/>
                      <w:highlight w:val="none"/>
                    </w:rPr>
                  </w:pPr>
                  <w:r>
                    <w:rPr>
                      <w:rFonts w:hint="eastAsia"/>
                      <w:szCs w:val="21"/>
                      <w:highlight w:val="none"/>
                    </w:rPr>
                    <w:t>项目</w:t>
                  </w:r>
                </w:p>
              </w:tc>
              <w:tc>
                <w:tcPr>
                  <w:tcW w:w="821" w:type="pct"/>
                  <w:tcBorders>
                    <w:tl2br w:val="nil"/>
                    <w:tr2bl w:val="nil"/>
                  </w:tcBorders>
                  <w:noWrap w:val="0"/>
                  <w:vAlign w:val="center"/>
                </w:tcPr>
                <w:p w14:paraId="0A43B6C7">
                  <w:pPr>
                    <w:keepNext w:val="0"/>
                    <w:keepLines w:val="0"/>
                    <w:pageBreakBefore w:val="0"/>
                    <w:kinsoku/>
                    <w:wordWrap/>
                    <w:overflowPunct/>
                    <w:topLinePunct w:val="0"/>
                    <w:autoSpaceDE/>
                    <w:autoSpaceDN/>
                    <w:bidi w:val="0"/>
                    <w:adjustRightInd/>
                    <w:snapToGrid/>
                    <w:spacing w:line="240" w:lineRule="auto"/>
                    <w:ind w:left="0" w:right="0"/>
                    <w:jc w:val="center"/>
                    <w:textAlignment w:val="auto"/>
                    <w:rPr>
                      <w:szCs w:val="21"/>
                      <w:highlight w:val="none"/>
                    </w:rPr>
                  </w:pPr>
                  <w:r>
                    <w:rPr>
                      <w:rFonts w:hint="eastAsia"/>
                      <w:szCs w:val="21"/>
                      <w:highlight w:val="none"/>
                      <w:lang w:val="en-US" w:eastAsia="zh-CN"/>
                    </w:rPr>
                    <w:t>平</w:t>
                  </w:r>
                  <w:r>
                    <w:rPr>
                      <w:rFonts w:hint="eastAsia"/>
                      <w:szCs w:val="21"/>
                      <w:highlight w:val="none"/>
                    </w:rPr>
                    <w:t>均值</w:t>
                  </w:r>
                </w:p>
              </w:tc>
              <w:tc>
                <w:tcPr>
                  <w:tcW w:w="813" w:type="pct"/>
                  <w:tcBorders>
                    <w:tl2br w:val="nil"/>
                    <w:tr2bl w:val="nil"/>
                  </w:tcBorders>
                  <w:noWrap w:val="0"/>
                  <w:vAlign w:val="center"/>
                </w:tcPr>
                <w:p w14:paraId="3554CFA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szCs w:val="21"/>
                      <w:highlight w:val="none"/>
                    </w:rPr>
                  </w:pPr>
                  <w:r>
                    <w:rPr>
                      <w:rFonts w:hint="eastAsia"/>
                      <w:szCs w:val="21"/>
                      <w:highlight w:val="none"/>
                    </w:rPr>
                    <w:t>评价标准</w:t>
                  </w:r>
                </w:p>
              </w:tc>
              <w:tc>
                <w:tcPr>
                  <w:tcW w:w="699" w:type="pct"/>
                  <w:tcBorders>
                    <w:tl2br w:val="nil"/>
                    <w:tr2bl w:val="nil"/>
                  </w:tcBorders>
                  <w:noWrap w:val="0"/>
                  <w:vAlign w:val="center"/>
                </w:tcPr>
                <w:p w14:paraId="559216EC">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超标率</w:t>
                  </w:r>
                </w:p>
              </w:tc>
              <w:tc>
                <w:tcPr>
                  <w:tcW w:w="684" w:type="pct"/>
                  <w:tcBorders>
                    <w:tl2br w:val="nil"/>
                    <w:tr2bl w:val="nil"/>
                  </w:tcBorders>
                  <w:noWrap w:val="0"/>
                  <w:vAlign w:val="center"/>
                </w:tcPr>
                <w:p w14:paraId="401A3799">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评价结果</w:t>
                  </w:r>
                </w:p>
              </w:tc>
            </w:tr>
            <w:tr w14:paraId="1DB8C89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2" w:hRule="atLeast"/>
              </w:trPr>
              <w:tc>
                <w:tcPr>
                  <w:tcW w:w="606" w:type="pct"/>
                  <w:vMerge w:val="restart"/>
                  <w:tcBorders>
                    <w:tl2br w:val="nil"/>
                    <w:tr2bl w:val="nil"/>
                  </w:tcBorders>
                  <w:noWrap w:val="0"/>
                  <w:vAlign w:val="center"/>
                </w:tcPr>
                <w:p w14:paraId="19D6F7EE">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灰河</w:t>
                  </w:r>
                  <w:r>
                    <w:rPr>
                      <w:rFonts w:hint="eastAsia"/>
                      <w:highlight w:val="none"/>
                      <w:lang w:val="en-US" w:eastAsia="zh-CN"/>
                    </w:rPr>
                    <w:t>叶县水寨</w:t>
                  </w:r>
                  <w:r>
                    <w:rPr>
                      <w:rFonts w:hint="eastAsia"/>
                      <w:highlight w:val="none"/>
                    </w:rPr>
                    <w:t>屈庄断面</w:t>
                  </w:r>
                </w:p>
              </w:tc>
              <w:tc>
                <w:tcPr>
                  <w:tcW w:w="1375" w:type="pct"/>
                  <w:tcBorders>
                    <w:tl2br w:val="nil"/>
                    <w:tr2bl w:val="nil"/>
                  </w:tcBorders>
                  <w:noWrap w:val="0"/>
                  <w:vAlign w:val="center"/>
                </w:tcPr>
                <w:p w14:paraId="7617307D">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pH</w:t>
                  </w:r>
                </w:p>
              </w:tc>
              <w:tc>
                <w:tcPr>
                  <w:tcW w:w="821" w:type="pct"/>
                  <w:tcBorders>
                    <w:tl2br w:val="nil"/>
                    <w:tr2bl w:val="nil"/>
                  </w:tcBorders>
                  <w:noWrap w:val="0"/>
                  <w:vAlign w:val="center"/>
                </w:tcPr>
                <w:p w14:paraId="15A789A9">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7</w:t>
                  </w:r>
                </w:p>
              </w:tc>
              <w:tc>
                <w:tcPr>
                  <w:tcW w:w="813" w:type="pct"/>
                  <w:tcBorders>
                    <w:tl2br w:val="nil"/>
                    <w:tr2bl w:val="nil"/>
                  </w:tcBorders>
                  <w:noWrap w:val="0"/>
                  <w:vAlign w:val="center"/>
                </w:tcPr>
                <w:p w14:paraId="1C37363C">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6～9</w:t>
                  </w:r>
                </w:p>
              </w:tc>
              <w:tc>
                <w:tcPr>
                  <w:tcW w:w="699" w:type="pct"/>
                  <w:tcBorders>
                    <w:tl2br w:val="nil"/>
                    <w:tr2bl w:val="nil"/>
                  </w:tcBorders>
                  <w:noWrap w:val="0"/>
                  <w:vAlign w:val="center"/>
                </w:tcPr>
                <w:p w14:paraId="2654CE37">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highlight w:val="none"/>
                      <w:lang w:val="en-US" w:eastAsia="zh-CN"/>
                    </w:rPr>
                  </w:pPr>
                  <w:r>
                    <w:rPr>
                      <w:rFonts w:hint="eastAsia"/>
                      <w:highlight w:val="none"/>
                      <w:lang w:val="en-US" w:eastAsia="zh-CN"/>
                    </w:rPr>
                    <w:t>0</w:t>
                  </w:r>
                </w:p>
              </w:tc>
              <w:tc>
                <w:tcPr>
                  <w:tcW w:w="684" w:type="pct"/>
                  <w:tcBorders>
                    <w:tl2br w:val="nil"/>
                    <w:tr2bl w:val="nil"/>
                  </w:tcBorders>
                  <w:noWrap w:val="0"/>
                  <w:vAlign w:val="center"/>
                </w:tcPr>
                <w:p w14:paraId="50E5E4F9">
                  <w:pPr>
                    <w:pStyle w:val="40"/>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kern w:val="0"/>
                      <w:sz w:val="22"/>
                      <w:szCs w:val="22"/>
                      <w:highlight w:val="none"/>
                      <w:lang w:val="en-US" w:eastAsia="zh-CN" w:bidi="ar-SA"/>
                    </w:rPr>
                  </w:pPr>
                  <w:r>
                    <w:rPr>
                      <w:rFonts w:hint="eastAsia"/>
                      <w:highlight w:val="none"/>
                    </w:rPr>
                    <w:t>达标</w:t>
                  </w:r>
                </w:p>
              </w:tc>
            </w:tr>
            <w:tr w14:paraId="279D33B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2" w:hRule="atLeast"/>
              </w:trPr>
              <w:tc>
                <w:tcPr>
                  <w:tcW w:w="606" w:type="pct"/>
                  <w:vMerge w:val="continue"/>
                  <w:tcBorders>
                    <w:tl2br w:val="nil"/>
                    <w:tr2bl w:val="nil"/>
                  </w:tcBorders>
                  <w:noWrap w:val="0"/>
                  <w:vAlign w:val="center"/>
                </w:tcPr>
                <w:p w14:paraId="679ECA64">
                  <w:pPr>
                    <w:pStyle w:val="40"/>
                    <w:keepNext w:val="0"/>
                    <w:keepLines w:val="0"/>
                    <w:pageBreakBefore w:val="0"/>
                    <w:kinsoku/>
                    <w:wordWrap/>
                    <w:overflowPunct/>
                    <w:topLinePunct w:val="0"/>
                    <w:autoSpaceDE/>
                    <w:autoSpaceDN/>
                    <w:bidi w:val="0"/>
                    <w:adjustRightInd/>
                    <w:snapToGrid/>
                    <w:spacing w:line="240" w:lineRule="auto"/>
                    <w:ind w:left="0" w:right="0"/>
                    <w:textAlignment w:val="auto"/>
                    <w:rPr>
                      <w:highlight w:val="none"/>
                    </w:rPr>
                  </w:pPr>
                </w:p>
              </w:tc>
              <w:tc>
                <w:tcPr>
                  <w:tcW w:w="1375" w:type="pct"/>
                  <w:tcBorders>
                    <w:tl2br w:val="nil"/>
                    <w:tr2bl w:val="nil"/>
                  </w:tcBorders>
                  <w:noWrap w:val="0"/>
                  <w:vAlign w:val="center"/>
                </w:tcPr>
                <w:p w14:paraId="0E65E402">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溶解氧</w:t>
                  </w:r>
                </w:p>
              </w:tc>
              <w:tc>
                <w:tcPr>
                  <w:tcW w:w="821" w:type="pct"/>
                  <w:tcBorders>
                    <w:tl2br w:val="nil"/>
                    <w:tr2bl w:val="nil"/>
                  </w:tcBorders>
                  <w:noWrap w:val="0"/>
                  <w:vAlign w:val="center"/>
                </w:tcPr>
                <w:p w14:paraId="3AF7D59F">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8.9</w:t>
                  </w:r>
                </w:p>
              </w:tc>
              <w:tc>
                <w:tcPr>
                  <w:tcW w:w="813" w:type="pct"/>
                  <w:tcBorders>
                    <w:tl2br w:val="nil"/>
                    <w:tr2bl w:val="nil"/>
                  </w:tcBorders>
                  <w:noWrap w:val="0"/>
                  <w:vAlign w:val="center"/>
                </w:tcPr>
                <w:p w14:paraId="17FA99D5">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3</w:t>
                  </w:r>
                </w:p>
              </w:tc>
              <w:tc>
                <w:tcPr>
                  <w:tcW w:w="699" w:type="pct"/>
                  <w:tcBorders>
                    <w:tl2br w:val="nil"/>
                    <w:tr2bl w:val="nil"/>
                  </w:tcBorders>
                  <w:noWrap w:val="0"/>
                  <w:vAlign w:val="center"/>
                </w:tcPr>
                <w:p w14:paraId="487571A7">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6AF5F076">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0A62B93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2" w:hRule="atLeast"/>
              </w:trPr>
              <w:tc>
                <w:tcPr>
                  <w:tcW w:w="606" w:type="pct"/>
                  <w:vMerge w:val="continue"/>
                  <w:tcBorders>
                    <w:tl2br w:val="nil"/>
                    <w:tr2bl w:val="nil"/>
                  </w:tcBorders>
                  <w:noWrap w:val="0"/>
                  <w:vAlign w:val="center"/>
                </w:tcPr>
                <w:p w14:paraId="3D49F27E">
                  <w:pPr>
                    <w:pStyle w:val="40"/>
                    <w:keepNext w:val="0"/>
                    <w:keepLines w:val="0"/>
                    <w:pageBreakBefore w:val="0"/>
                    <w:kinsoku/>
                    <w:wordWrap/>
                    <w:overflowPunct/>
                    <w:topLinePunct w:val="0"/>
                    <w:autoSpaceDE/>
                    <w:autoSpaceDN/>
                    <w:bidi w:val="0"/>
                    <w:adjustRightInd/>
                    <w:snapToGrid/>
                    <w:spacing w:line="240" w:lineRule="auto"/>
                    <w:ind w:left="0" w:right="0"/>
                    <w:textAlignment w:val="auto"/>
                    <w:rPr>
                      <w:highlight w:val="none"/>
                    </w:rPr>
                  </w:pPr>
                </w:p>
              </w:tc>
              <w:tc>
                <w:tcPr>
                  <w:tcW w:w="1375" w:type="pct"/>
                  <w:tcBorders>
                    <w:tl2br w:val="nil"/>
                    <w:tr2bl w:val="nil"/>
                  </w:tcBorders>
                  <w:noWrap w:val="0"/>
                  <w:vAlign w:val="center"/>
                </w:tcPr>
                <w:p w14:paraId="49AA8C30">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高锰酸盐指数</w:t>
                  </w:r>
                </w:p>
              </w:tc>
              <w:tc>
                <w:tcPr>
                  <w:tcW w:w="821" w:type="pct"/>
                  <w:tcBorders>
                    <w:tl2br w:val="nil"/>
                    <w:tr2bl w:val="nil"/>
                  </w:tcBorders>
                  <w:noWrap w:val="0"/>
                  <w:vAlign w:val="center"/>
                </w:tcPr>
                <w:p w14:paraId="1CC0A0B5">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4.6</w:t>
                  </w:r>
                </w:p>
              </w:tc>
              <w:tc>
                <w:tcPr>
                  <w:tcW w:w="813" w:type="pct"/>
                  <w:tcBorders>
                    <w:tl2br w:val="nil"/>
                    <w:tr2bl w:val="nil"/>
                  </w:tcBorders>
                  <w:noWrap w:val="0"/>
                  <w:vAlign w:val="center"/>
                </w:tcPr>
                <w:p w14:paraId="4A4B9968">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10</w:t>
                  </w:r>
                </w:p>
              </w:tc>
              <w:tc>
                <w:tcPr>
                  <w:tcW w:w="699" w:type="pct"/>
                  <w:tcBorders>
                    <w:tl2br w:val="nil"/>
                    <w:tr2bl w:val="nil"/>
                  </w:tcBorders>
                  <w:noWrap w:val="0"/>
                  <w:vAlign w:val="center"/>
                </w:tcPr>
                <w:p w14:paraId="5C819250">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2E9D9741">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4D547ED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3" w:hRule="atLeast"/>
              </w:trPr>
              <w:tc>
                <w:tcPr>
                  <w:tcW w:w="606" w:type="pct"/>
                  <w:vMerge w:val="continue"/>
                  <w:tcBorders>
                    <w:tl2br w:val="nil"/>
                    <w:tr2bl w:val="nil"/>
                  </w:tcBorders>
                  <w:noWrap w:val="0"/>
                  <w:vAlign w:val="center"/>
                </w:tcPr>
                <w:p w14:paraId="1B0D8E9E">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760B918B">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COD</w:t>
                  </w:r>
                </w:p>
              </w:tc>
              <w:tc>
                <w:tcPr>
                  <w:tcW w:w="821" w:type="pct"/>
                  <w:tcBorders>
                    <w:tl2br w:val="nil"/>
                    <w:tr2bl w:val="nil"/>
                  </w:tcBorders>
                  <w:noWrap w:val="0"/>
                  <w:vAlign w:val="center"/>
                </w:tcPr>
                <w:p w14:paraId="4C1C2842">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23.6</w:t>
                  </w:r>
                </w:p>
              </w:tc>
              <w:tc>
                <w:tcPr>
                  <w:tcW w:w="813" w:type="pct"/>
                  <w:tcBorders>
                    <w:tl2br w:val="nil"/>
                    <w:tr2bl w:val="nil"/>
                  </w:tcBorders>
                  <w:noWrap w:val="0"/>
                  <w:vAlign w:val="center"/>
                </w:tcPr>
                <w:p w14:paraId="1D36240C">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30</w:t>
                  </w:r>
                </w:p>
              </w:tc>
              <w:tc>
                <w:tcPr>
                  <w:tcW w:w="699" w:type="pct"/>
                  <w:tcBorders>
                    <w:tl2br w:val="nil"/>
                    <w:tr2bl w:val="nil"/>
                  </w:tcBorders>
                  <w:noWrap w:val="0"/>
                  <w:vAlign w:val="center"/>
                </w:tcPr>
                <w:p w14:paraId="62552F9A">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eastAsia="宋体"/>
                      <w:highlight w:val="none"/>
                      <w:lang w:val="en-US" w:eastAsia="zh-CN"/>
                    </w:rPr>
                  </w:pPr>
                  <w:r>
                    <w:rPr>
                      <w:rFonts w:hint="eastAsia"/>
                      <w:highlight w:val="none"/>
                      <w:lang w:val="en-US" w:eastAsia="zh-CN"/>
                    </w:rPr>
                    <w:t>0</w:t>
                  </w:r>
                </w:p>
              </w:tc>
              <w:tc>
                <w:tcPr>
                  <w:tcW w:w="684" w:type="pct"/>
                  <w:tcBorders>
                    <w:tl2br w:val="nil"/>
                    <w:tr2bl w:val="nil"/>
                  </w:tcBorders>
                  <w:noWrap w:val="0"/>
                  <w:vAlign w:val="center"/>
                </w:tcPr>
                <w:p w14:paraId="2E11714A">
                  <w:pPr>
                    <w:pStyle w:val="40"/>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kern w:val="0"/>
                      <w:sz w:val="22"/>
                      <w:szCs w:val="22"/>
                      <w:highlight w:val="none"/>
                      <w:lang w:val="en-US" w:eastAsia="zh-CN" w:bidi="ar-SA"/>
                    </w:rPr>
                  </w:pPr>
                  <w:r>
                    <w:rPr>
                      <w:rFonts w:hint="eastAsia"/>
                      <w:highlight w:val="none"/>
                    </w:rPr>
                    <w:t>达标</w:t>
                  </w:r>
                </w:p>
              </w:tc>
            </w:tr>
            <w:tr w14:paraId="5DBD70C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604644C8">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7D0D73EB">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BOD</w:t>
                  </w:r>
                  <w:r>
                    <w:rPr>
                      <w:rFonts w:hint="eastAsia" w:ascii="Times New Roman" w:hAnsi="Times New Roman" w:cs="Times New Roman"/>
                      <w:szCs w:val="21"/>
                      <w:highlight w:val="none"/>
                      <w:vertAlign w:val="subscript"/>
                    </w:rPr>
                    <w:t>5</w:t>
                  </w:r>
                </w:p>
              </w:tc>
              <w:tc>
                <w:tcPr>
                  <w:tcW w:w="821" w:type="pct"/>
                  <w:tcBorders>
                    <w:tl2br w:val="nil"/>
                    <w:tr2bl w:val="nil"/>
                  </w:tcBorders>
                  <w:noWrap w:val="0"/>
                  <w:vAlign w:val="center"/>
                </w:tcPr>
                <w:p w14:paraId="16146F98">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3.2</w:t>
                  </w:r>
                </w:p>
              </w:tc>
              <w:tc>
                <w:tcPr>
                  <w:tcW w:w="813" w:type="pct"/>
                  <w:tcBorders>
                    <w:tl2br w:val="nil"/>
                    <w:tr2bl w:val="nil"/>
                  </w:tcBorders>
                  <w:noWrap w:val="0"/>
                  <w:vAlign w:val="center"/>
                </w:tcPr>
                <w:p w14:paraId="1C9B0360">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6</w:t>
                  </w:r>
                </w:p>
              </w:tc>
              <w:tc>
                <w:tcPr>
                  <w:tcW w:w="699" w:type="pct"/>
                  <w:tcBorders>
                    <w:tl2br w:val="nil"/>
                    <w:tr2bl w:val="nil"/>
                  </w:tcBorders>
                  <w:noWrap w:val="0"/>
                  <w:vAlign w:val="center"/>
                </w:tcPr>
                <w:p w14:paraId="4ADEDAEC">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eastAsia="宋体"/>
                      <w:highlight w:val="none"/>
                      <w:lang w:val="en-US" w:eastAsia="zh-CN"/>
                    </w:rPr>
                  </w:pPr>
                  <w:r>
                    <w:rPr>
                      <w:rFonts w:hint="eastAsia"/>
                      <w:highlight w:val="none"/>
                      <w:lang w:val="en-US" w:eastAsia="zh-CN"/>
                    </w:rPr>
                    <w:t>0</w:t>
                  </w:r>
                </w:p>
              </w:tc>
              <w:tc>
                <w:tcPr>
                  <w:tcW w:w="684" w:type="pct"/>
                  <w:tcBorders>
                    <w:tl2br w:val="nil"/>
                    <w:tr2bl w:val="nil"/>
                  </w:tcBorders>
                  <w:noWrap w:val="0"/>
                  <w:vAlign w:val="center"/>
                </w:tcPr>
                <w:p w14:paraId="36450538">
                  <w:pPr>
                    <w:pStyle w:val="40"/>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kern w:val="0"/>
                      <w:sz w:val="22"/>
                      <w:szCs w:val="22"/>
                      <w:highlight w:val="none"/>
                      <w:lang w:val="en-US" w:eastAsia="zh-CN" w:bidi="ar-SA"/>
                    </w:rPr>
                  </w:pPr>
                  <w:r>
                    <w:rPr>
                      <w:rFonts w:hint="eastAsia"/>
                      <w:highlight w:val="none"/>
                      <w:lang w:val="en-US" w:eastAsia="zh-CN"/>
                    </w:rPr>
                    <w:t>达</w:t>
                  </w:r>
                  <w:r>
                    <w:rPr>
                      <w:rFonts w:hint="eastAsia"/>
                      <w:highlight w:val="none"/>
                    </w:rPr>
                    <w:t>标</w:t>
                  </w:r>
                </w:p>
              </w:tc>
            </w:tr>
            <w:tr w14:paraId="4FB57EB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0BE24933">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2A091DB1">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氨氮</w:t>
                  </w:r>
                </w:p>
              </w:tc>
              <w:tc>
                <w:tcPr>
                  <w:tcW w:w="821" w:type="pct"/>
                  <w:tcBorders>
                    <w:tl2br w:val="nil"/>
                    <w:tr2bl w:val="nil"/>
                  </w:tcBorders>
                  <w:noWrap w:val="0"/>
                  <w:vAlign w:val="center"/>
                </w:tcPr>
                <w:p w14:paraId="2A5DB439">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0.51</w:t>
                  </w:r>
                </w:p>
              </w:tc>
              <w:tc>
                <w:tcPr>
                  <w:tcW w:w="813" w:type="pct"/>
                  <w:tcBorders>
                    <w:tl2br w:val="nil"/>
                    <w:tr2bl w:val="nil"/>
                  </w:tcBorders>
                  <w:noWrap w:val="0"/>
                  <w:vAlign w:val="center"/>
                </w:tcPr>
                <w:p w14:paraId="4F3492F3">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1.5</w:t>
                  </w:r>
                </w:p>
              </w:tc>
              <w:tc>
                <w:tcPr>
                  <w:tcW w:w="699" w:type="pct"/>
                  <w:tcBorders>
                    <w:tl2br w:val="nil"/>
                    <w:tr2bl w:val="nil"/>
                  </w:tcBorders>
                  <w:noWrap w:val="0"/>
                  <w:vAlign w:val="center"/>
                </w:tcPr>
                <w:p w14:paraId="31194D5B">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eastAsia="宋体"/>
                      <w:highlight w:val="none"/>
                      <w:lang w:val="en-US" w:eastAsia="zh-CN"/>
                    </w:rPr>
                  </w:pPr>
                  <w:r>
                    <w:rPr>
                      <w:rFonts w:hint="eastAsia"/>
                      <w:highlight w:val="none"/>
                      <w:lang w:val="en-US" w:eastAsia="zh-CN"/>
                    </w:rPr>
                    <w:t>0</w:t>
                  </w:r>
                </w:p>
              </w:tc>
              <w:tc>
                <w:tcPr>
                  <w:tcW w:w="684" w:type="pct"/>
                  <w:tcBorders>
                    <w:tl2br w:val="nil"/>
                    <w:tr2bl w:val="nil"/>
                  </w:tcBorders>
                  <w:noWrap w:val="0"/>
                  <w:vAlign w:val="center"/>
                </w:tcPr>
                <w:p w14:paraId="12C1C07B">
                  <w:pPr>
                    <w:pStyle w:val="40"/>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kern w:val="0"/>
                      <w:sz w:val="22"/>
                      <w:szCs w:val="22"/>
                      <w:highlight w:val="none"/>
                      <w:lang w:val="en-US" w:eastAsia="zh-CN" w:bidi="ar-SA"/>
                    </w:rPr>
                  </w:pPr>
                  <w:r>
                    <w:rPr>
                      <w:rFonts w:hint="eastAsia"/>
                      <w:highlight w:val="none"/>
                    </w:rPr>
                    <w:t>达标</w:t>
                  </w:r>
                </w:p>
              </w:tc>
            </w:tr>
            <w:tr w14:paraId="60A29E2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82" w:hRule="atLeast"/>
              </w:trPr>
              <w:tc>
                <w:tcPr>
                  <w:tcW w:w="606" w:type="pct"/>
                  <w:vMerge w:val="continue"/>
                  <w:tcBorders>
                    <w:tl2br w:val="nil"/>
                    <w:tr2bl w:val="nil"/>
                  </w:tcBorders>
                  <w:noWrap w:val="0"/>
                  <w:vAlign w:val="center"/>
                </w:tcPr>
                <w:p w14:paraId="0F9E1832">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2367A57F">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总磷</w:t>
                  </w:r>
                </w:p>
              </w:tc>
              <w:tc>
                <w:tcPr>
                  <w:tcW w:w="821" w:type="pct"/>
                  <w:tcBorders>
                    <w:tl2br w:val="nil"/>
                    <w:tr2bl w:val="nil"/>
                  </w:tcBorders>
                  <w:noWrap w:val="0"/>
                  <w:vAlign w:val="center"/>
                </w:tcPr>
                <w:p w14:paraId="7798E62B">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0.137</w:t>
                  </w:r>
                </w:p>
              </w:tc>
              <w:tc>
                <w:tcPr>
                  <w:tcW w:w="813" w:type="pct"/>
                  <w:tcBorders>
                    <w:tl2br w:val="nil"/>
                    <w:tr2bl w:val="nil"/>
                  </w:tcBorders>
                  <w:noWrap w:val="0"/>
                  <w:vAlign w:val="center"/>
                </w:tcPr>
                <w:p w14:paraId="2BB753C9">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0.3</w:t>
                  </w:r>
                </w:p>
              </w:tc>
              <w:tc>
                <w:tcPr>
                  <w:tcW w:w="699" w:type="pct"/>
                  <w:tcBorders>
                    <w:tl2br w:val="nil"/>
                    <w:tr2bl w:val="nil"/>
                  </w:tcBorders>
                  <w:noWrap w:val="0"/>
                  <w:vAlign w:val="center"/>
                </w:tcPr>
                <w:p w14:paraId="4A0080F0">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eastAsia="宋体"/>
                      <w:highlight w:val="none"/>
                      <w:lang w:val="en-US" w:eastAsia="zh-CN"/>
                    </w:rPr>
                  </w:pPr>
                  <w:r>
                    <w:rPr>
                      <w:rFonts w:hint="eastAsia"/>
                      <w:highlight w:val="none"/>
                      <w:lang w:val="en-US" w:eastAsia="zh-CN"/>
                    </w:rPr>
                    <w:t>0</w:t>
                  </w:r>
                </w:p>
              </w:tc>
              <w:tc>
                <w:tcPr>
                  <w:tcW w:w="684" w:type="pct"/>
                  <w:tcBorders>
                    <w:tl2br w:val="nil"/>
                    <w:tr2bl w:val="nil"/>
                  </w:tcBorders>
                  <w:noWrap w:val="0"/>
                  <w:vAlign w:val="center"/>
                </w:tcPr>
                <w:p w14:paraId="03BC445C">
                  <w:pPr>
                    <w:pStyle w:val="40"/>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kern w:val="0"/>
                      <w:sz w:val="22"/>
                      <w:szCs w:val="22"/>
                      <w:highlight w:val="none"/>
                      <w:lang w:val="en-US" w:eastAsia="zh-CN" w:bidi="ar-SA"/>
                    </w:rPr>
                  </w:pPr>
                  <w:r>
                    <w:rPr>
                      <w:rFonts w:hint="eastAsia"/>
                      <w:highlight w:val="none"/>
                    </w:rPr>
                    <w:t>达标</w:t>
                  </w:r>
                </w:p>
              </w:tc>
            </w:tr>
            <w:tr w14:paraId="2692952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2" w:hRule="atLeast"/>
              </w:trPr>
              <w:tc>
                <w:tcPr>
                  <w:tcW w:w="606" w:type="pct"/>
                  <w:vMerge w:val="continue"/>
                  <w:tcBorders>
                    <w:tl2br w:val="nil"/>
                    <w:tr2bl w:val="nil"/>
                  </w:tcBorders>
                  <w:noWrap w:val="0"/>
                  <w:vAlign w:val="center"/>
                </w:tcPr>
                <w:p w14:paraId="53DF951E">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71BDF5E2">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铜</w:t>
                  </w:r>
                </w:p>
              </w:tc>
              <w:tc>
                <w:tcPr>
                  <w:tcW w:w="821" w:type="pct"/>
                  <w:tcBorders>
                    <w:tl2br w:val="nil"/>
                    <w:tr2bl w:val="nil"/>
                  </w:tcBorders>
                  <w:noWrap w:val="0"/>
                  <w:vAlign w:val="center"/>
                </w:tcPr>
                <w:p w14:paraId="48800896">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0.003</w:t>
                  </w:r>
                </w:p>
              </w:tc>
              <w:tc>
                <w:tcPr>
                  <w:tcW w:w="813" w:type="pct"/>
                  <w:tcBorders>
                    <w:tl2br w:val="nil"/>
                    <w:tr2bl w:val="nil"/>
                  </w:tcBorders>
                  <w:noWrap w:val="0"/>
                  <w:vAlign w:val="center"/>
                </w:tcPr>
                <w:p w14:paraId="6A3C4E41">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1</w:t>
                  </w:r>
                </w:p>
              </w:tc>
              <w:tc>
                <w:tcPr>
                  <w:tcW w:w="699" w:type="pct"/>
                  <w:tcBorders>
                    <w:tl2br w:val="nil"/>
                    <w:tr2bl w:val="nil"/>
                  </w:tcBorders>
                  <w:noWrap w:val="0"/>
                  <w:vAlign w:val="center"/>
                </w:tcPr>
                <w:p w14:paraId="26548804">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0BBE7D43">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2A479A6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6B036F79">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2AF2771D">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锌</w:t>
                  </w:r>
                </w:p>
              </w:tc>
              <w:tc>
                <w:tcPr>
                  <w:tcW w:w="821" w:type="pct"/>
                  <w:tcBorders>
                    <w:tl2br w:val="nil"/>
                    <w:tr2bl w:val="nil"/>
                  </w:tcBorders>
                  <w:noWrap w:val="0"/>
                  <w:vAlign w:val="center"/>
                </w:tcPr>
                <w:p w14:paraId="23FF2034">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0.004</w:t>
                  </w:r>
                </w:p>
              </w:tc>
              <w:tc>
                <w:tcPr>
                  <w:tcW w:w="813" w:type="pct"/>
                  <w:tcBorders>
                    <w:tl2br w:val="nil"/>
                    <w:tr2bl w:val="nil"/>
                  </w:tcBorders>
                  <w:noWrap w:val="0"/>
                  <w:vAlign w:val="center"/>
                </w:tcPr>
                <w:p w14:paraId="792AA49A">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2</w:t>
                  </w:r>
                </w:p>
              </w:tc>
              <w:tc>
                <w:tcPr>
                  <w:tcW w:w="699" w:type="pct"/>
                  <w:tcBorders>
                    <w:tl2br w:val="nil"/>
                    <w:tr2bl w:val="nil"/>
                  </w:tcBorders>
                  <w:noWrap w:val="0"/>
                  <w:vAlign w:val="center"/>
                </w:tcPr>
                <w:p w14:paraId="187AA5D5">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0C6C945F">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186E524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43D7DB20">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77D18449">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硒</w:t>
                  </w:r>
                </w:p>
              </w:tc>
              <w:tc>
                <w:tcPr>
                  <w:tcW w:w="821" w:type="pct"/>
                  <w:tcBorders>
                    <w:tl2br w:val="nil"/>
                    <w:tr2bl w:val="nil"/>
                  </w:tcBorders>
                  <w:noWrap w:val="0"/>
                  <w:vAlign w:val="center"/>
                </w:tcPr>
                <w:p w14:paraId="62B8DF3E">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0.0003</w:t>
                  </w:r>
                </w:p>
              </w:tc>
              <w:tc>
                <w:tcPr>
                  <w:tcW w:w="813" w:type="pct"/>
                  <w:tcBorders>
                    <w:tl2br w:val="nil"/>
                    <w:tr2bl w:val="nil"/>
                  </w:tcBorders>
                  <w:noWrap w:val="0"/>
                  <w:vAlign w:val="center"/>
                </w:tcPr>
                <w:p w14:paraId="43CDA4B0">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0.02</w:t>
                  </w:r>
                </w:p>
              </w:tc>
              <w:tc>
                <w:tcPr>
                  <w:tcW w:w="699" w:type="pct"/>
                  <w:tcBorders>
                    <w:tl2br w:val="nil"/>
                    <w:tr2bl w:val="nil"/>
                  </w:tcBorders>
                  <w:noWrap w:val="0"/>
                  <w:vAlign w:val="center"/>
                </w:tcPr>
                <w:p w14:paraId="3BCEE4C0">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4C0E9702">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5D4CBAC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551CFA77">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2093BD19">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汞</w:t>
                  </w:r>
                </w:p>
              </w:tc>
              <w:tc>
                <w:tcPr>
                  <w:tcW w:w="821" w:type="pct"/>
                  <w:tcBorders>
                    <w:tl2br w:val="nil"/>
                    <w:tr2bl w:val="nil"/>
                  </w:tcBorders>
                  <w:noWrap w:val="0"/>
                  <w:vAlign w:val="center"/>
                </w:tcPr>
                <w:p w14:paraId="0D97E8D7">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0.00002</w:t>
                  </w:r>
                </w:p>
              </w:tc>
              <w:tc>
                <w:tcPr>
                  <w:tcW w:w="813" w:type="pct"/>
                  <w:tcBorders>
                    <w:tl2br w:val="nil"/>
                    <w:tr2bl w:val="nil"/>
                  </w:tcBorders>
                  <w:noWrap w:val="0"/>
                  <w:vAlign w:val="center"/>
                </w:tcPr>
                <w:p w14:paraId="580DE05D">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0.001</w:t>
                  </w:r>
                </w:p>
              </w:tc>
              <w:tc>
                <w:tcPr>
                  <w:tcW w:w="699" w:type="pct"/>
                  <w:tcBorders>
                    <w:tl2br w:val="nil"/>
                    <w:tr2bl w:val="nil"/>
                  </w:tcBorders>
                  <w:noWrap w:val="0"/>
                  <w:vAlign w:val="center"/>
                </w:tcPr>
                <w:p w14:paraId="53FDE3D0">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131EDAD6">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5BCC1C5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43B58EF8">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6101DEAB">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砷</w:t>
                  </w:r>
                </w:p>
              </w:tc>
              <w:tc>
                <w:tcPr>
                  <w:tcW w:w="821" w:type="pct"/>
                  <w:tcBorders>
                    <w:tl2br w:val="nil"/>
                    <w:tr2bl w:val="nil"/>
                  </w:tcBorders>
                  <w:noWrap w:val="0"/>
                  <w:vAlign w:val="center"/>
                </w:tcPr>
                <w:p w14:paraId="6B203159">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rPr>
                    <w:t>0.00</w:t>
                  </w:r>
                  <w:r>
                    <w:rPr>
                      <w:rFonts w:hint="eastAsia" w:ascii="Times New Roman" w:hAnsi="Times New Roman" w:cs="Times New Roman"/>
                      <w:szCs w:val="21"/>
                      <w:highlight w:val="none"/>
                      <w:lang w:val="en-US" w:eastAsia="zh-CN"/>
                    </w:rPr>
                    <w:t>1</w:t>
                  </w:r>
                </w:p>
              </w:tc>
              <w:tc>
                <w:tcPr>
                  <w:tcW w:w="813" w:type="pct"/>
                  <w:tcBorders>
                    <w:tl2br w:val="nil"/>
                    <w:tr2bl w:val="nil"/>
                  </w:tcBorders>
                  <w:noWrap w:val="0"/>
                  <w:vAlign w:val="center"/>
                </w:tcPr>
                <w:p w14:paraId="22304D37">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0.05</w:t>
                  </w:r>
                </w:p>
              </w:tc>
              <w:tc>
                <w:tcPr>
                  <w:tcW w:w="699" w:type="pct"/>
                  <w:tcBorders>
                    <w:tl2br w:val="nil"/>
                    <w:tr2bl w:val="nil"/>
                  </w:tcBorders>
                  <w:noWrap w:val="0"/>
                  <w:vAlign w:val="center"/>
                </w:tcPr>
                <w:p w14:paraId="116C1BC4">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34DD337E">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7E3B063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082F1E5C">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191E2D9E">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镉</w:t>
                  </w:r>
                </w:p>
              </w:tc>
              <w:tc>
                <w:tcPr>
                  <w:tcW w:w="821" w:type="pct"/>
                  <w:tcBorders>
                    <w:tl2br w:val="nil"/>
                    <w:tr2bl w:val="nil"/>
                  </w:tcBorders>
                  <w:noWrap w:val="0"/>
                  <w:vAlign w:val="center"/>
                </w:tcPr>
                <w:p w14:paraId="3D0C9DE4">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0.00004</w:t>
                  </w:r>
                </w:p>
              </w:tc>
              <w:tc>
                <w:tcPr>
                  <w:tcW w:w="813" w:type="pct"/>
                  <w:tcBorders>
                    <w:tl2br w:val="nil"/>
                    <w:tr2bl w:val="nil"/>
                  </w:tcBorders>
                  <w:noWrap w:val="0"/>
                  <w:vAlign w:val="center"/>
                </w:tcPr>
                <w:p w14:paraId="23F0D7FF">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0.005</w:t>
                  </w:r>
                </w:p>
              </w:tc>
              <w:tc>
                <w:tcPr>
                  <w:tcW w:w="699" w:type="pct"/>
                  <w:tcBorders>
                    <w:tl2br w:val="nil"/>
                    <w:tr2bl w:val="nil"/>
                  </w:tcBorders>
                  <w:noWrap w:val="0"/>
                  <w:vAlign w:val="center"/>
                </w:tcPr>
                <w:p w14:paraId="3B07540C">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0F571FE9">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4BF582C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7E172C25">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70FC7254">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铅</w:t>
                  </w:r>
                </w:p>
              </w:tc>
              <w:tc>
                <w:tcPr>
                  <w:tcW w:w="821" w:type="pct"/>
                  <w:tcBorders>
                    <w:tl2br w:val="nil"/>
                    <w:tr2bl w:val="nil"/>
                  </w:tcBorders>
                  <w:noWrap w:val="0"/>
                  <w:vAlign w:val="center"/>
                </w:tcPr>
                <w:p w14:paraId="0B03FFB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0.0002</w:t>
                  </w:r>
                </w:p>
              </w:tc>
              <w:tc>
                <w:tcPr>
                  <w:tcW w:w="813" w:type="pct"/>
                  <w:tcBorders>
                    <w:tl2br w:val="nil"/>
                    <w:tr2bl w:val="nil"/>
                  </w:tcBorders>
                  <w:noWrap w:val="0"/>
                  <w:vAlign w:val="center"/>
                </w:tcPr>
                <w:p w14:paraId="214D9594">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0.05</w:t>
                  </w:r>
                </w:p>
              </w:tc>
              <w:tc>
                <w:tcPr>
                  <w:tcW w:w="699" w:type="pct"/>
                  <w:tcBorders>
                    <w:tl2br w:val="nil"/>
                    <w:tr2bl w:val="nil"/>
                  </w:tcBorders>
                  <w:noWrap w:val="0"/>
                  <w:vAlign w:val="center"/>
                </w:tcPr>
                <w:p w14:paraId="47675F16">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5BCB1DF9">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24A0DF6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02134BF5">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r>
                    <w:rPr>
                      <w:rFonts w:hint="eastAsia"/>
                      <w:w w:val="99"/>
                      <w:highlight w:val="none"/>
                    </w:rPr>
                    <w:t>六价铬</w:t>
                  </w:r>
                </w:p>
              </w:tc>
              <w:tc>
                <w:tcPr>
                  <w:tcW w:w="1375" w:type="pct"/>
                  <w:tcBorders>
                    <w:tl2br w:val="nil"/>
                    <w:tr2bl w:val="nil"/>
                  </w:tcBorders>
                  <w:noWrap w:val="0"/>
                  <w:vAlign w:val="center"/>
                </w:tcPr>
                <w:p w14:paraId="6C638E14">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六价铬</w:t>
                  </w:r>
                </w:p>
              </w:tc>
              <w:tc>
                <w:tcPr>
                  <w:tcW w:w="821" w:type="pct"/>
                  <w:tcBorders>
                    <w:tl2br w:val="nil"/>
                    <w:tr2bl w:val="nil"/>
                  </w:tcBorders>
                  <w:noWrap w:val="0"/>
                  <w:vAlign w:val="center"/>
                </w:tcPr>
                <w:p w14:paraId="5E5192D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0.002</w:t>
                  </w:r>
                </w:p>
              </w:tc>
              <w:tc>
                <w:tcPr>
                  <w:tcW w:w="813" w:type="pct"/>
                  <w:tcBorders>
                    <w:tl2br w:val="nil"/>
                    <w:tr2bl w:val="nil"/>
                  </w:tcBorders>
                  <w:noWrap w:val="0"/>
                  <w:vAlign w:val="center"/>
                </w:tcPr>
                <w:p w14:paraId="3F85ADE6">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0.05</w:t>
                  </w:r>
                </w:p>
              </w:tc>
              <w:tc>
                <w:tcPr>
                  <w:tcW w:w="699" w:type="pct"/>
                  <w:tcBorders>
                    <w:tl2br w:val="nil"/>
                    <w:tr2bl w:val="nil"/>
                  </w:tcBorders>
                  <w:noWrap w:val="0"/>
                  <w:vAlign w:val="center"/>
                </w:tcPr>
                <w:p w14:paraId="35F017E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50B1F408">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51CBB46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7E218C5A">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59DD67D7">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氰化物</w:t>
                  </w:r>
                </w:p>
              </w:tc>
              <w:tc>
                <w:tcPr>
                  <w:tcW w:w="821" w:type="pct"/>
                  <w:tcBorders>
                    <w:tl2br w:val="nil"/>
                    <w:tr2bl w:val="nil"/>
                  </w:tcBorders>
                  <w:noWrap w:val="0"/>
                  <w:vAlign w:val="center"/>
                </w:tcPr>
                <w:p w14:paraId="1B57EE2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0.002</w:t>
                  </w:r>
                </w:p>
              </w:tc>
              <w:tc>
                <w:tcPr>
                  <w:tcW w:w="813" w:type="pct"/>
                  <w:tcBorders>
                    <w:tl2br w:val="nil"/>
                    <w:tr2bl w:val="nil"/>
                  </w:tcBorders>
                  <w:noWrap w:val="0"/>
                  <w:vAlign w:val="center"/>
                </w:tcPr>
                <w:p w14:paraId="18B8A749">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0.2</w:t>
                  </w:r>
                </w:p>
              </w:tc>
              <w:tc>
                <w:tcPr>
                  <w:tcW w:w="699" w:type="pct"/>
                  <w:tcBorders>
                    <w:tl2br w:val="nil"/>
                    <w:tr2bl w:val="nil"/>
                  </w:tcBorders>
                  <w:noWrap w:val="0"/>
                  <w:vAlign w:val="center"/>
                </w:tcPr>
                <w:p w14:paraId="5C583B7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1A59EB0B">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71F482D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12336A89">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27CBB1B1">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氟化物</w:t>
                  </w:r>
                </w:p>
              </w:tc>
              <w:tc>
                <w:tcPr>
                  <w:tcW w:w="821" w:type="pct"/>
                  <w:tcBorders>
                    <w:tl2br w:val="nil"/>
                    <w:tr2bl w:val="nil"/>
                  </w:tcBorders>
                  <w:noWrap w:val="0"/>
                  <w:vAlign w:val="center"/>
                </w:tcPr>
                <w:p w14:paraId="02EC8FD8">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0.565</w:t>
                  </w:r>
                </w:p>
              </w:tc>
              <w:tc>
                <w:tcPr>
                  <w:tcW w:w="813" w:type="pct"/>
                  <w:tcBorders>
                    <w:tl2br w:val="nil"/>
                    <w:tr2bl w:val="nil"/>
                  </w:tcBorders>
                  <w:noWrap w:val="0"/>
                  <w:vAlign w:val="center"/>
                </w:tcPr>
                <w:p w14:paraId="19BB35F7">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1.5</w:t>
                  </w:r>
                </w:p>
              </w:tc>
              <w:tc>
                <w:tcPr>
                  <w:tcW w:w="699" w:type="pct"/>
                  <w:tcBorders>
                    <w:tl2br w:val="nil"/>
                    <w:tr2bl w:val="nil"/>
                  </w:tcBorders>
                  <w:noWrap w:val="0"/>
                  <w:vAlign w:val="center"/>
                </w:tcPr>
                <w:p w14:paraId="74625D6B">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5EEBD01E">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4EAD8A9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3B918E78">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2FE3A1BE">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硫化物</w:t>
                  </w:r>
                </w:p>
              </w:tc>
              <w:tc>
                <w:tcPr>
                  <w:tcW w:w="821" w:type="pct"/>
                  <w:tcBorders>
                    <w:tl2br w:val="nil"/>
                    <w:tr2bl w:val="nil"/>
                  </w:tcBorders>
                  <w:noWrap w:val="0"/>
                  <w:vAlign w:val="center"/>
                </w:tcPr>
                <w:p w14:paraId="4837FC8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0.005</w:t>
                  </w:r>
                </w:p>
              </w:tc>
              <w:tc>
                <w:tcPr>
                  <w:tcW w:w="813" w:type="pct"/>
                  <w:tcBorders>
                    <w:tl2br w:val="nil"/>
                    <w:tr2bl w:val="nil"/>
                  </w:tcBorders>
                  <w:noWrap w:val="0"/>
                  <w:vAlign w:val="center"/>
                </w:tcPr>
                <w:p w14:paraId="36C0FEBC">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0.5</w:t>
                  </w:r>
                </w:p>
              </w:tc>
              <w:tc>
                <w:tcPr>
                  <w:tcW w:w="699" w:type="pct"/>
                  <w:tcBorders>
                    <w:tl2br w:val="nil"/>
                    <w:tr2bl w:val="nil"/>
                  </w:tcBorders>
                  <w:noWrap w:val="0"/>
                  <w:vAlign w:val="center"/>
                </w:tcPr>
                <w:p w14:paraId="3C2F9B5D">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6EE04320">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51F6B3F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719B71C8">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581AEB52">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cyan"/>
                    </w:rPr>
                  </w:pPr>
                  <w:r>
                    <w:rPr>
                      <w:rFonts w:hint="eastAsia"/>
                      <w:highlight w:val="none"/>
                    </w:rPr>
                    <w:t>阴离子表面活性剂</w:t>
                  </w:r>
                </w:p>
              </w:tc>
              <w:tc>
                <w:tcPr>
                  <w:tcW w:w="821" w:type="pct"/>
                  <w:tcBorders>
                    <w:tl2br w:val="nil"/>
                    <w:tr2bl w:val="nil"/>
                  </w:tcBorders>
                  <w:noWrap w:val="0"/>
                  <w:vAlign w:val="center"/>
                </w:tcPr>
                <w:p w14:paraId="3ABDBD97">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0.02</w:t>
                  </w:r>
                </w:p>
              </w:tc>
              <w:tc>
                <w:tcPr>
                  <w:tcW w:w="813" w:type="pct"/>
                  <w:tcBorders>
                    <w:tl2br w:val="nil"/>
                    <w:tr2bl w:val="nil"/>
                  </w:tcBorders>
                  <w:noWrap w:val="0"/>
                  <w:vAlign w:val="center"/>
                </w:tcPr>
                <w:p w14:paraId="6B4AAEC0">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0.3</w:t>
                  </w:r>
                </w:p>
              </w:tc>
              <w:tc>
                <w:tcPr>
                  <w:tcW w:w="699" w:type="pct"/>
                  <w:tcBorders>
                    <w:tl2br w:val="nil"/>
                    <w:tr2bl w:val="nil"/>
                  </w:tcBorders>
                  <w:noWrap w:val="0"/>
                  <w:vAlign w:val="center"/>
                </w:tcPr>
                <w:p w14:paraId="24C5C0E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238FE90D">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5A1D41F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6C576628">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6DF1926D">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石油类</w:t>
                  </w:r>
                </w:p>
              </w:tc>
              <w:tc>
                <w:tcPr>
                  <w:tcW w:w="821" w:type="pct"/>
                  <w:tcBorders>
                    <w:tl2br w:val="nil"/>
                    <w:tr2bl w:val="nil"/>
                  </w:tcBorders>
                  <w:noWrap w:val="0"/>
                  <w:vAlign w:val="center"/>
                </w:tcPr>
                <w:p w14:paraId="5FC53BA1">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0.01</w:t>
                  </w:r>
                </w:p>
              </w:tc>
              <w:tc>
                <w:tcPr>
                  <w:tcW w:w="813" w:type="pct"/>
                  <w:tcBorders>
                    <w:tl2br w:val="nil"/>
                    <w:tr2bl w:val="nil"/>
                  </w:tcBorders>
                  <w:noWrap w:val="0"/>
                  <w:vAlign w:val="center"/>
                </w:tcPr>
                <w:p w14:paraId="31995288">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0.5</w:t>
                  </w:r>
                </w:p>
              </w:tc>
              <w:tc>
                <w:tcPr>
                  <w:tcW w:w="699" w:type="pct"/>
                  <w:tcBorders>
                    <w:tl2br w:val="nil"/>
                    <w:tr2bl w:val="nil"/>
                  </w:tcBorders>
                  <w:noWrap w:val="0"/>
                  <w:vAlign w:val="center"/>
                </w:tcPr>
                <w:p w14:paraId="6954BD6F">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64E093C4">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r w14:paraId="3EFCFDA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606" w:type="pct"/>
                  <w:vMerge w:val="continue"/>
                  <w:tcBorders>
                    <w:tl2br w:val="nil"/>
                    <w:tr2bl w:val="nil"/>
                  </w:tcBorders>
                  <w:noWrap w:val="0"/>
                  <w:vAlign w:val="center"/>
                </w:tcPr>
                <w:p w14:paraId="776EC8DA">
                  <w:pPr>
                    <w:pStyle w:val="40"/>
                    <w:keepNext w:val="0"/>
                    <w:keepLines w:val="0"/>
                    <w:pageBreakBefore w:val="0"/>
                    <w:kinsoku/>
                    <w:wordWrap/>
                    <w:overflowPunct/>
                    <w:topLinePunct w:val="0"/>
                    <w:autoSpaceDE/>
                    <w:autoSpaceDN/>
                    <w:bidi w:val="0"/>
                    <w:adjustRightInd/>
                    <w:snapToGrid/>
                    <w:spacing w:line="240" w:lineRule="auto"/>
                    <w:ind w:left="0" w:right="0"/>
                    <w:textAlignment w:val="auto"/>
                    <w:rPr>
                      <w:w w:val="99"/>
                      <w:highlight w:val="none"/>
                    </w:rPr>
                  </w:pPr>
                </w:p>
              </w:tc>
              <w:tc>
                <w:tcPr>
                  <w:tcW w:w="1375" w:type="pct"/>
                  <w:tcBorders>
                    <w:tl2br w:val="nil"/>
                    <w:tr2bl w:val="nil"/>
                  </w:tcBorders>
                  <w:noWrap w:val="0"/>
                  <w:vAlign w:val="center"/>
                </w:tcPr>
                <w:p w14:paraId="6AF4EE8F">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highlight w:val="none"/>
                    </w:rPr>
                  </w:pPr>
                  <w:r>
                    <w:rPr>
                      <w:rFonts w:hint="eastAsia"/>
                      <w:highlight w:val="none"/>
                    </w:rPr>
                    <w:t>挥发酚</w:t>
                  </w:r>
                </w:p>
              </w:tc>
              <w:tc>
                <w:tcPr>
                  <w:tcW w:w="821" w:type="pct"/>
                  <w:tcBorders>
                    <w:tl2br w:val="nil"/>
                    <w:tr2bl w:val="nil"/>
                  </w:tcBorders>
                  <w:noWrap w:val="0"/>
                  <w:vAlign w:val="center"/>
                </w:tcPr>
                <w:p w14:paraId="08DDACD2">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szCs w:val="21"/>
                      <w:highlight w:val="none"/>
                      <w:lang w:val="en-US" w:eastAsia="zh-CN"/>
                    </w:rPr>
                  </w:pPr>
                  <w:r>
                    <w:rPr>
                      <w:rFonts w:hint="eastAsia"/>
                      <w:szCs w:val="21"/>
                      <w:highlight w:val="none"/>
                      <w:lang w:val="en-US" w:eastAsia="zh-CN"/>
                    </w:rPr>
                    <w:t>0.0002</w:t>
                  </w:r>
                </w:p>
              </w:tc>
              <w:tc>
                <w:tcPr>
                  <w:tcW w:w="813" w:type="pct"/>
                  <w:tcBorders>
                    <w:tl2br w:val="nil"/>
                    <w:tr2bl w:val="nil"/>
                  </w:tcBorders>
                  <w:noWrap w:val="0"/>
                  <w:vAlign w:val="center"/>
                </w:tcPr>
                <w:p w14:paraId="1E8A1399">
                  <w:pPr>
                    <w:pStyle w:val="40"/>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szCs w:val="21"/>
                      <w:highlight w:val="none"/>
                    </w:rPr>
                  </w:pPr>
                  <w:r>
                    <w:rPr>
                      <w:rFonts w:hint="eastAsia" w:ascii="Times New Roman" w:hAnsi="Times New Roman" w:cs="Times New Roman"/>
                      <w:szCs w:val="21"/>
                      <w:highlight w:val="none"/>
                    </w:rPr>
                    <w:t>0.01</w:t>
                  </w:r>
                </w:p>
              </w:tc>
              <w:tc>
                <w:tcPr>
                  <w:tcW w:w="699" w:type="pct"/>
                  <w:tcBorders>
                    <w:tl2br w:val="nil"/>
                    <w:tr2bl w:val="nil"/>
                  </w:tcBorders>
                  <w:noWrap w:val="0"/>
                  <w:vAlign w:val="center"/>
                </w:tcPr>
                <w:p w14:paraId="52E10943">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highlight w:val="none"/>
                      <w:lang w:val="en-US" w:eastAsia="zh-CN"/>
                    </w:rPr>
                  </w:pPr>
                  <w:r>
                    <w:rPr>
                      <w:rFonts w:hint="eastAsia" w:ascii="宋体" w:hAnsi="宋体" w:cs="宋体"/>
                      <w:highlight w:val="none"/>
                      <w:lang w:val="en-US" w:eastAsia="zh-CN"/>
                    </w:rPr>
                    <w:t>0</w:t>
                  </w:r>
                </w:p>
              </w:tc>
              <w:tc>
                <w:tcPr>
                  <w:tcW w:w="684" w:type="pct"/>
                  <w:tcBorders>
                    <w:tl2br w:val="nil"/>
                    <w:tr2bl w:val="nil"/>
                  </w:tcBorders>
                  <w:noWrap w:val="0"/>
                  <w:vAlign w:val="center"/>
                </w:tcPr>
                <w:p w14:paraId="3BB95660">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highlight w:val="none"/>
                      <w:lang w:val="en-US" w:eastAsia="zh-CN" w:bidi="ar-SA"/>
                    </w:rPr>
                  </w:pPr>
                  <w:r>
                    <w:rPr>
                      <w:rFonts w:hint="eastAsia" w:ascii="宋体" w:hAnsi="宋体" w:cs="宋体"/>
                      <w:highlight w:val="none"/>
                    </w:rPr>
                    <w:t>达标</w:t>
                  </w:r>
                </w:p>
              </w:tc>
            </w:tr>
          </w:tbl>
          <w:p w14:paraId="62B97A0B">
            <w:pPr>
              <w:pStyle w:val="2"/>
              <w:keepNext/>
              <w:keepLines/>
              <w:pageBreakBefore w:val="0"/>
              <w:widowControl w:val="0"/>
              <w:kinsoku/>
              <w:wordWrap/>
              <w:overflowPunct/>
              <w:topLinePunct w:val="0"/>
              <w:autoSpaceDE/>
              <w:autoSpaceDN/>
              <w:bidi w:val="0"/>
              <w:adjustRightInd/>
              <w:snapToGrid/>
              <w:spacing w:before="0" w:after="0" w:line="500" w:lineRule="exact"/>
              <w:ind w:left="0" w:leftChars="0" w:right="0" w:rightChars="0" w:firstLine="480" w:firstLineChars="200"/>
              <w:textAlignment w:val="auto"/>
              <w:rPr>
                <w:rFonts w:hint="eastAsia" w:ascii="Times New Roman" w:hAnsi="Times New Roman" w:eastAsia="宋体" w:cs="Times New Roman"/>
                <w:b w:val="0"/>
                <w:bCs w:val="0"/>
                <w:color w:val="auto"/>
                <w:sz w:val="24"/>
                <w:szCs w:val="24"/>
                <w:highlight w:val="none"/>
                <w:u w:val="none"/>
                <w:lang w:val="zh-CN" w:eastAsia="zh-CN"/>
              </w:rPr>
            </w:pPr>
            <w:r>
              <w:rPr>
                <w:rFonts w:hint="default" w:ascii="Times New Roman" w:hAnsi="Times New Roman" w:cs="Times New Roman"/>
                <w:b w:val="0"/>
                <w:bCs/>
                <w:color w:val="auto"/>
                <w:sz w:val="24"/>
                <w:szCs w:val="24"/>
                <w:highlight w:val="none"/>
              </w:rPr>
              <w:t>由202</w:t>
            </w:r>
            <w:r>
              <w:rPr>
                <w:rFonts w:hint="eastAsia" w:cs="Times New Roman"/>
                <w:b w:val="0"/>
                <w:bCs/>
                <w:color w:val="auto"/>
                <w:sz w:val="24"/>
                <w:szCs w:val="24"/>
                <w:highlight w:val="none"/>
                <w:lang w:val="en-US" w:eastAsia="zh-CN"/>
              </w:rPr>
              <w:t>3</w:t>
            </w:r>
            <w:r>
              <w:rPr>
                <w:rFonts w:hint="default" w:ascii="Times New Roman" w:hAnsi="Times New Roman" w:cs="Times New Roman"/>
                <w:b w:val="0"/>
                <w:bCs/>
                <w:color w:val="auto"/>
                <w:sz w:val="24"/>
                <w:szCs w:val="24"/>
                <w:highlight w:val="none"/>
              </w:rPr>
              <w:t>年灰河水寨屈庄断面监测统计结果可以看出：监测断面各监测因子均能满足《地表水环境质量标准》（GB3838-2002）IV类标准，地表水环境质量现状较好。</w:t>
            </w:r>
            <w:r>
              <w:rPr>
                <w:rFonts w:hint="default" w:ascii="Times New Roman" w:hAnsi="Times New Roman" w:cs="Times New Roman"/>
                <w:b w:val="0"/>
                <w:bCs/>
                <w:color w:val="auto"/>
                <w:sz w:val="24"/>
                <w:highlight w:val="none"/>
                <w:lang w:eastAsia="zh-CN"/>
              </w:rPr>
              <w:t>同时，</w:t>
            </w:r>
            <w:r>
              <w:rPr>
                <w:rFonts w:hint="default" w:ascii="Times New Roman" w:hAnsi="Times New Roman" w:cs="Times New Roman"/>
                <w:b w:val="0"/>
                <w:bCs/>
                <w:color w:val="auto"/>
                <w:sz w:val="24"/>
                <w:highlight w:val="none"/>
              </w:rPr>
              <w:t>为持续做好水污染防治工作，进一步改善全市水环境质量，根据国家及河南省要求，平顶山市人民政府制定了</w:t>
            </w:r>
            <w:r>
              <w:rPr>
                <w:rFonts w:hint="default" w:ascii="Times New Roman" w:hAnsi="Times New Roman" w:eastAsia="宋体" w:cs="Times New Roman"/>
                <w:b w:val="0"/>
                <w:bCs/>
                <w:color w:val="auto"/>
                <w:sz w:val="24"/>
                <w:szCs w:val="24"/>
                <w:highlight w:val="none"/>
                <w:u w:val="none"/>
                <w:lang w:val="zh-CN" w:eastAsia="zh-CN"/>
              </w:rPr>
              <w:t>《平顶山市</w:t>
            </w:r>
            <w:r>
              <w:rPr>
                <w:rFonts w:hint="default" w:ascii="Times New Roman" w:hAnsi="Times New Roman" w:eastAsia="宋体" w:cs="Times New Roman"/>
                <w:b w:val="0"/>
                <w:bCs/>
                <w:color w:val="auto"/>
                <w:sz w:val="24"/>
                <w:szCs w:val="24"/>
                <w:highlight w:val="none"/>
                <w:u w:val="none"/>
                <w:lang w:val="en-US" w:eastAsia="zh-CN"/>
              </w:rPr>
              <w:t>202</w:t>
            </w:r>
            <w:r>
              <w:rPr>
                <w:rFonts w:hint="eastAsia" w:cs="Times New Roman"/>
                <w:b w:val="0"/>
                <w:bCs/>
                <w:color w:val="auto"/>
                <w:sz w:val="24"/>
                <w:szCs w:val="24"/>
                <w:highlight w:val="none"/>
                <w:u w:val="none"/>
                <w:lang w:val="en-US" w:eastAsia="zh-CN"/>
              </w:rPr>
              <w:t>4</w:t>
            </w:r>
            <w:r>
              <w:rPr>
                <w:rFonts w:hint="default" w:ascii="Times New Roman" w:hAnsi="Times New Roman" w:eastAsia="宋体" w:cs="Times New Roman"/>
                <w:b w:val="0"/>
                <w:bCs/>
                <w:color w:val="auto"/>
                <w:sz w:val="24"/>
                <w:szCs w:val="24"/>
                <w:highlight w:val="none"/>
                <w:u w:val="none"/>
                <w:lang w:val="en-US" w:eastAsia="zh-CN"/>
              </w:rPr>
              <w:t>年碧水保卫战实施方案</w:t>
            </w:r>
            <w:r>
              <w:rPr>
                <w:rFonts w:hint="default" w:ascii="Times New Roman" w:hAnsi="Times New Roman" w:eastAsia="宋体" w:cs="Times New Roman"/>
                <w:b w:val="0"/>
                <w:bCs/>
                <w:color w:val="auto"/>
                <w:sz w:val="24"/>
                <w:szCs w:val="24"/>
                <w:highlight w:val="none"/>
                <w:u w:val="none"/>
                <w:lang w:val="zh-CN" w:eastAsia="zh-CN"/>
              </w:rPr>
              <w:t>》</w:t>
            </w:r>
            <w:r>
              <w:rPr>
                <w:rFonts w:hint="default" w:ascii="Times New Roman" w:hAnsi="Times New Roman" w:cs="Times New Roman"/>
                <w:b w:val="0"/>
                <w:bCs/>
                <w:color w:val="auto"/>
                <w:sz w:val="24"/>
                <w:highlight w:val="none"/>
              </w:rPr>
              <w:t>，</w:t>
            </w:r>
            <w:r>
              <w:rPr>
                <w:rFonts w:hint="eastAsia" w:ascii="Times New Roman" w:hAnsi="Times New Roman" w:eastAsia="宋体" w:cs="Times New Roman"/>
                <w:b w:val="0"/>
                <w:bCs w:val="0"/>
                <w:color w:val="auto"/>
                <w:sz w:val="24"/>
                <w:szCs w:val="24"/>
                <w:highlight w:val="none"/>
                <w:u w:val="none"/>
                <w:lang w:val="zh-CN" w:eastAsia="zh-CN"/>
              </w:rPr>
              <w:t>通过深入打好水源地保护攻坚战役、深入打好黑臭水体治理攻坚战役、深入打好河湖水生态环境治理与修复攻坚战役、统筹做好其它水污染防治攻坚工作，进一步保护好饮用水源。通过</w:t>
            </w:r>
            <w:r>
              <w:rPr>
                <w:rFonts w:hint="eastAsia" w:ascii="Times New Roman" w:hAnsi="Times New Roman" w:eastAsia="宋体" w:cs="Times New Roman"/>
                <w:b w:val="0"/>
                <w:bCs w:val="0"/>
                <w:color w:val="auto"/>
                <w:sz w:val="24"/>
                <w:szCs w:val="24"/>
                <w:highlight w:val="none"/>
                <w:u w:val="none"/>
                <w:lang w:val="en-US" w:eastAsia="zh-CN"/>
              </w:rPr>
              <w:t>攻坚战的实施改善</w:t>
            </w:r>
            <w:r>
              <w:rPr>
                <w:rFonts w:hint="eastAsia" w:ascii="Times New Roman" w:hAnsi="Times New Roman" w:eastAsia="宋体" w:cs="Times New Roman"/>
                <w:b w:val="0"/>
                <w:bCs w:val="0"/>
                <w:color w:val="auto"/>
                <w:sz w:val="24"/>
                <w:szCs w:val="24"/>
                <w:highlight w:val="none"/>
                <w:u w:val="none"/>
                <w:lang w:val="zh-CN" w:eastAsia="zh-CN"/>
              </w:rPr>
              <w:t>当地环境质量，使水环境质量将逐渐转好。</w:t>
            </w:r>
          </w:p>
          <w:p w14:paraId="172516AE">
            <w:pPr>
              <w:pStyle w:val="35"/>
              <w:pageBreakBefore w:val="0"/>
              <w:widowControl w:val="0"/>
              <w:kinsoku/>
              <w:wordWrap/>
              <w:overflowPunct/>
              <w:topLinePunct w:val="0"/>
              <w:autoSpaceDE/>
              <w:autoSpaceDN/>
              <w:bidi w:val="0"/>
              <w:adjustRightInd/>
              <w:spacing w:line="500" w:lineRule="exact"/>
              <w:ind w:left="0" w:leftChars="0" w:right="0" w:rightChars="0"/>
              <w:textAlignment w:val="auto"/>
              <w:rPr>
                <w:rFonts w:hint="default" w:ascii="Times New Roman" w:hAnsi="Times New Roman" w:eastAsia="宋体" w:cs="Times New Roman"/>
                <w:b/>
                <w:kern w:val="0"/>
                <w:highlight w:val="none"/>
                <w:lang w:val="en-US" w:eastAsia="zh-CN"/>
              </w:rPr>
            </w:pPr>
            <w:r>
              <w:rPr>
                <w:rFonts w:hint="default" w:ascii="Times New Roman" w:hAnsi="Times New Roman" w:cs="Times New Roman"/>
                <w:b/>
                <w:kern w:val="0"/>
                <w:highlight w:val="none"/>
                <w:lang w:val="en-US" w:eastAsia="zh-CN"/>
              </w:rPr>
              <w:t>3</w:t>
            </w:r>
            <w:r>
              <w:rPr>
                <w:rFonts w:hint="default" w:ascii="Times New Roman" w:hAnsi="Times New Roman" w:cs="Times New Roman"/>
                <w:b/>
                <w:kern w:val="0"/>
                <w:highlight w:val="none"/>
              </w:rPr>
              <w:t>、声环境</w:t>
            </w:r>
            <w:r>
              <w:rPr>
                <w:rFonts w:hint="default" w:ascii="Times New Roman" w:hAnsi="Times New Roman" w:cs="Times New Roman"/>
                <w:b/>
                <w:kern w:val="0"/>
                <w:highlight w:val="none"/>
                <w:lang w:val="en-US" w:eastAsia="zh-CN"/>
              </w:rPr>
              <w:t>质量现状</w:t>
            </w:r>
          </w:p>
          <w:p w14:paraId="76B4B6BD">
            <w:pPr>
              <w:keepNext w:val="0"/>
              <w:keepLines w:val="0"/>
              <w:pageBreakBefore w:val="0"/>
              <w:widowControl/>
              <w:suppressLineNumbers w:val="0"/>
              <w:kinsoku/>
              <w:wordWrap/>
              <w:overflowPunct/>
              <w:topLinePunct w:val="0"/>
              <w:autoSpaceDE/>
              <w:autoSpaceDN/>
              <w:bidi w:val="0"/>
              <w:adjustRightInd/>
              <w:spacing w:line="500" w:lineRule="exact"/>
              <w:ind w:left="0" w:leftChars="0" w:right="0" w:rightChars="0" w:firstLine="480" w:firstLineChars="200"/>
              <w:jc w:val="left"/>
              <w:textAlignment w:val="auto"/>
              <w:rPr>
                <w:rFonts w:hint="eastAsia" w:ascii="Times New Roman" w:hAnsi="Times New Roman" w:cs="Times New Roman"/>
                <w:color w:val="auto"/>
                <w:sz w:val="24"/>
                <w:highlight w:val="none"/>
                <w:lang w:eastAsia="zh-CN"/>
              </w:rPr>
            </w:pPr>
            <w:r>
              <w:rPr>
                <w:rFonts w:hint="default" w:ascii="Times New Roman" w:hAnsi="Times New Roman" w:eastAsia="宋体" w:cs="Times New Roman"/>
                <w:color w:val="000000"/>
                <w:kern w:val="0"/>
                <w:sz w:val="24"/>
                <w:szCs w:val="24"/>
                <w:highlight w:val="none"/>
                <w:lang w:val="en-US" w:eastAsia="zh-CN" w:bidi="ar"/>
              </w:rPr>
              <w:t>202</w:t>
            </w:r>
            <w:r>
              <w:rPr>
                <w:rFonts w:hint="default" w:ascii="Times New Roman" w:hAnsi="Times New Roman" w:cs="Times New Roman"/>
                <w:color w:val="000000"/>
                <w:kern w:val="0"/>
                <w:sz w:val="24"/>
                <w:szCs w:val="24"/>
                <w:highlight w:val="none"/>
                <w:lang w:val="en-US" w:eastAsia="zh-CN" w:bidi="ar"/>
              </w:rPr>
              <w:t>3</w:t>
            </w:r>
            <w:r>
              <w:rPr>
                <w:rFonts w:hint="default" w:ascii="Times New Roman" w:hAnsi="Times New Roman" w:eastAsia="宋体" w:cs="Times New Roman"/>
                <w:color w:val="000000"/>
                <w:kern w:val="0"/>
                <w:sz w:val="24"/>
                <w:szCs w:val="24"/>
                <w:highlight w:val="none"/>
                <w:lang w:val="en-US" w:eastAsia="zh-CN" w:bidi="ar"/>
              </w:rPr>
              <w:t>年</w:t>
            </w:r>
            <w:r>
              <w:rPr>
                <w:rFonts w:hint="eastAsia" w:cs="Times New Roman"/>
                <w:color w:val="000000"/>
                <w:kern w:val="0"/>
                <w:sz w:val="24"/>
                <w:szCs w:val="24"/>
                <w:highlight w:val="none"/>
                <w:lang w:val="en-US" w:eastAsia="zh-CN" w:bidi="ar"/>
              </w:rPr>
              <w:t>12</w:t>
            </w:r>
            <w:r>
              <w:rPr>
                <w:rFonts w:hint="default" w:ascii="Times New Roman" w:hAnsi="Times New Roman" w:eastAsia="宋体" w:cs="Times New Roman"/>
                <w:color w:val="000000"/>
                <w:kern w:val="0"/>
                <w:sz w:val="24"/>
                <w:szCs w:val="24"/>
                <w:highlight w:val="none"/>
                <w:lang w:val="en-US" w:eastAsia="zh-CN" w:bidi="ar"/>
              </w:rPr>
              <w:t>月</w:t>
            </w:r>
            <w:r>
              <w:rPr>
                <w:rFonts w:hint="eastAsia" w:cs="Times New Roman"/>
                <w:color w:val="000000"/>
                <w:kern w:val="0"/>
                <w:sz w:val="24"/>
                <w:szCs w:val="24"/>
                <w:highlight w:val="none"/>
                <w:lang w:val="en-US" w:eastAsia="zh-CN" w:bidi="ar"/>
              </w:rPr>
              <w:t>23</w:t>
            </w:r>
            <w:r>
              <w:rPr>
                <w:rFonts w:hint="default" w:ascii="Times New Roman" w:hAnsi="Times New Roman" w:eastAsia="宋体" w:cs="Times New Roman"/>
                <w:color w:val="000000"/>
                <w:kern w:val="0"/>
                <w:sz w:val="24"/>
                <w:szCs w:val="24"/>
                <w:highlight w:val="none"/>
                <w:lang w:val="en-US" w:eastAsia="zh-CN" w:bidi="ar"/>
              </w:rPr>
              <w:t>日-</w:t>
            </w:r>
            <w:r>
              <w:rPr>
                <w:rFonts w:hint="eastAsia" w:cs="Times New Roman"/>
                <w:color w:val="000000"/>
                <w:kern w:val="0"/>
                <w:sz w:val="24"/>
                <w:szCs w:val="24"/>
                <w:highlight w:val="none"/>
                <w:lang w:val="en-US" w:eastAsia="zh-CN" w:bidi="ar"/>
              </w:rPr>
              <w:t>12</w:t>
            </w:r>
            <w:r>
              <w:rPr>
                <w:rFonts w:hint="default" w:ascii="Times New Roman" w:hAnsi="Times New Roman" w:eastAsia="宋体" w:cs="Times New Roman"/>
                <w:color w:val="000000"/>
                <w:kern w:val="0"/>
                <w:sz w:val="24"/>
                <w:szCs w:val="24"/>
                <w:highlight w:val="none"/>
                <w:lang w:val="en-US" w:eastAsia="zh-CN" w:bidi="ar"/>
              </w:rPr>
              <w:t>月</w:t>
            </w:r>
            <w:r>
              <w:rPr>
                <w:rFonts w:hint="eastAsia" w:cs="Times New Roman"/>
                <w:color w:val="000000"/>
                <w:kern w:val="0"/>
                <w:sz w:val="24"/>
                <w:szCs w:val="24"/>
                <w:highlight w:val="none"/>
                <w:lang w:val="en-US" w:eastAsia="zh-CN" w:bidi="ar"/>
              </w:rPr>
              <w:t>24</w:t>
            </w:r>
            <w:r>
              <w:rPr>
                <w:rFonts w:hint="default" w:ascii="Times New Roman" w:hAnsi="Times New Roman" w:eastAsia="宋体" w:cs="Times New Roman"/>
                <w:color w:val="000000"/>
                <w:kern w:val="0"/>
                <w:sz w:val="24"/>
                <w:szCs w:val="24"/>
                <w:highlight w:val="none"/>
                <w:lang w:val="en-US" w:eastAsia="zh-CN" w:bidi="ar"/>
              </w:rPr>
              <w:t>日</w:t>
            </w:r>
            <w:r>
              <w:rPr>
                <w:rFonts w:hint="eastAsia" w:cs="Times New Roman"/>
                <w:color w:val="000000"/>
                <w:kern w:val="0"/>
                <w:sz w:val="24"/>
                <w:szCs w:val="24"/>
                <w:highlight w:val="none"/>
                <w:lang w:val="en-US" w:eastAsia="zh-CN" w:bidi="ar"/>
              </w:rPr>
              <w:t>河南昆仲工程有限责任公司</w:t>
            </w:r>
            <w:r>
              <w:rPr>
                <w:rFonts w:hint="eastAsia" w:ascii="宋体" w:hAnsi="宋体" w:cs="宋体"/>
                <w:color w:val="000000"/>
                <w:kern w:val="0"/>
                <w:sz w:val="24"/>
                <w:szCs w:val="24"/>
                <w:highlight w:val="none"/>
                <w:lang w:val="en-US" w:eastAsia="zh-CN" w:bidi="ar"/>
              </w:rPr>
              <w:t>建设单位</w:t>
            </w:r>
            <w:r>
              <w:rPr>
                <w:rFonts w:hint="eastAsia" w:ascii="宋体" w:hAnsi="宋体" w:eastAsia="宋体" w:cs="宋体"/>
                <w:color w:val="000000"/>
                <w:kern w:val="0"/>
                <w:sz w:val="24"/>
                <w:szCs w:val="24"/>
                <w:highlight w:val="none"/>
                <w:lang w:val="en-US" w:eastAsia="zh-CN" w:bidi="ar"/>
              </w:rPr>
              <w:t>委托河南永飞检测科技有限公司对项目四周边界噪声进行了现状监测，</w:t>
            </w:r>
            <w:r>
              <w:rPr>
                <w:rFonts w:hint="eastAsia" w:ascii="宋体" w:hAnsi="宋体" w:cs="宋体"/>
                <w:color w:val="000000"/>
                <w:kern w:val="0"/>
                <w:sz w:val="24"/>
                <w:szCs w:val="24"/>
                <w:highlight w:val="none"/>
                <w:lang w:val="en-US" w:eastAsia="zh-CN" w:bidi="ar"/>
              </w:rPr>
              <w:t>监测结果</w:t>
            </w:r>
            <w:r>
              <w:rPr>
                <w:rFonts w:hint="eastAsia" w:ascii="Times New Roman" w:hAnsi="Times New Roman" w:cs="Times New Roman"/>
                <w:color w:val="auto"/>
                <w:sz w:val="24"/>
                <w:highlight w:val="none"/>
              </w:rPr>
              <w:t>详见下表</w:t>
            </w:r>
            <w:r>
              <w:rPr>
                <w:rFonts w:hint="eastAsia" w:ascii="Times New Roman" w:hAnsi="Times New Roman" w:cs="Times New Roman"/>
                <w:color w:val="auto"/>
                <w:sz w:val="24"/>
                <w:highlight w:val="none"/>
                <w:lang w:eastAsia="zh-CN"/>
              </w:rPr>
              <w:t>。</w:t>
            </w:r>
          </w:p>
          <w:p w14:paraId="3DE13A9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center"/>
              <w:textAlignment w:val="baseline"/>
              <w:rPr>
                <w:rFonts w:ascii="Times New Roman" w:hAnsi="Times New Roman" w:eastAsia="黑体" w:cs="Times New Roman"/>
                <w:color w:val="auto"/>
                <w:sz w:val="24"/>
                <w:highlight w:val="none"/>
              </w:rPr>
            </w:pPr>
            <w:r>
              <w:rPr>
                <w:rFonts w:hint="eastAsia" w:ascii="Times New Roman" w:hAnsi="Times New Roman" w:eastAsia="黑体" w:cs="Times New Roman"/>
                <w:color w:val="auto"/>
                <w:sz w:val="24"/>
                <w:highlight w:val="none"/>
              </w:rPr>
              <w:t>表</w:t>
            </w:r>
            <w:r>
              <w:rPr>
                <w:rFonts w:hint="eastAsia" w:eastAsia="黑体" w:cs="Times New Roman"/>
                <w:color w:val="auto"/>
                <w:sz w:val="24"/>
                <w:highlight w:val="none"/>
                <w:lang w:val="en-US" w:eastAsia="zh-CN"/>
              </w:rPr>
              <w:t xml:space="preserve">3-3 </w:t>
            </w:r>
            <w:r>
              <w:rPr>
                <w:rFonts w:hint="eastAsia" w:ascii="Times New Roman" w:hAnsi="Times New Roman" w:eastAsia="黑体" w:cs="Times New Roman"/>
                <w:color w:val="auto"/>
                <w:sz w:val="24"/>
                <w:highlight w:val="none"/>
              </w:rPr>
              <w:t>声环境质量现状</w:t>
            </w:r>
            <w:r>
              <w:rPr>
                <w:rFonts w:ascii="Times New Roman" w:hAnsi="Times New Roman" w:eastAsia="黑体" w:cs="Times New Roman"/>
                <w:color w:val="auto"/>
                <w:sz w:val="24"/>
                <w:highlight w:val="none"/>
              </w:rPr>
              <w:t>监测结果</w:t>
            </w:r>
          </w:p>
          <w:tbl>
            <w:tblPr>
              <w:tblStyle w:val="23"/>
              <w:tblW w:w="4891"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0"/>
              <w:gridCol w:w="1214"/>
              <w:gridCol w:w="1576"/>
              <w:gridCol w:w="1335"/>
              <w:gridCol w:w="1423"/>
              <w:gridCol w:w="1254"/>
            </w:tblGrid>
            <w:tr w14:paraId="393DFF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7" w:hRule="atLeast"/>
                <w:jc w:val="center"/>
              </w:trPr>
              <w:tc>
                <w:tcPr>
                  <w:tcW w:w="728" w:type="pct"/>
                  <w:vMerge w:val="restart"/>
                  <w:tcBorders>
                    <w:top w:val="single" w:color="auto" w:sz="4" w:space="0"/>
                    <w:left w:val="single" w:color="auto" w:sz="0" w:space="0"/>
                    <w:bottom w:val="single" w:color="auto" w:sz="4" w:space="0"/>
                    <w:right w:val="single" w:color="auto" w:sz="4" w:space="0"/>
                  </w:tcBorders>
                  <w:noWrap w:val="0"/>
                  <w:vAlign w:val="center"/>
                </w:tcPr>
                <w:p w14:paraId="32555F65">
                  <w:pPr>
                    <w:keepNext w:val="0"/>
                    <w:keepLines w:val="0"/>
                    <w:pageBreakBefore w:val="0"/>
                    <w:kinsoku/>
                    <w:wordWrap/>
                    <w:overflowPunct/>
                    <w:topLinePunct w:val="0"/>
                    <w:autoSpaceDE/>
                    <w:autoSpaceDN/>
                    <w:bidi w:val="0"/>
                    <w:adjustRightInd/>
                    <w:spacing w:line="240" w:lineRule="auto"/>
                    <w:ind w:left="0" w:leftChars="0" w:right="0" w:rightChars="0"/>
                    <w:jc w:val="center"/>
                    <w:textAlignment w:val="baseline"/>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检测日期</w:t>
                  </w:r>
                </w:p>
              </w:tc>
              <w:tc>
                <w:tcPr>
                  <w:tcW w:w="762" w:type="pct"/>
                  <w:vMerge w:val="restart"/>
                  <w:tcBorders>
                    <w:top w:val="single" w:color="auto" w:sz="4" w:space="0"/>
                    <w:left w:val="single" w:color="auto" w:sz="4" w:space="0"/>
                    <w:bottom w:val="single" w:color="auto" w:sz="4" w:space="0"/>
                    <w:right w:val="single" w:color="auto" w:sz="4" w:space="0"/>
                  </w:tcBorders>
                  <w:noWrap w:val="0"/>
                  <w:vAlign w:val="center"/>
                </w:tcPr>
                <w:p w14:paraId="352668FF">
                  <w:pPr>
                    <w:keepNext w:val="0"/>
                    <w:keepLines w:val="0"/>
                    <w:pageBreakBefore w:val="0"/>
                    <w:kinsoku/>
                    <w:wordWrap/>
                    <w:overflowPunct/>
                    <w:topLinePunct w:val="0"/>
                    <w:autoSpaceDE/>
                    <w:autoSpaceDN/>
                    <w:bidi w:val="0"/>
                    <w:adjustRightInd/>
                    <w:spacing w:line="240" w:lineRule="auto"/>
                    <w:ind w:left="0" w:leftChars="0" w:right="0" w:rightChars="0"/>
                    <w:jc w:val="center"/>
                    <w:textAlignment w:val="baseline"/>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检测时段</w:t>
                  </w:r>
                </w:p>
              </w:tc>
              <w:tc>
                <w:tcPr>
                  <w:tcW w:w="3509" w:type="pct"/>
                  <w:gridSpan w:val="4"/>
                  <w:tcBorders>
                    <w:top w:val="single" w:color="auto" w:sz="4" w:space="0"/>
                    <w:left w:val="single" w:color="auto" w:sz="4" w:space="0"/>
                    <w:bottom w:val="single" w:color="auto" w:sz="4" w:space="0"/>
                    <w:right w:val="single" w:color="auto" w:sz="4" w:space="0"/>
                  </w:tcBorders>
                  <w:noWrap w:val="0"/>
                  <w:vAlign w:val="center"/>
                </w:tcPr>
                <w:p w14:paraId="780007C9">
                  <w:pPr>
                    <w:keepNext w:val="0"/>
                    <w:keepLines w:val="0"/>
                    <w:pageBreakBefore w:val="0"/>
                    <w:kinsoku/>
                    <w:wordWrap/>
                    <w:overflowPunct/>
                    <w:topLinePunct w:val="0"/>
                    <w:autoSpaceDE/>
                    <w:autoSpaceDN/>
                    <w:bidi w:val="0"/>
                    <w:adjustRightInd/>
                    <w:spacing w:line="240" w:lineRule="auto"/>
                    <w:ind w:left="0" w:leftChars="0" w:right="0" w:rightChars="0"/>
                    <w:jc w:val="center"/>
                    <w:textAlignment w:val="baseline"/>
                    <w:rPr>
                      <w:rFonts w:hint="eastAsia"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检测结果 单位：</w:t>
                  </w:r>
                  <w:r>
                    <w:rPr>
                      <w:rFonts w:ascii="Times New Roman" w:hAnsi="Times New Roman" w:cs="Times New Roman"/>
                      <w:color w:val="auto"/>
                      <w:szCs w:val="21"/>
                      <w:highlight w:val="none"/>
                    </w:rPr>
                    <w:t>[dB(A)]</w:t>
                  </w:r>
                </w:p>
              </w:tc>
            </w:tr>
            <w:tr w14:paraId="697550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28" w:type="pct"/>
                  <w:vMerge w:val="continue"/>
                  <w:tcBorders>
                    <w:top w:val="single" w:color="auto" w:sz="4" w:space="0"/>
                    <w:left w:val="single" w:color="auto" w:sz="4" w:space="0"/>
                    <w:bottom w:val="single" w:color="auto" w:sz="4" w:space="0"/>
                    <w:right w:val="single" w:color="auto" w:sz="4" w:space="0"/>
                  </w:tcBorders>
                  <w:noWrap w:val="0"/>
                  <w:vAlign w:val="center"/>
                </w:tcPr>
                <w:p w14:paraId="79BA9017">
                  <w:pPr>
                    <w:keepNext w:val="0"/>
                    <w:keepLines w:val="0"/>
                    <w:pageBreakBefore w:val="0"/>
                    <w:widowControl/>
                    <w:kinsoku/>
                    <w:wordWrap/>
                    <w:overflowPunct/>
                    <w:topLinePunct w:val="0"/>
                    <w:autoSpaceDE/>
                    <w:autoSpaceDN/>
                    <w:bidi w:val="0"/>
                    <w:adjustRightInd/>
                    <w:spacing w:line="240" w:lineRule="auto"/>
                    <w:ind w:left="0" w:leftChars="0" w:right="0" w:rightChars="0"/>
                    <w:jc w:val="center"/>
                    <w:rPr>
                      <w:rFonts w:ascii="Times New Roman" w:hAnsi="Times New Roman" w:cs="Times New Roman"/>
                      <w:color w:val="auto"/>
                      <w:szCs w:val="21"/>
                      <w:highlight w:val="none"/>
                    </w:rPr>
                  </w:pPr>
                </w:p>
              </w:tc>
              <w:tc>
                <w:tcPr>
                  <w:tcW w:w="762" w:type="pct"/>
                  <w:vMerge w:val="continue"/>
                  <w:tcBorders>
                    <w:top w:val="single" w:color="auto" w:sz="4" w:space="0"/>
                    <w:left w:val="single" w:color="auto" w:sz="4" w:space="0"/>
                    <w:bottom w:val="single" w:color="auto" w:sz="4" w:space="0"/>
                    <w:right w:val="single" w:color="auto" w:sz="4" w:space="0"/>
                  </w:tcBorders>
                  <w:noWrap w:val="0"/>
                  <w:vAlign w:val="center"/>
                </w:tcPr>
                <w:p w14:paraId="388E2D38">
                  <w:pPr>
                    <w:keepNext w:val="0"/>
                    <w:keepLines w:val="0"/>
                    <w:pageBreakBefore w:val="0"/>
                    <w:widowControl/>
                    <w:kinsoku/>
                    <w:wordWrap/>
                    <w:overflowPunct/>
                    <w:topLinePunct w:val="0"/>
                    <w:autoSpaceDE/>
                    <w:autoSpaceDN/>
                    <w:bidi w:val="0"/>
                    <w:adjustRightInd/>
                    <w:spacing w:line="240" w:lineRule="auto"/>
                    <w:ind w:left="0" w:leftChars="0" w:right="0" w:rightChars="0"/>
                    <w:jc w:val="center"/>
                    <w:rPr>
                      <w:rFonts w:ascii="Times New Roman" w:hAnsi="Times New Roman" w:cs="Times New Roman"/>
                      <w:color w:val="auto"/>
                      <w:szCs w:val="21"/>
                      <w:highlight w:val="none"/>
                    </w:rPr>
                  </w:pPr>
                </w:p>
              </w:tc>
              <w:tc>
                <w:tcPr>
                  <w:tcW w:w="989" w:type="pct"/>
                  <w:tcBorders>
                    <w:top w:val="single" w:color="auto" w:sz="4" w:space="0"/>
                    <w:left w:val="single" w:color="auto" w:sz="4" w:space="0"/>
                    <w:bottom w:val="single" w:color="auto" w:sz="4" w:space="0"/>
                    <w:right w:val="single" w:color="auto" w:sz="4" w:space="0"/>
                  </w:tcBorders>
                  <w:noWrap w:val="0"/>
                  <w:vAlign w:val="center"/>
                </w:tcPr>
                <w:p w14:paraId="0675988B">
                  <w:pPr>
                    <w:keepNext w:val="0"/>
                    <w:keepLines w:val="0"/>
                    <w:pageBreakBefore w:val="0"/>
                    <w:kinsoku/>
                    <w:wordWrap/>
                    <w:overflowPunct/>
                    <w:topLinePunct w:val="0"/>
                    <w:autoSpaceDE/>
                    <w:autoSpaceDN/>
                    <w:bidi w:val="0"/>
                    <w:adjustRightInd/>
                    <w:spacing w:line="240" w:lineRule="auto"/>
                    <w:ind w:left="0" w:leftChars="0" w:right="0" w:rightChars="0"/>
                    <w:jc w:val="center"/>
                    <w:textAlignment w:val="baseline"/>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东厂界</w:t>
                  </w:r>
                </w:p>
              </w:tc>
              <w:tc>
                <w:tcPr>
                  <w:tcW w:w="838" w:type="pct"/>
                  <w:tcBorders>
                    <w:top w:val="single" w:color="auto" w:sz="4" w:space="0"/>
                    <w:left w:val="single" w:color="auto" w:sz="4" w:space="0"/>
                    <w:bottom w:val="single" w:color="auto" w:sz="4" w:space="0"/>
                    <w:right w:val="single" w:color="auto" w:sz="4" w:space="0"/>
                  </w:tcBorders>
                  <w:noWrap w:val="0"/>
                  <w:vAlign w:val="center"/>
                </w:tcPr>
                <w:p w14:paraId="0A9BBD6A">
                  <w:pPr>
                    <w:keepNext w:val="0"/>
                    <w:keepLines w:val="0"/>
                    <w:pageBreakBefore w:val="0"/>
                    <w:kinsoku/>
                    <w:wordWrap/>
                    <w:overflowPunct/>
                    <w:topLinePunct w:val="0"/>
                    <w:autoSpaceDE/>
                    <w:autoSpaceDN/>
                    <w:bidi w:val="0"/>
                    <w:adjustRightInd/>
                    <w:spacing w:line="240" w:lineRule="auto"/>
                    <w:ind w:left="0" w:leftChars="0" w:right="0" w:rightChars="0"/>
                    <w:jc w:val="center"/>
                    <w:textAlignment w:val="baseline"/>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南厂界</w:t>
                  </w:r>
                </w:p>
              </w:tc>
              <w:tc>
                <w:tcPr>
                  <w:tcW w:w="893" w:type="pct"/>
                  <w:tcBorders>
                    <w:top w:val="single" w:color="auto" w:sz="4" w:space="0"/>
                    <w:left w:val="single" w:color="auto" w:sz="4" w:space="0"/>
                    <w:bottom w:val="single" w:color="auto" w:sz="4" w:space="0"/>
                    <w:right w:val="single" w:color="auto" w:sz="4" w:space="0"/>
                  </w:tcBorders>
                  <w:noWrap w:val="0"/>
                  <w:vAlign w:val="center"/>
                </w:tcPr>
                <w:p w14:paraId="37CF53D7">
                  <w:pPr>
                    <w:keepNext w:val="0"/>
                    <w:keepLines w:val="0"/>
                    <w:pageBreakBefore w:val="0"/>
                    <w:kinsoku/>
                    <w:wordWrap/>
                    <w:overflowPunct/>
                    <w:topLinePunct w:val="0"/>
                    <w:autoSpaceDE/>
                    <w:autoSpaceDN/>
                    <w:bidi w:val="0"/>
                    <w:adjustRightInd/>
                    <w:spacing w:line="240" w:lineRule="auto"/>
                    <w:ind w:left="0" w:leftChars="0" w:right="0" w:rightChars="0"/>
                    <w:jc w:val="center"/>
                    <w:textAlignment w:val="baseline"/>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西厂界</w:t>
                  </w:r>
                </w:p>
              </w:tc>
              <w:tc>
                <w:tcPr>
                  <w:tcW w:w="787" w:type="pct"/>
                  <w:tcBorders>
                    <w:top w:val="single" w:color="auto" w:sz="4" w:space="0"/>
                    <w:left w:val="single" w:color="auto" w:sz="4" w:space="0"/>
                    <w:bottom w:val="single" w:color="auto" w:sz="4" w:space="0"/>
                    <w:right w:val="single" w:color="auto" w:sz="4" w:space="0"/>
                  </w:tcBorders>
                  <w:noWrap w:val="0"/>
                  <w:vAlign w:val="center"/>
                </w:tcPr>
                <w:p w14:paraId="502D6BF9">
                  <w:pPr>
                    <w:keepNext w:val="0"/>
                    <w:keepLines w:val="0"/>
                    <w:pageBreakBefore w:val="0"/>
                    <w:kinsoku/>
                    <w:wordWrap/>
                    <w:overflowPunct/>
                    <w:topLinePunct w:val="0"/>
                    <w:autoSpaceDE/>
                    <w:autoSpaceDN/>
                    <w:bidi w:val="0"/>
                    <w:adjustRightInd/>
                    <w:spacing w:line="240" w:lineRule="auto"/>
                    <w:ind w:left="0" w:leftChars="0" w:right="0" w:rightChars="0"/>
                    <w:jc w:val="center"/>
                    <w:textAlignment w:val="baseline"/>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北厂界</w:t>
                  </w:r>
                </w:p>
              </w:tc>
            </w:tr>
            <w:tr w14:paraId="7FF3B6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28" w:type="pct"/>
                  <w:vMerge w:val="restart"/>
                  <w:tcBorders>
                    <w:top w:val="single" w:color="auto" w:sz="4" w:space="0"/>
                    <w:left w:val="single" w:color="auto" w:sz="4" w:space="0"/>
                    <w:bottom w:val="single" w:color="auto" w:sz="4" w:space="0"/>
                    <w:right w:val="single" w:color="auto" w:sz="4" w:space="0"/>
                  </w:tcBorders>
                  <w:noWrap w:val="0"/>
                  <w:vAlign w:val="center"/>
                </w:tcPr>
                <w:p w14:paraId="0F55A094">
                  <w:pPr>
                    <w:keepNext w:val="0"/>
                    <w:keepLines w:val="0"/>
                    <w:pageBreakBefore w:val="0"/>
                    <w:kinsoku/>
                    <w:wordWrap/>
                    <w:overflowPunct/>
                    <w:topLinePunct w:val="0"/>
                    <w:autoSpaceDE/>
                    <w:autoSpaceDN/>
                    <w:bidi w:val="0"/>
                    <w:adjustRightInd/>
                    <w:spacing w:line="240" w:lineRule="auto"/>
                    <w:ind w:left="0" w:leftChars="0" w:right="0" w:rightChars="0"/>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2023.</w:t>
                  </w:r>
                </w:p>
                <w:p w14:paraId="2E97B95E">
                  <w:pPr>
                    <w:keepNext w:val="0"/>
                    <w:keepLines w:val="0"/>
                    <w:pageBreakBefore w:val="0"/>
                    <w:kinsoku/>
                    <w:wordWrap/>
                    <w:overflowPunct/>
                    <w:topLinePunct w:val="0"/>
                    <w:autoSpaceDE/>
                    <w:autoSpaceDN/>
                    <w:bidi w:val="0"/>
                    <w:adjustRightInd/>
                    <w:spacing w:line="240" w:lineRule="auto"/>
                    <w:ind w:left="0" w:leftChars="0" w:right="0" w:rightChars="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sz w:val="21"/>
                      <w:szCs w:val="21"/>
                      <w:highlight w:val="none"/>
                      <w:lang w:val="en-US" w:eastAsia="zh-CN"/>
                    </w:rPr>
                    <w:t>12</w:t>
                  </w:r>
                  <w:r>
                    <w:rPr>
                      <w:rFonts w:hint="eastAsia" w:ascii="Times New Roman" w:hAnsi="Times New Roman" w:eastAsia="宋体" w:cs="Times New Roman"/>
                      <w:sz w:val="21"/>
                      <w:szCs w:val="21"/>
                      <w:highlight w:val="none"/>
                      <w:lang w:val="en-US" w:eastAsia="zh-CN"/>
                    </w:rPr>
                    <w:t>.</w:t>
                  </w:r>
                  <w:r>
                    <w:rPr>
                      <w:rFonts w:hint="eastAsia" w:cs="Times New Roman"/>
                      <w:sz w:val="21"/>
                      <w:szCs w:val="21"/>
                      <w:highlight w:val="none"/>
                      <w:lang w:val="en-US" w:eastAsia="zh-CN"/>
                    </w:rPr>
                    <w:t>23</w:t>
                  </w:r>
                </w:p>
              </w:tc>
              <w:tc>
                <w:tcPr>
                  <w:tcW w:w="762" w:type="pct"/>
                  <w:tcBorders>
                    <w:top w:val="single" w:color="auto" w:sz="4" w:space="0"/>
                    <w:left w:val="single" w:color="auto" w:sz="4" w:space="0"/>
                    <w:bottom w:val="single" w:color="auto" w:sz="4" w:space="0"/>
                    <w:right w:val="single" w:color="auto" w:sz="4" w:space="0"/>
                  </w:tcBorders>
                  <w:noWrap w:val="0"/>
                  <w:vAlign w:val="center"/>
                </w:tcPr>
                <w:p w14:paraId="5EAFB5C0">
                  <w:pPr>
                    <w:keepNext w:val="0"/>
                    <w:keepLines w:val="0"/>
                    <w:pageBreakBefore w:val="0"/>
                    <w:widowControl/>
                    <w:kinsoku/>
                    <w:wordWrap/>
                    <w:overflowPunct/>
                    <w:topLinePunct w:val="0"/>
                    <w:autoSpaceDE/>
                    <w:autoSpaceDN/>
                    <w:bidi w:val="0"/>
                    <w:adjustRightInd/>
                    <w:spacing w:line="240" w:lineRule="auto"/>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昼间</w:t>
                  </w:r>
                </w:p>
              </w:tc>
              <w:tc>
                <w:tcPr>
                  <w:tcW w:w="989" w:type="pct"/>
                  <w:tcBorders>
                    <w:top w:val="single" w:color="auto" w:sz="4" w:space="0"/>
                    <w:left w:val="single" w:color="auto" w:sz="4" w:space="0"/>
                    <w:bottom w:val="single" w:color="auto" w:sz="4" w:space="0"/>
                    <w:right w:val="single" w:color="auto" w:sz="4" w:space="0"/>
                  </w:tcBorders>
                  <w:noWrap w:val="0"/>
                  <w:vAlign w:val="center"/>
                </w:tcPr>
                <w:p w14:paraId="520A1B7E">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53</w:t>
                  </w:r>
                </w:p>
              </w:tc>
              <w:tc>
                <w:tcPr>
                  <w:tcW w:w="838" w:type="pct"/>
                  <w:tcBorders>
                    <w:top w:val="single" w:color="auto" w:sz="4" w:space="0"/>
                    <w:left w:val="single" w:color="auto" w:sz="4" w:space="0"/>
                    <w:bottom w:val="single" w:color="auto" w:sz="4" w:space="0"/>
                    <w:right w:val="single" w:color="auto" w:sz="4" w:space="0"/>
                  </w:tcBorders>
                  <w:noWrap w:val="0"/>
                  <w:vAlign w:val="center"/>
                </w:tcPr>
                <w:p w14:paraId="35A27590">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5</w:t>
                  </w:r>
                  <w:r>
                    <w:rPr>
                      <w:rFonts w:hint="eastAsia" w:cs="Times New Roman"/>
                      <w:b w:val="0"/>
                      <w:bCs w:val="0"/>
                      <w:color w:val="auto"/>
                      <w:kern w:val="0"/>
                      <w:sz w:val="21"/>
                      <w:szCs w:val="21"/>
                      <w:highlight w:val="none"/>
                      <w:lang w:val="en-US" w:eastAsia="zh-CN" w:bidi="ar"/>
                    </w:rPr>
                    <w:t>4</w:t>
                  </w:r>
                </w:p>
              </w:tc>
              <w:tc>
                <w:tcPr>
                  <w:tcW w:w="893" w:type="pct"/>
                  <w:tcBorders>
                    <w:top w:val="single" w:color="auto" w:sz="4" w:space="0"/>
                    <w:left w:val="single" w:color="auto" w:sz="4" w:space="0"/>
                    <w:bottom w:val="single" w:color="auto" w:sz="4" w:space="0"/>
                    <w:right w:val="single" w:color="auto" w:sz="4" w:space="0"/>
                  </w:tcBorders>
                  <w:noWrap w:val="0"/>
                  <w:vAlign w:val="center"/>
                </w:tcPr>
                <w:p w14:paraId="7756B6E5">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5</w:t>
                  </w:r>
                  <w:r>
                    <w:rPr>
                      <w:rFonts w:hint="eastAsia" w:cs="Times New Roman"/>
                      <w:b w:val="0"/>
                      <w:bCs w:val="0"/>
                      <w:color w:val="auto"/>
                      <w:kern w:val="0"/>
                      <w:sz w:val="21"/>
                      <w:szCs w:val="21"/>
                      <w:highlight w:val="none"/>
                      <w:lang w:val="en-US" w:eastAsia="zh-CN" w:bidi="ar"/>
                    </w:rPr>
                    <w:t>1</w:t>
                  </w:r>
                </w:p>
              </w:tc>
              <w:tc>
                <w:tcPr>
                  <w:tcW w:w="787" w:type="pct"/>
                  <w:tcBorders>
                    <w:top w:val="single" w:color="auto" w:sz="4" w:space="0"/>
                    <w:left w:val="single" w:color="auto" w:sz="4" w:space="0"/>
                    <w:bottom w:val="single" w:color="auto" w:sz="4" w:space="0"/>
                    <w:right w:val="single" w:color="auto" w:sz="4" w:space="0"/>
                  </w:tcBorders>
                  <w:noWrap w:val="0"/>
                  <w:vAlign w:val="center"/>
                </w:tcPr>
                <w:p w14:paraId="54782D11">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49</w:t>
                  </w:r>
                </w:p>
              </w:tc>
            </w:tr>
            <w:tr w14:paraId="113D87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1" w:hRule="atLeast"/>
                <w:jc w:val="center"/>
              </w:trPr>
              <w:tc>
                <w:tcPr>
                  <w:tcW w:w="728" w:type="pct"/>
                  <w:vMerge w:val="continue"/>
                  <w:tcBorders>
                    <w:top w:val="single" w:color="auto" w:sz="4" w:space="0"/>
                    <w:left w:val="single" w:color="auto" w:sz="4" w:space="0"/>
                    <w:bottom w:val="single" w:color="auto" w:sz="4" w:space="0"/>
                    <w:right w:val="single" w:color="auto" w:sz="4" w:space="0"/>
                  </w:tcBorders>
                  <w:noWrap w:val="0"/>
                  <w:vAlign w:val="center"/>
                </w:tcPr>
                <w:p w14:paraId="21E95358">
                  <w:pPr>
                    <w:pStyle w:val="22"/>
                    <w:keepNext w:val="0"/>
                    <w:keepLines w:val="0"/>
                    <w:pageBreakBefore w:val="0"/>
                    <w:widowControl/>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rPr>
                      <w:rFonts w:ascii="Times New Roman" w:hAnsi="Times New Roman" w:cs="Times New Roman"/>
                      <w:color w:val="auto"/>
                      <w:szCs w:val="21"/>
                      <w:highlight w:val="none"/>
                    </w:rPr>
                  </w:pPr>
                </w:p>
              </w:tc>
              <w:tc>
                <w:tcPr>
                  <w:tcW w:w="762" w:type="pct"/>
                  <w:tcBorders>
                    <w:top w:val="single" w:color="auto" w:sz="4" w:space="0"/>
                    <w:left w:val="single" w:color="auto" w:sz="4" w:space="0"/>
                    <w:bottom w:val="single" w:color="auto" w:sz="4" w:space="0"/>
                    <w:right w:val="single" w:color="auto" w:sz="4" w:space="0"/>
                  </w:tcBorders>
                  <w:noWrap w:val="0"/>
                  <w:vAlign w:val="center"/>
                </w:tcPr>
                <w:p w14:paraId="48A5C6C9">
                  <w:pPr>
                    <w:keepNext w:val="0"/>
                    <w:keepLines w:val="0"/>
                    <w:pageBreakBefore w:val="0"/>
                    <w:widowControl/>
                    <w:kinsoku/>
                    <w:wordWrap/>
                    <w:overflowPunct/>
                    <w:topLinePunct w:val="0"/>
                    <w:autoSpaceDE/>
                    <w:autoSpaceDN/>
                    <w:bidi w:val="0"/>
                    <w:adjustRightInd/>
                    <w:spacing w:line="240" w:lineRule="auto"/>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夜间</w:t>
                  </w:r>
                </w:p>
              </w:tc>
              <w:tc>
                <w:tcPr>
                  <w:tcW w:w="989" w:type="pct"/>
                  <w:tcBorders>
                    <w:top w:val="single" w:color="auto" w:sz="4" w:space="0"/>
                    <w:left w:val="single" w:color="auto" w:sz="4" w:space="0"/>
                    <w:bottom w:val="single" w:color="auto" w:sz="4" w:space="0"/>
                    <w:right w:val="single" w:color="auto" w:sz="4" w:space="0"/>
                  </w:tcBorders>
                  <w:noWrap w:val="0"/>
                  <w:vAlign w:val="center"/>
                </w:tcPr>
                <w:p w14:paraId="24EAA4C1">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42</w:t>
                  </w:r>
                </w:p>
              </w:tc>
              <w:tc>
                <w:tcPr>
                  <w:tcW w:w="838" w:type="pct"/>
                  <w:tcBorders>
                    <w:top w:val="single" w:color="auto" w:sz="4" w:space="0"/>
                    <w:left w:val="single" w:color="auto" w:sz="4" w:space="0"/>
                    <w:bottom w:val="single" w:color="auto" w:sz="4" w:space="0"/>
                    <w:right w:val="single" w:color="auto" w:sz="4" w:space="0"/>
                  </w:tcBorders>
                  <w:noWrap w:val="0"/>
                  <w:vAlign w:val="center"/>
                </w:tcPr>
                <w:p w14:paraId="4C989654">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4</w:t>
                  </w:r>
                  <w:r>
                    <w:rPr>
                      <w:rFonts w:hint="eastAsia" w:cs="Times New Roman"/>
                      <w:b w:val="0"/>
                      <w:bCs w:val="0"/>
                      <w:color w:val="auto"/>
                      <w:kern w:val="0"/>
                      <w:sz w:val="21"/>
                      <w:szCs w:val="21"/>
                      <w:highlight w:val="none"/>
                      <w:lang w:val="en-US" w:eastAsia="zh-CN" w:bidi="ar"/>
                    </w:rPr>
                    <w:t>3</w:t>
                  </w:r>
                </w:p>
              </w:tc>
              <w:tc>
                <w:tcPr>
                  <w:tcW w:w="893" w:type="pct"/>
                  <w:tcBorders>
                    <w:top w:val="single" w:color="auto" w:sz="4" w:space="0"/>
                    <w:left w:val="single" w:color="auto" w:sz="4" w:space="0"/>
                    <w:bottom w:val="single" w:color="auto" w:sz="4" w:space="0"/>
                    <w:right w:val="single" w:color="auto" w:sz="4" w:space="0"/>
                  </w:tcBorders>
                  <w:noWrap w:val="0"/>
                  <w:vAlign w:val="center"/>
                </w:tcPr>
                <w:p w14:paraId="3D99CC2E">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4</w:t>
                  </w:r>
                  <w:r>
                    <w:rPr>
                      <w:rFonts w:hint="eastAsia" w:cs="Times New Roman"/>
                      <w:b w:val="0"/>
                      <w:bCs w:val="0"/>
                      <w:color w:val="auto"/>
                      <w:kern w:val="0"/>
                      <w:sz w:val="21"/>
                      <w:szCs w:val="21"/>
                      <w:highlight w:val="none"/>
                      <w:lang w:val="en-US" w:eastAsia="zh-CN" w:bidi="ar"/>
                    </w:rPr>
                    <w:t>2</w:t>
                  </w:r>
                </w:p>
              </w:tc>
              <w:tc>
                <w:tcPr>
                  <w:tcW w:w="787" w:type="pct"/>
                  <w:tcBorders>
                    <w:top w:val="single" w:color="auto" w:sz="4" w:space="0"/>
                    <w:left w:val="single" w:color="auto" w:sz="4" w:space="0"/>
                    <w:bottom w:val="single" w:color="auto" w:sz="4" w:space="0"/>
                    <w:right w:val="single" w:color="auto" w:sz="4" w:space="0"/>
                  </w:tcBorders>
                  <w:noWrap w:val="0"/>
                  <w:vAlign w:val="center"/>
                </w:tcPr>
                <w:p w14:paraId="72C3AEA5">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4</w:t>
                  </w:r>
                  <w:r>
                    <w:rPr>
                      <w:rFonts w:hint="eastAsia" w:cs="Times New Roman"/>
                      <w:b w:val="0"/>
                      <w:bCs w:val="0"/>
                      <w:color w:val="auto"/>
                      <w:kern w:val="0"/>
                      <w:sz w:val="21"/>
                      <w:szCs w:val="21"/>
                      <w:highlight w:val="none"/>
                      <w:lang w:val="en-US" w:eastAsia="zh-CN" w:bidi="ar"/>
                    </w:rPr>
                    <w:t>0</w:t>
                  </w:r>
                </w:p>
              </w:tc>
            </w:tr>
            <w:tr w14:paraId="43B9FE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9" w:hRule="atLeast"/>
                <w:jc w:val="center"/>
              </w:trPr>
              <w:tc>
                <w:tcPr>
                  <w:tcW w:w="728" w:type="pct"/>
                  <w:vMerge w:val="restart"/>
                  <w:tcBorders>
                    <w:top w:val="single" w:color="auto" w:sz="4" w:space="0"/>
                    <w:left w:val="single" w:color="auto" w:sz="4" w:space="0"/>
                    <w:bottom w:val="single" w:color="auto" w:sz="4" w:space="0"/>
                    <w:right w:val="single" w:color="auto" w:sz="4" w:space="0"/>
                  </w:tcBorders>
                  <w:noWrap w:val="0"/>
                  <w:vAlign w:val="center"/>
                </w:tcPr>
                <w:p w14:paraId="6AAA0CF6">
                  <w:pPr>
                    <w:pStyle w:val="13"/>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2023.</w:t>
                  </w:r>
                </w:p>
                <w:p w14:paraId="2F6E2066">
                  <w:pPr>
                    <w:pStyle w:val="13"/>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sz w:val="21"/>
                      <w:szCs w:val="21"/>
                      <w:highlight w:val="none"/>
                      <w:lang w:val="en-US" w:eastAsia="zh-CN"/>
                    </w:rPr>
                    <w:t>12.24</w:t>
                  </w:r>
                </w:p>
              </w:tc>
              <w:tc>
                <w:tcPr>
                  <w:tcW w:w="762" w:type="pct"/>
                  <w:tcBorders>
                    <w:top w:val="single" w:color="auto" w:sz="4" w:space="0"/>
                    <w:left w:val="single" w:color="auto" w:sz="4" w:space="0"/>
                    <w:bottom w:val="single" w:color="auto" w:sz="4" w:space="0"/>
                    <w:right w:val="single" w:color="auto" w:sz="4" w:space="0"/>
                  </w:tcBorders>
                  <w:noWrap w:val="0"/>
                  <w:vAlign w:val="center"/>
                </w:tcPr>
                <w:p w14:paraId="0134725B">
                  <w:pPr>
                    <w:keepNext w:val="0"/>
                    <w:keepLines w:val="0"/>
                    <w:pageBreakBefore w:val="0"/>
                    <w:widowControl/>
                    <w:kinsoku/>
                    <w:wordWrap/>
                    <w:overflowPunct/>
                    <w:topLinePunct w:val="0"/>
                    <w:autoSpaceDE/>
                    <w:autoSpaceDN/>
                    <w:bidi w:val="0"/>
                    <w:adjustRightInd/>
                    <w:spacing w:line="240" w:lineRule="auto"/>
                    <w:ind w:left="0" w:leftChars="0" w:right="0" w:rightChars="0"/>
                    <w:jc w:val="center"/>
                    <w:textAlignment w:val="center"/>
                    <w:rPr>
                      <w:rFonts w:ascii="Times New Roman" w:hAnsi="Times New Roman" w:cs="Times New Roman"/>
                      <w:color w:val="auto"/>
                      <w:szCs w:val="21"/>
                      <w:highlight w:val="none"/>
                    </w:rPr>
                  </w:pPr>
                  <w:r>
                    <w:rPr>
                      <w:rFonts w:hint="default" w:ascii="Times New Roman" w:hAnsi="Times New Roman" w:eastAsia="宋体" w:cs="Times New Roman"/>
                      <w:color w:val="auto"/>
                      <w:kern w:val="0"/>
                      <w:sz w:val="21"/>
                      <w:szCs w:val="21"/>
                      <w:highlight w:val="none"/>
                      <w:lang w:val="en-US" w:eastAsia="zh-CN" w:bidi="ar"/>
                    </w:rPr>
                    <w:t>昼间</w:t>
                  </w:r>
                </w:p>
              </w:tc>
              <w:tc>
                <w:tcPr>
                  <w:tcW w:w="989" w:type="pct"/>
                  <w:tcBorders>
                    <w:top w:val="single" w:color="auto" w:sz="4" w:space="0"/>
                    <w:left w:val="single" w:color="auto" w:sz="4" w:space="0"/>
                    <w:bottom w:val="single" w:color="auto" w:sz="4" w:space="0"/>
                    <w:right w:val="single" w:color="auto" w:sz="4" w:space="0"/>
                  </w:tcBorders>
                  <w:noWrap w:val="0"/>
                  <w:vAlign w:val="center"/>
                </w:tcPr>
                <w:p w14:paraId="0496D552">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52</w:t>
                  </w:r>
                </w:p>
              </w:tc>
              <w:tc>
                <w:tcPr>
                  <w:tcW w:w="838" w:type="pct"/>
                  <w:tcBorders>
                    <w:top w:val="single" w:color="auto" w:sz="4" w:space="0"/>
                    <w:left w:val="single" w:color="auto" w:sz="4" w:space="0"/>
                    <w:bottom w:val="single" w:color="auto" w:sz="4" w:space="0"/>
                    <w:right w:val="single" w:color="auto" w:sz="4" w:space="0"/>
                  </w:tcBorders>
                  <w:noWrap w:val="0"/>
                  <w:vAlign w:val="center"/>
                </w:tcPr>
                <w:p w14:paraId="19C715AA">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5</w:t>
                  </w:r>
                  <w:r>
                    <w:rPr>
                      <w:rFonts w:hint="eastAsia" w:cs="Times New Roman"/>
                      <w:b w:val="0"/>
                      <w:bCs w:val="0"/>
                      <w:color w:val="auto"/>
                      <w:kern w:val="0"/>
                      <w:sz w:val="21"/>
                      <w:szCs w:val="21"/>
                      <w:highlight w:val="none"/>
                      <w:lang w:val="en-US" w:eastAsia="zh-CN" w:bidi="ar"/>
                    </w:rPr>
                    <w:t>5</w:t>
                  </w:r>
                </w:p>
              </w:tc>
              <w:tc>
                <w:tcPr>
                  <w:tcW w:w="893" w:type="pct"/>
                  <w:tcBorders>
                    <w:top w:val="single" w:color="auto" w:sz="4" w:space="0"/>
                    <w:left w:val="single" w:color="auto" w:sz="4" w:space="0"/>
                    <w:bottom w:val="single" w:color="auto" w:sz="4" w:space="0"/>
                    <w:right w:val="single" w:color="auto" w:sz="4" w:space="0"/>
                  </w:tcBorders>
                  <w:noWrap w:val="0"/>
                  <w:vAlign w:val="center"/>
                </w:tcPr>
                <w:p w14:paraId="507B02F2">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5</w:t>
                  </w:r>
                  <w:r>
                    <w:rPr>
                      <w:rFonts w:hint="eastAsia" w:cs="Times New Roman"/>
                      <w:b w:val="0"/>
                      <w:bCs w:val="0"/>
                      <w:color w:val="auto"/>
                      <w:kern w:val="0"/>
                      <w:sz w:val="21"/>
                      <w:szCs w:val="21"/>
                      <w:highlight w:val="none"/>
                      <w:lang w:val="en-US" w:eastAsia="zh-CN" w:bidi="ar"/>
                    </w:rPr>
                    <w:t>2</w:t>
                  </w:r>
                </w:p>
              </w:tc>
              <w:tc>
                <w:tcPr>
                  <w:tcW w:w="787" w:type="pct"/>
                  <w:tcBorders>
                    <w:top w:val="single" w:color="auto" w:sz="4" w:space="0"/>
                    <w:left w:val="single" w:color="auto" w:sz="4" w:space="0"/>
                    <w:bottom w:val="single" w:color="auto" w:sz="4" w:space="0"/>
                    <w:right w:val="single" w:color="auto" w:sz="4" w:space="0"/>
                  </w:tcBorders>
                  <w:noWrap w:val="0"/>
                  <w:vAlign w:val="center"/>
                </w:tcPr>
                <w:p w14:paraId="671606C8">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51</w:t>
                  </w:r>
                </w:p>
              </w:tc>
            </w:tr>
            <w:tr w14:paraId="3D8F2B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1" w:hRule="atLeast"/>
                <w:jc w:val="center"/>
              </w:trPr>
              <w:tc>
                <w:tcPr>
                  <w:tcW w:w="728" w:type="pct"/>
                  <w:vMerge w:val="continue"/>
                  <w:tcBorders>
                    <w:top w:val="single" w:color="auto" w:sz="4" w:space="0"/>
                    <w:left w:val="single" w:color="auto" w:sz="4" w:space="0"/>
                    <w:bottom w:val="single" w:color="auto" w:sz="4" w:space="0"/>
                    <w:right w:val="single" w:color="auto" w:sz="4" w:space="0"/>
                  </w:tcBorders>
                  <w:noWrap w:val="0"/>
                  <w:vAlign w:val="center"/>
                </w:tcPr>
                <w:p w14:paraId="6846CCA7">
                  <w:pPr>
                    <w:pStyle w:val="22"/>
                    <w:keepNext w:val="0"/>
                    <w:keepLines w:val="0"/>
                    <w:pageBreakBefore w:val="0"/>
                    <w:widowControl/>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rPr>
                      <w:rFonts w:ascii="Times New Roman" w:hAnsi="Times New Roman" w:cs="Times New Roman"/>
                      <w:color w:val="auto"/>
                      <w:szCs w:val="21"/>
                      <w:highlight w:val="none"/>
                    </w:rPr>
                  </w:pPr>
                </w:p>
              </w:tc>
              <w:tc>
                <w:tcPr>
                  <w:tcW w:w="762" w:type="pct"/>
                  <w:tcBorders>
                    <w:top w:val="single" w:color="auto" w:sz="4" w:space="0"/>
                    <w:left w:val="single" w:color="auto" w:sz="4" w:space="0"/>
                    <w:bottom w:val="single" w:color="auto" w:sz="4" w:space="0"/>
                    <w:right w:val="single" w:color="auto" w:sz="4" w:space="0"/>
                  </w:tcBorders>
                  <w:noWrap w:val="0"/>
                  <w:vAlign w:val="center"/>
                </w:tcPr>
                <w:p w14:paraId="44C68E96">
                  <w:pPr>
                    <w:keepNext w:val="0"/>
                    <w:keepLines w:val="0"/>
                    <w:pageBreakBefore w:val="0"/>
                    <w:widowControl/>
                    <w:kinsoku/>
                    <w:wordWrap/>
                    <w:overflowPunct/>
                    <w:topLinePunct w:val="0"/>
                    <w:autoSpaceDE/>
                    <w:autoSpaceDN/>
                    <w:bidi w:val="0"/>
                    <w:adjustRightInd/>
                    <w:spacing w:line="240" w:lineRule="auto"/>
                    <w:ind w:left="0" w:leftChars="0" w:right="0" w:rightChars="0"/>
                    <w:jc w:val="center"/>
                    <w:textAlignment w:val="center"/>
                    <w:rPr>
                      <w:rFonts w:ascii="Times New Roman" w:hAnsi="Times New Roman" w:cs="Times New Roman"/>
                      <w:color w:val="auto"/>
                      <w:szCs w:val="21"/>
                      <w:highlight w:val="none"/>
                    </w:rPr>
                  </w:pPr>
                  <w:r>
                    <w:rPr>
                      <w:rFonts w:hint="eastAsia" w:ascii="Times New Roman" w:hAnsi="Times New Roman" w:eastAsia="宋体" w:cs="Times New Roman"/>
                      <w:color w:val="auto"/>
                      <w:kern w:val="0"/>
                      <w:sz w:val="21"/>
                      <w:szCs w:val="21"/>
                      <w:highlight w:val="none"/>
                      <w:lang w:val="en-US" w:eastAsia="zh-CN" w:bidi="ar"/>
                    </w:rPr>
                    <w:t>夜间</w:t>
                  </w:r>
                </w:p>
              </w:tc>
              <w:tc>
                <w:tcPr>
                  <w:tcW w:w="989" w:type="pct"/>
                  <w:tcBorders>
                    <w:top w:val="single" w:color="auto" w:sz="4" w:space="0"/>
                    <w:left w:val="single" w:color="auto" w:sz="4" w:space="0"/>
                    <w:bottom w:val="single" w:color="auto" w:sz="4" w:space="0"/>
                    <w:right w:val="single" w:color="auto" w:sz="4" w:space="0"/>
                  </w:tcBorders>
                  <w:noWrap w:val="0"/>
                  <w:vAlign w:val="center"/>
                </w:tcPr>
                <w:p w14:paraId="6EB18CA0">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43</w:t>
                  </w:r>
                </w:p>
              </w:tc>
              <w:tc>
                <w:tcPr>
                  <w:tcW w:w="838" w:type="pct"/>
                  <w:tcBorders>
                    <w:top w:val="single" w:color="auto" w:sz="4" w:space="0"/>
                    <w:left w:val="single" w:color="auto" w:sz="4" w:space="0"/>
                    <w:bottom w:val="single" w:color="auto" w:sz="4" w:space="0"/>
                    <w:right w:val="single" w:color="auto" w:sz="4" w:space="0"/>
                  </w:tcBorders>
                  <w:noWrap w:val="0"/>
                  <w:vAlign w:val="center"/>
                </w:tcPr>
                <w:p w14:paraId="330EDE89">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4</w:t>
                  </w:r>
                  <w:r>
                    <w:rPr>
                      <w:rFonts w:hint="eastAsia" w:cs="Times New Roman"/>
                      <w:b w:val="0"/>
                      <w:bCs w:val="0"/>
                      <w:color w:val="auto"/>
                      <w:kern w:val="0"/>
                      <w:sz w:val="21"/>
                      <w:szCs w:val="21"/>
                      <w:highlight w:val="none"/>
                      <w:lang w:val="en-US" w:eastAsia="zh-CN" w:bidi="ar"/>
                    </w:rPr>
                    <w:t>4</w:t>
                  </w:r>
                </w:p>
              </w:tc>
              <w:tc>
                <w:tcPr>
                  <w:tcW w:w="893" w:type="pct"/>
                  <w:tcBorders>
                    <w:top w:val="single" w:color="auto" w:sz="4" w:space="0"/>
                    <w:left w:val="single" w:color="auto" w:sz="4" w:space="0"/>
                    <w:bottom w:val="single" w:color="auto" w:sz="4" w:space="0"/>
                    <w:right w:val="single" w:color="auto" w:sz="4" w:space="0"/>
                  </w:tcBorders>
                  <w:noWrap w:val="0"/>
                  <w:vAlign w:val="center"/>
                </w:tcPr>
                <w:p w14:paraId="46171E6E">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4</w:t>
                  </w:r>
                  <w:r>
                    <w:rPr>
                      <w:rFonts w:hint="eastAsia" w:cs="Times New Roman"/>
                      <w:b w:val="0"/>
                      <w:bCs w:val="0"/>
                      <w:color w:val="auto"/>
                      <w:kern w:val="0"/>
                      <w:sz w:val="21"/>
                      <w:szCs w:val="21"/>
                      <w:highlight w:val="none"/>
                      <w:lang w:val="en-US" w:eastAsia="zh-CN" w:bidi="ar"/>
                    </w:rPr>
                    <w:t>0</w:t>
                  </w:r>
                </w:p>
              </w:tc>
              <w:tc>
                <w:tcPr>
                  <w:tcW w:w="787" w:type="pct"/>
                  <w:tcBorders>
                    <w:top w:val="single" w:color="auto" w:sz="4" w:space="0"/>
                    <w:left w:val="single" w:color="auto" w:sz="4" w:space="0"/>
                    <w:bottom w:val="single" w:color="auto" w:sz="4" w:space="0"/>
                    <w:right w:val="single" w:color="auto" w:sz="4" w:space="0"/>
                  </w:tcBorders>
                  <w:noWrap w:val="0"/>
                  <w:vAlign w:val="center"/>
                </w:tcPr>
                <w:p w14:paraId="3B994EBE">
                  <w:pPr>
                    <w:keepNext w:val="0"/>
                    <w:keepLines w:val="0"/>
                    <w:pageBreakBefore w:val="0"/>
                    <w:kinsoku/>
                    <w:wordWrap/>
                    <w:overflowPunct/>
                    <w:topLinePunct w:val="0"/>
                    <w:autoSpaceDE/>
                    <w:autoSpaceDN/>
                    <w:bidi w:val="0"/>
                    <w:adjustRightInd/>
                    <w:snapToGrid w:val="0"/>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39</w:t>
                  </w:r>
                </w:p>
              </w:tc>
            </w:tr>
          </w:tbl>
          <w:p w14:paraId="7C5695B2">
            <w:pPr>
              <w:keepNext w:val="0"/>
              <w:keepLines w:val="0"/>
              <w:pageBreakBefore w:val="0"/>
              <w:widowControl w:val="0"/>
              <w:kinsoku/>
              <w:wordWrap/>
              <w:overflowPunct/>
              <w:topLinePunct w:val="0"/>
              <w:autoSpaceDE/>
              <w:autoSpaceDN/>
              <w:bidi w:val="0"/>
              <w:adjustRightInd/>
              <w:spacing w:line="500" w:lineRule="exact"/>
              <w:ind w:left="0" w:leftChars="0" w:right="0" w:rightChars="0" w:firstLine="480" w:firstLineChars="200"/>
              <w:textAlignment w:val="auto"/>
              <w:rPr>
                <w:rFonts w:hint="default" w:eastAsia="宋体"/>
                <w:color w:val="000000"/>
                <w:sz w:val="24"/>
                <w:highlight w:val="none"/>
                <w:lang w:val="en-US" w:eastAsia="zh-CN"/>
              </w:rPr>
            </w:pPr>
            <w:r>
              <w:rPr>
                <w:rFonts w:ascii="Times New Roman" w:hAnsi="Times New Roman" w:cs="Times New Roman"/>
                <w:color w:val="auto"/>
                <w:sz w:val="24"/>
                <w:highlight w:val="none"/>
              </w:rPr>
              <w:t>根据上述</w:t>
            </w:r>
            <w:r>
              <w:rPr>
                <w:rFonts w:hint="eastAsia" w:ascii="Times New Roman" w:hAnsi="Times New Roman" w:cs="Times New Roman"/>
                <w:color w:val="auto"/>
                <w:sz w:val="24"/>
                <w:highlight w:val="none"/>
              </w:rPr>
              <w:t>监测</w:t>
            </w:r>
            <w:r>
              <w:rPr>
                <w:rFonts w:ascii="Times New Roman" w:hAnsi="Times New Roman" w:cs="Times New Roman"/>
                <w:color w:val="auto"/>
                <w:sz w:val="24"/>
                <w:highlight w:val="none"/>
              </w:rPr>
              <w:t>结果，本项目</w:t>
            </w:r>
            <w:r>
              <w:rPr>
                <w:rFonts w:hint="eastAsia" w:ascii="Times New Roman" w:hAnsi="Times New Roman" w:cs="Times New Roman"/>
                <w:color w:val="auto"/>
                <w:sz w:val="24"/>
                <w:highlight w:val="none"/>
              </w:rPr>
              <w:t>东、南、</w:t>
            </w:r>
            <w:r>
              <w:rPr>
                <w:rFonts w:hint="eastAsia" w:ascii="Times New Roman" w:hAnsi="Times New Roman" w:cs="Times New Roman"/>
                <w:color w:val="auto"/>
                <w:sz w:val="24"/>
                <w:highlight w:val="none"/>
                <w:lang w:val="en-US" w:eastAsia="zh-CN"/>
              </w:rPr>
              <w:t>西、</w:t>
            </w:r>
            <w:r>
              <w:rPr>
                <w:rFonts w:hint="eastAsia" w:ascii="Times New Roman" w:hAnsi="Times New Roman" w:cs="Times New Roman"/>
                <w:color w:val="auto"/>
                <w:sz w:val="24"/>
                <w:highlight w:val="none"/>
              </w:rPr>
              <w:t>北</w:t>
            </w:r>
            <w:r>
              <w:rPr>
                <w:rFonts w:ascii="Times New Roman" w:hAnsi="Times New Roman" w:cs="Times New Roman"/>
                <w:color w:val="auto"/>
                <w:sz w:val="24"/>
                <w:highlight w:val="none"/>
              </w:rPr>
              <w:t>厂界噪声均</w:t>
            </w:r>
            <w:r>
              <w:rPr>
                <w:rFonts w:hint="eastAsia" w:ascii="Times New Roman" w:hAnsi="Times New Roman" w:cs="Times New Roman"/>
                <w:color w:val="auto"/>
                <w:sz w:val="24"/>
                <w:highlight w:val="none"/>
              </w:rPr>
              <w:t>能</w:t>
            </w:r>
            <w:r>
              <w:rPr>
                <w:rFonts w:ascii="Times New Roman" w:hAnsi="Times New Roman" w:cs="Times New Roman"/>
                <w:color w:val="auto"/>
                <w:sz w:val="24"/>
                <w:highlight w:val="none"/>
              </w:rPr>
              <w:t>满足</w:t>
            </w:r>
            <w:r>
              <w:rPr>
                <w:rFonts w:hint="eastAsia" w:cs="Times New Roman"/>
                <w:color w:val="auto"/>
                <w:sz w:val="24"/>
                <w:highlight w:val="none"/>
                <w:lang w:eastAsia="zh-CN"/>
              </w:rPr>
              <w:t>《声环境质量标准》（GB3096-2008）</w:t>
            </w:r>
            <w:r>
              <w:rPr>
                <w:rFonts w:hint="eastAsia" w:cs="Times New Roman"/>
                <w:color w:val="auto"/>
                <w:sz w:val="24"/>
                <w:highlight w:val="none"/>
                <w:lang w:val="en-US" w:eastAsia="zh-CN"/>
              </w:rPr>
              <w:t>2</w:t>
            </w:r>
            <w:r>
              <w:rPr>
                <w:rFonts w:hint="eastAsia" w:cs="Times New Roman"/>
                <w:color w:val="auto"/>
                <w:sz w:val="24"/>
                <w:highlight w:val="none"/>
                <w:lang w:eastAsia="zh-CN"/>
              </w:rPr>
              <w:t>类</w:t>
            </w:r>
            <w:r>
              <w:rPr>
                <w:rFonts w:hint="eastAsia" w:ascii="Times New Roman" w:hAnsi="Times New Roman" w:cs="Times New Roman"/>
                <w:color w:val="auto"/>
                <w:sz w:val="24"/>
                <w:highlight w:val="none"/>
              </w:rPr>
              <w:t>标准</w:t>
            </w:r>
            <w:r>
              <w:rPr>
                <w:rFonts w:ascii="Times New Roman" w:hAnsi="Times New Roman" w:cs="Times New Roman"/>
                <w:color w:val="auto"/>
                <w:sz w:val="24"/>
                <w:highlight w:val="none"/>
              </w:rPr>
              <w:t>说明评价区域内声环境质量较好</w:t>
            </w:r>
            <w:r>
              <w:rPr>
                <w:rFonts w:hint="eastAsia" w:ascii="Times New Roman" w:hAnsi="Times New Roman" w:cs="Times New Roman"/>
                <w:color w:val="auto"/>
                <w:sz w:val="24"/>
                <w:highlight w:val="none"/>
              </w:rPr>
              <w:t>。</w:t>
            </w:r>
            <w:r>
              <w:rPr>
                <w:rFonts w:hint="eastAsia" w:cs="Times New Roman"/>
                <w:color w:val="auto"/>
                <w:sz w:val="24"/>
                <w:highlight w:val="none"/>
                <w:lang w:val="en-US" w:eastAsia="zh-CN"/>
              </w:rPr>
              <w:t>在施工期内产生的设备安装噪声会随着施工期的结束而消失，营业期内的噪声通过厂房隔声和采用低噪声的生产设备来降低噪声对周围居民的影响。</w:t>
            </w:r>
          </w:p>
          <w:p w14:paraId="40E65732">
            <w:pPr>
              <w:pStyle w:val="35"/>
              <w:pageBreakBefore w:val="0"/>
              <w:widowControl w:val="0"/>
              <w:kinsoku/>
              <w:wordWrap/>
              <w:overflowPunct/>
              <w:topLinePunct w:val="0"/>
              <w:autoSpaceDE/>
              <w:autoSpaceDN/>
              <w:bidi w:val="0"/>
              <w:adjustRightInd/>
              <w:spacing w:line="500" w:lineRule="exact"/>
              <w:ind w:left="0" w:leftChars="0" w:right="0" w:rightChars="0"/>
              <w:textAlignment w:val="auto"/>
              <w:rPr>
                <w:rFonts w:hint="default" w:ascii="Times New Roman" w:hAnsi="Times New Roman" w:eastAsia="宋体" w:cs="Times New Roman"/>
                <w:b/>
                <w:kern w:val="0"/>
                <w:highlight w:val="none"/>
                <w:lang w:val="en-US" w:eastAsia="zh-CN"/>
              </w:rPr>
            </w:pPr>
            <w:r>
              <w:rPr>
                <w:rFonts w:hint="default" w:ascii="Times New Roman" w:hAnsi="Times New Roman" w:eastAsia="宋体" w:cs="Times New Roman"/>
                <w:b/>
                <w:kern w:val="0"/>
                <w:highlight w:val="none"/>
                <w:lang w:val="en-US" w:eastAsia="zh-CN"/>
              </w:rPr>
              <w:t>4、地下水、土壤环境质量现状</w:t>
            </w:r>
          </w:p>
          <w:p w14:paraId="3536893D">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eastAsia="zh-CN"/>
              </w:rPr>
              <w:t>本项目生产废水</w:t>
            </w:r>
            <w:r>
              <w:rPr>
                <w:rFonts w:hint="eastAsia" w:ascii="Times New Roman" w:hAnsi="Times New Roman" w:cs="Times New Roman"/>
                <w:sz w:val="24"/>
                <w:highlight w:val="none"/>
                <w:lang w:val="en-US" w:eastAsia="zh-CN"/>
              </w:rPr>
              <w:t>经过沉淀</w:t>
            </w:r>
            <w:r>
              <w:rPr>
                <w:rFonts w:hint="eastAsia" w:cs="Times New Roman"/>
                <w:sz w:val="24"/>
                <w:highlight w:val="none"/>
                <w:lang w:val="en-US" w:eastAsia="zh-CN"/>
              </w:rPr>
              <w:t>絮凝</w:t>
            </w:r>
            <w:r>
              <w:rPr>
                <w:rFonts w:hint="eastAsia" w:ascii="Times New Roman" w:hAnsi="Times New Roman" w:cs="Times New Roman"/>
                <w:sz w:val="24"/>
                <w:highlight w:val="none"/>
                <w:lang w:val="en-US" w:eastAsia="zh-CN"/>
              </w:rPr>
              <w:t>处理后，循环回用，不外排，</w:t>
            </w:r>
            <w:r>
              <w:rPr>
                <w:rFonts w:hint="default" w:ascii="Times New Roman" w:hAnsi="Times New Roman" w:cs="Times New Roman"/>
                <w:sz w:val="24"/>
                <w:highlight w:val="none"/>
                <w:lang w:eastAsia="zh-CN"/>
              </w:rPr>
              <w:t>生活污水</w:t>
            </w:r>
            <w:r>
              <w:rPr>
                <w:rFonts w:hint="eastAsia" w:ascii="Times New Roman" w:hAnsi="Times New Roman" w:cs="Times New Roman"/>
                <w:sz w:val="24"/>
                <w:highlight w:val="none"/>
                <w:lang w:val="en-US" w:eastAsia="zh-CN"/>
              </w:rPr>
              <w:t>经过化粪池的处理后用于农田施肥，资源化利用，不外排，</w:t>
            </w:r>
            <w:r>
              <w:rPr>
                <w:rFonts w:hint="default" w:ascii="Times New Roman" w:hAnsi="Times New Roman" w:cs="Times New Roman"/>
                <w:sz w:val="24"/>
                <w:highlight w:val="none"/>
                <w:lang w:eastAsia="zh-CN"/>
              </w:rPr>
              <w:t>为防止建设运营后</w:t>
            </w:r>
            <w:r>
              <w:rPr>
                <w:rFonts w:hint="eastAsia" w:ascii="Times New Roman" w:hAnsi="Times New Roman" w:cs="Times New Roman"/>
                <w:sz w:val="24"/>
                <w:highlight w:val="none"/>
                <w:lang w:val="en-US" w:eastAsia="zh-CN"/>
              </w:rPr>
              <w:t>产生的废水和原辅料以及危险废物</w:t>
            </w:r>
            <w:r>
              <w:rPr>
                <w:rFonts w:hint="default" w:ascii="Times New Roman" w:hAnsi="Times New Roman" w:cs="Times New Roman"/>
                <w:sz w:val="24"/>
                <w:highlight w:val="none"/>
                <w:lang w:eastAsia="zh-CN"/>
              </w:rPr>
              <w:t>对地下水</w:t>
            </w:r>
            <w:r>
              <w:rPr>
                <w:rFonts w:hint="eastAsia" w:ascii="Times New Roman" w:hAnsi="Times New Roman" w:cs="Times New Roman"/>
                <w:sz w:val="24"/>
                <w:highlight w:val="none"/>
                <w:lang w:val="en-US" w:eastAsia="zh-CN"/>
              </w:rPr>
              <w:t>和</w:t>
            </w:r>
            <w:r>
              <w:rPr>
                <w:rFonts w:hint="default" w:ascii="Times New Roman" w:hAnsi="Times New Roman" w:cs="Times New Roman"/>
                <w:sz w:val="24"/>
                <w:highlight w:val="none"/>
                <w:lang w:eastAsia="zh-CN"/>
              </w:rPr>
              <w:t>土壤产生影响，厂区采用分区防渗</w:t>
            </w:r>
            <w:r>
              <w:rPr>
                <w:rFonts w:hint="eastAsia" w:ascii="Times New Roman" w:hAnsi="Times New Roman" w:cs="Times New Roman"/>
                <w:sz w:val="24"/>
                <w:highlight w:val="none"/>
                <w:lang w:val="en-US" w:eastAsia="zh-CN"/>
              </w:rPr>
              <w:t>的措施</w:t>
            </w:r>
            <w:r>
              <w:rPr>
                <w:rFonts w:hint="default"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在厂区内润滑油和絮凝剂存放区和危废间</w:t>
            </w:r>
            <w:r>
              <w:rPr>
                <w:rFonts w:hint="default" w:ascii="Times New Roman" w:hAnsi="Times New Roman" w:cs="Times New Roman"/>
                <w:sz w:val="24"/>
                <w:highlight w:val="none"/>
                <w:lang w:val="en-US" w:eastAsia="zh-CN"/>
              </w:rPr>
              <w:t>采用重点防渗</w:t>
            </w:r>
            <w:r>
              <w:rPr>
                <w:rFonts w:hint="eastAsia" w:cs="Times New Roman"/>
                <w:sz w:val="24"/>
                <w:highlight w:val="none"/>
                <w:lang w:val="en-US" w:eastAsia="zh-CN"/>
              </w:rPr>
              <w:t>，</w:t>
            </w:r>
            <w:r>
              <w:rPr>
                <w:rFonts w:hint="eastAsia" w:ascii="Times New Roman" w:hAnsi="Times New Roman" w:cs="Times New Roman"/>
                <w:sz w:val="24"/>
                <w:highlight w:val="none"/>
                <w:lang w:val="en-US" w:eastAsia="zh-CN"/>
              </w:rPr>
              <w:t>污水池和</w:t>
            </w:r>
            <w:r>
              <w:rPr>
                <w:rFonts w:hint="eastAsia" w:cs="Times New Roman"/>
                <w:sz w:val="24"/>
                <w:highlight w:val="none"/>
                <w:lang w:val="en-US" w:eastAsia="zh-CN"/>
              </w:rPr>
              <w:t>清水</w:t>
            </w:r>
            <w:r>
              <w:rPr>
                <w:rFonts w:hint="eastAsia" w:ascii="Times New Roman" w:hAnsi="Times New Roman" w:cs="Times New Roman"/>
                <w:sz w:val="24"/>
                <w:highlight w:val="none"/>
                <w:lang w:val="en-US" w:eastAsia="zh-CN"/>
              </w:rPr>
              <w:t>池和污水管线等区域采用</w:t>
            </w:r>
            <w:r>
              <w:rPr>
                <w:rFonts w:hint="eastAsia" w:cs="Times New Roman"/>
                <w:sz w:val="24"/>
                <w:highlight w:val="none"/>
                <w:lang w:val="en-US" w:eastAsia="zh-CN"/>
              </w:rPr>
              <w:t>一般</w:t>
            </w:r>
            <w:r>
              <w:rPr>
                <w:rFonts w:hint="eastAsia" w:ascii="Times New Roman" w:hAnsi="Times New Roman" w:cs="Times New Roman"/>
                <w:sz w:val="24"/>
                <w:highlight w:val="none"/>
                <w:lang w:val="en-US" w:eastAsia="zh-CN"/>
              </w:rPr>
              <w:t>防渗，厂房其他区域采用简单防渗地面硬化方式，</w:t>
            </w:r>
            <w:r>
              <w:rPr>
                <w:rFonts w:hint="default" w:ascii="Times New Roman" w:hAnsi="Times New Roman" w:cs="Times New Roman"/>
                <w:sz w:val="24"/>
                <w:highlight w:val="none"/>
                <w:lang w:val="en-US" w:eastAsia="zh-CN"/>
              </w:rPr>
              <w:t>通过采取以上措施后，项目的建设可有效避免对地下水、土壤产生影响，因此，本次评价不开展地下水、土壤环境质量现状调查。</w:t>
            </w:r>
          </w:p>
          <w:p w14:paraId="5713C49C">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000000"/>
                <w:sz w:val="24"/>
                <w:szCs w:val="20"/>
                <w:highlight w:val="none"/>
                <w:lang w:val="en-US" w:eastAsia="zh-CN"/>
              </w:rPr>
            </w:pPr>
            <w:r>
              <w:rPr>
                <w:rFonts w:hint="eastAsia" w:ascii="Times New Roman" w:hAnsi="Times New Roman" w:cs="Times New Roman"/>
                <w:b/>
                <w:bCs/>
                <w:color w:val="000000"/>
                <w:sz w:val="24"/>
                <w:szCs w:val="20"/>
                <w:highlight w:val="none"/>
                <w:lang w:val="en-US" w:eastAsia="zh-CN"/>
              </w:rPr>
              <w:t>5</w:t>
            </w:r>
            <w:r>
              <w:rPr>
                <w:rFonts w:hint="default" w:ascii="Times New Roman" w:hAnsi="Times New Roman" w:eastAsia="宋体" w:cs="Times New Roman"/>
                <w:b/>
                <w:bCs/>
                <w:color w:val="000000"/>
                <w:sz w:val="24"/>
                <w:szCs w:val="20"/>
                <w:highlight w:val="none"/>
                <w:lang w:val="en-US" w:eastAsia="zh-CN"/>
              </w:rPr>
              <w:t>、</w:t>
            </w:r>
            <w:r>
              <w:rPr>
                <w:rFonts w:hint="default" w:ascii="Times New Roman" w:hAnsi="Times New Roman" w:eastAsia="宋体" w:cs="Times New Roman"/>
                <w:b/>
                <w:bCs/>
                <w:color w:val="000000"/>
                <w:sz w:val="24"/>
                <w:szCs w:val="20"/>
                <w:highlight w:val="none"/>
              </w:rPr>
              <w:t>生态环境</w:t>
            </w:r>
          </w:p>
          <w:p w14:paraId="2B05B5D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ascii="黑体" w:hAnsi="黑体" w:eastAsia="黑体"/>
                <w:b/>
                <w:sz w:val="24"/>
                <w:highlight w:val="none"/>
                <w:u w:val="single"/>
              </w:rPr>
            </w:pPr>
            <w:r>
              <w:rPr>
                <w:rFonts w:hint="default" w:ascii="Times New Roman" w:hAnsi="Times New Roman"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项目位于</w:t>
            </w:r>
            <w:r>
              <w:rPr>
                <w:rFonts w:hint="default" w:ascii="Times New Roman" w:hAnsi="Times New Roman" w:cs="Times New Roman"/>
                <w:color w:val="auto"/>
                <w:sz w:val="24"/>
                <w:highlight w:val="none"/>
                <w:lang w:val="en-US" w:eastAsia="zh-CN"/>
              </w:rPr>
              <w:t>河南省平顶山市叶县廉村镇湾张村东南地叶廉路北侧，</w:t>
            </w:r>
            <w:r>
              <w:rPr>
                <w:rFonts w:hint="default" w:ascii="Times New Roman" w:hAnsi="Times New Roman" w:eastAsia="宋体" w:cs="Times New Roman"/>
                <w:color w:val="auto"/>
                <w:sz w:val="24"/>
                <w:highlight w:val="none"/>
              </w:rPr>
              <w:t>人类活动较为频繁，</w:t>
            </w:r>
            <w:r>
              <w:rPr>
                <w:rFonts w:hint="default" w:ascii="Times New Roman" w:hAnsi="Times New Roman" w:eastAsia="宋体" w:cs="Times New Roman"/>
                <w:snapToGrid w:val="0"/>
                <w:color w:val="auto"/>
                <w:kern w:val="0"/>
                <w:sz w:val="24"/>
                <w:highlight w:val="none"/>
                <w:lang w:eastAsia="zh-CN"/>
              </w:rPr>
              <w:t>厂址周边</w:t>
            </w:r>
            <w:r>
              <w:rPr>
                <w:rFonts w:hint="default" w:ascii="Times New Roman" w:hAnsi="Times New Roman" w:eastAsia="宋体" w:cs="Times New Roman"/>
                <w:snapToGrid w:val="0"/>
                <w:color w:val="auto"/>
                <w:kern w:val="0"/>
                <w:sz w:val="24"/>
                <w:highlight w:val="none"/>
                <w:lang w:val="en-US" w:eastAsia="zh-CN"/>
              </w:rPr>
              <w:t>500m范围内</w:t>
            </w:r>
            <w:r>
              <w:rPr>
                <w:rFonts w:hint="default" w:ascii="Times New Roman" w:hAnsi="Times New Roman" w:eastAsia="宋体" w:cs="Times New Roman"/>
                <w:snapToGrid w:val="0"/>
                <w:color w:val="auto"/>
                <w:kern w:val="0"/>
                <w:sz w:val="24"/>
                <w:highlight w:val="none"/>
                <w:lang w:eastAsia="zh-CN"/>
              </w:rPr>
              <w:t>敏感点</w:t>
            </w:r>
            <w:r>
              <w:rPr>
                <w:rFonts w:hint="default" w:ascii="Times New Roman" w:hAnsi="Times New Roman" w:cs="Times New Roman"/>
                <w:b w:val="0"/>
                <w:bCs w:val="0"/>
                <w:color w:val="auto"/>
                <w:sz w:val="24"/>
                <w:szCs w:val="24"/>
                <w:highlight w:val="none"/>
                <w:u w:val="none"/>
                <w:lang w:val="en-US" w:eastAsia="zh-CN"/>
              </w:rPr>
              <w:t>主要为</w:t>
            </w:r>
            <w:r>
              <w:rPr>
                <w:rFonts w:hint="default" w:ascii="Times New Roman" w:hAnsi="Times New Roman" w:cs="Times New Roman"/>
                <w:color w:val="auto"/>
                <w:kern w:val="2"/>
                <w:sz w:val="24"/>
                <w:szCs w:val="24"/>
                <w:highlight w:val="none"/>
                <w:u w:val="none"/>
                <w:lang w:val="en-US" w:eastAsia="zh-CN" w:bidi="ar-SA"/>
              </w:rPr>
              <w:t>西侧直线距离275m处的湾张村、东侧直线距离490m处的沙渡口村</w:t>
            </w:r>
            <w:r>
              <w:rPr>
                <w:rFonts w:hint="eastAsia" w:cs="Times New Roman"/>
                <w:color w:val="auto"/>
                <w:kern w:val="2"/>
                <w:sz w:val="24"/>
                <w:szCs w:val="24"/>
                <w:highlight w:val="none"/>
                <w:u w:val="none"/>
                <w:lang w:val="en-US" w:eastAsia="zh-CN" w:bidi="ar-SA"/>
              </w:rPr>
              <w:t>、</w:t>
            </w:r>
            <w:r>
              <w:rPr>
                <w:rFonts w:hint="default" w:ascii="Times New Roman" w:hAnsi="Times New Roman" w:cs="Times New Roman"/>
                <w:color w:val="auto"/>
                <w:kern w:val="2"/>
                <w:sz w:val="24"/>
                <w:szCs w:val="24"/>
                <w:highlight w:val="none"/>
                <w:u w:val="none"/>
                <w:lang w:val="en-US" w:eastAsia="zh-CN" w:bidi="ar-SA"/>
              </w:rPr>
              <w:t>385m处黄营村</w:t>
            </w:r>
            <w:r>
              <w:rPr>
                <w:rFonts w:hint="eastAsia" w:cs="Times New Roman"/>
                <w:color w:val="auto"/>
                <w:kern w:val="2"/>
                <w:sz w:val="24"/>
                <w:szCs w:val="24"/>
                <w:highlight w:val="none"/>
                <w:u w:val="none"/>
                <w:lang w:val="en-US" w:eastAsia="zh-CN" w:bidi="ar-SA"/>
              </w:rPr>
              <w:t>和55m处的个别散户住户</w:t>
            </w:r>
            <w:r>
              <w:rPr>
                <w:rFonts w:hint="default" w:ascii="Times New Roman" w:hAnsi="Times New Roman" w:cs="Times New Roman"/>
                <w:color w:val="auto"/>
                <w:kern w:val="2"/>
                <w:sz w:val="24"/>
                <w:szCs w:val="24"/>
                <w:highlight w:val="none"/>
                <w:u w:val="none"/>
                <w:lang w:val="en-US" w:eastAsia="zh-CN" w:bidi="ar-SA"/>
              </w:rPr>
              <w:t>，</w:t>
            </w:r>
            <w:r>
              <w:rPr>
                <w:rFonts w:hint="default" w:ascii="Times New Roman" w:hAnsi="Times New Roman" w:eastAsia="宋体" w:cs="Times New Roman"/>
                <w:color w:val="auto"/>
                <w:sz w:val="24"/>
                <w:highlight w:val="none"/>
              </w:rPr>
              <w:t>周围500m范围内无野生植被、大型野生动物及受国家保护的动植物种类</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szCs w:val="22"/>
                <w:highlight w:val="none"/>
              </w:rPr>
              <w:t>厂区周边500m范围内无自然保护区、风景名</w:t>
            </w:r>
            <w:r>
              <w:rPr>
                <w:rFonts w:hint="default" w:ascii="Times New Roman" w:hAnsi="Times New Roman" w:cs="Times New Roman"/>
                <w:color w:val="auto"/>
                <w:sz w:val="24"/>
                <w:szCs w:val="22"/>
                <w:highlight w:val="none"/>
              </w:rPr>
              <w:t>胜区，无地下水集中式饮用水水源、热水、矿泉水、温泉等特殊地下水资源。</w:t>
            </w:r>
          </w:p>
        </w:tc>
      </w:tr>
      <w:tr w14:paraId="7BA5AE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35" w:hRule="atLeast"/>
          <w:jc w:val="center"/>
        </w:trPr>
        <w:tc>
          <w:tcPr>
            <w:tcW w:w="637" w:type="dxa"/>
            <w:noWrap w:val="0"/>
            <w:vAlign w:val="center"/>
          </w:tcPr>
          <w:p w14:paraId="7F90DEEB">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环境</w:t>
            </w:r>
          </w:p>
          <w:p w14:paraId="5D7701F3">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保护</w:t>
            </w:r>
          </w:p>
          <w:p w14:paraId="5271E903">
            <w:pPr>
              <w:adjustRightInd w:val="0"/>
              <w:snapToGrid w:val="0"/>
              <w:jc w:val="center"/>
              <w:rPr>
                <w:rFonts w:hint="eastAsia" w:ascii="宋体" w:hAnsi="宋体" w:cs="宋体"/>
                <w:b/>
                <w:kern w:val="0"/>
                <w:highlight w:val="none"/>
              </w:rPr>
            </w:pPr>
            <w:r>
              <w:rPr>
                <w:rFonts w:hint="eastAsia" w:ascii="宋体" w:hAnsi="宋体" w:cs="宋体"/>
                <w:b/>
                <w:kern w:val="0"/>
                <w:sz w:val="24"/>
                <w:highlight w:val="none"/>
              </w:rPr>
              <w:t>目标</w:t>
            </w:r>
          </w:p>
        </w:tc>
        <w:tc>
          <w:tcPr>
            <w:tcW w:w="8353" w:type="dxa"/>
            <w:noWrap w:val="0"/>
            <w:vAlign w:val="center"/>
          </w:tcPr>
          <w:p w14:paraId="794B0FFB">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hAnsi="宋体"/>
                <w:color w:val="auto"/>
                <w:sz w:val="24"/>
                <w:highlight w:val="none"/>
              </w:rPr>
            </w:pPr>
            <w:r>
              <w:rPr>
                <w:rFonts w:hAnsi="宋体"/>
                <w:color w:val="auto"/>
                <w:sz w:val="24"/>
                <w:highlight w:val="none"/>
              </w:rPr>
              <w:t>本项目周围环境保护目标及其距离见</w:t>
            </w:r>
            <w:r>
              <w:rPr>
                <w:rFonts w:hint="eastAsia" w:hAnsi="宋体"/>
                <w:color w:val="auto"/>
                <w:sz w:val="24"/>
                <w:highlight w:val="none"/>
              </w:rPr>
              <w:t>下</w:t>
            </w:r>
            <w:r>
              <w:rPr>
                <w:rFonts w:hAnsi="宋体"/>
                <w:color w:val="auto"/>
                <w:sz w:val="24"/>
                <w:highlight w:val="none"/>
              </w:rPr>
              <w:t>表。</w:t>
            </w:r>
          </w:p>
          <w:p w14:paraId="607195C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黑体" w:eastAsia="黑体" w:cs="Times New Roman"/>
                <w:color w:val="auto"/>
                <w:kern w:val="2"/>
                <w:sz w:val="24"/>
                <w:highlight w:val="none"/>
                <w:lang w:val="en-US" w:eastAsia="zh-CN" w:bidi="ar-SA"/>
              </w:rPr>
            </w:pPr>
            <w:r>
              <w:rPr>
                <w:rFonts w:hint="eastAsia" w:ascii="Times New Roman" w:hAnsi="黑体" w:eastAsia="黑体" w:cs="Times New Roman"/>
                <w:color w:val="auto"/>
                <w:kern w:val="2"/>
                <w:sz w:val="24"/>
                <w:highlight w:val="none"/>
                <w:lang w:val="en-US" w:eastAsia="zh-CN" w:bidi="ar-SA"/>
              </w:rPr>
              <w:t>表</w:t>
            </w:r>
            <w:r>
              <w:rPr>
                <w:rFonts w:hint="eastAsia" w:hAnsi="黑体" w:eastAsia="黑体" w:cs="Times New Roman"/>
                <w:color w:val="auto"/>
                <w:kern w:val="2"/>
                <w:sz w:val="24"/>
                <w:highlight w:val="none"/>
                <w:lang w:val="en-US" w:eastAsia="zh-CN" w:bidi="ar-SA"/>
              </w:rPr>
              <w:t>3-4</w:t>
            </w:r>
            <w:r>
              <w:rPr>
                <w:rFonts w:hint="eastAsia" w:ascii="Times New Roman" w:hAnsi="黑体" w:eastAsia="黑体" w:cs="Times New Roman"/>
                <w:color w:val="auto"/>
                <w:kern w:val="2"/>
                <w:sz w:val="24"/>
                <w:highlight w:val="none"/>
                <w:lang w:val="en-US" w:eastAsia="zh-CN" w:bidi="ar-SA"/>
              </w:rPr>
              <w:t xml:space="preserve"> </w:t>
            </w:r>
            <w:r>
              <w:rPr>
                <w:rFonts w:hint="eastAsia" w:hAnsi="黑体" w:eastAsia="黑体" w:cs="Times New Roman"/>
                <w:color w:val="auto"/>
                <w:kern w:val="2"/>
                <w:sz w:val="24"/>
                <w:highlight w:val="none"/>
                <w:lang w:val="en-US" w:eastAsia="zh-CN" w:bidi="ar-SA"/>
              </w:rPr>
              <w:t>本项目</w:t>
            </w:r>
            <w:r>
              <w:rPr>
                <w:rFonts w:hint="eastAsia" w:ascii="Times New Roman" w:hAnsi="黑体" w:eastAsia="黑体" w:cs="Times New Roman"/>
                <w:color w:val="auto"/>
                <w:kern w:val="2"/>
                <w:sz w:val="24"/>
                <w:highlight w:val="none"/>
                <w:lang w:val="en-US" w:eastAsia="zh-CN" w:bidi="ar-SA"/>
              </w:rPr>
              <w:t>主要环境保护目标</w:t>
            </w:r>
          </w:p>
          <w:tbl>
            <w:tblPr>
              <w:tblStyle w:val="23"/>
              <w:tblW w:w="815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133"/>
              <w:gridCol w:w="870"/>
              <w:gridCol w:w="881"/>
              <w:gridCol w:w="535"/>
              <w:gridCol w:w="824"/>
              <w:gridCol w:w="959"/>
              <w:gridCol w:w="2076"/>
            </w:tblGrid>
            <w:tr w14:paraId="2D396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872" w:type="dxa"/>
                  <w:vMerge w:val="restart"/>
                  <w:tcBorders>
                    <w:tl2br w:val="nil"/>
                    <w:tr2bl w:val="nil"/>
                  </w:tcBorders>
                  <w:noWrap w:val="0"/>
                  <w:vAlign w:val="center"/>
                </w:tcPr>
                <w:p w14:paraId="00F3B9D7">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b/>
                      <w:bCs/>
                      <w:color w:val="auto"/>
                      <w:szCs w:val="21"/>
                      <w:highlight w:val="none"/>
                    </w:rPr>
                  </w:pPr>
                  <w:r>
                    <w:rPr>
                      <w:b/>
                      <w:bCs/>
                      <w:color w:val="auto"/>
                      <w:szCs w:val="21"/>
                      <w:highlight w:val="none"/>
                    </w:rPr>
                    <w:t>环境</w:t>
                  </w:r>
                </w:p>
                <w:p w14:paraId="5C67C28A">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eastAsia" w:eastAsia="宋体"/>
                      <w:b/>
                      <w:bCs/>
                      <w:color w:val="auto"/>
                      <w:szCs w:val="21"/>
                      <w:highlight w:val="none"/>
                      <w:lang w:eastAsia="zh-CN"/>
                    </w:rPr>
                  </w:pPr>
                  <w:r>
                    <w:rPr>
                      <w:rFonts w:hint="eastAsia"/>
                      <w:b/>
                      <w:bCs/>
                      <w:color w:val="auto"/>
                      <w:szCs w:val="21"/>
                      <w:highlight w:val="none"/>
                      <w:lang w:eastAsia="zh-CN"/>
                    </w:rPr>
                    <w:t>要素</w:t>
                  </w:r>
                </w:p>
              </w:tc>
              <w:tc>
                <w:tcPr>
                  <w:tcW w:w="1133" w:type="dxa"/>
                  <w:vMerge w:val="restart"/>
                  <w:tcBorders>
                    <w:tl2br w:val="nil"/>
                    <w:tr2bl w:val="nil"/>
                  </w:tcBorders>
                  <w:noWrap w:val="0"/>
                  <w:vAlign w:val="center"/>
                </w:tcPr>
                <w:p w14:paraId="311491BC">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b/>
                      <w:bCs/>
                      <w:color w:val="auto"/>
                      <w:szCs w:val="21"/>
                      <w:highlight w:val="none"/>
                    </w:rPr>
                  </w:pPr>
                  <w:r>
                    <w:rPr>
                      <w:b/>
                      <w:bCs/>
                      <w:color w:val="auto"/>
                      <w:szCs w:val="21"/>
                      <w:highlight w:val="none"/>
                    </w:rPr>
                    <w:t>环境保护</w:t>
                  </w:r>
                </w:p>
                <w:p w14:paraId="73DA465B">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b/>
                      <w:bCs/>
                      <w:color w:val="auto"/>
                      <w:szCs w:val="21"/>
                      <w:highlight w:val="none"/>
                    </w:rPr>
                  </w:pPr>
                  <w:r>
                    <w:rPr>
                      <w:b/>
                      <w:bCs/>
                      <w:color w:val="auto"/>
                      <w:szCs w:val="21"/>
                      <w:highlight w:val="none"/>
                    </w:rPr>
                    <w:t>对象名称</w:t>
                  </w:r>
                </w:p>
              </w:tc>
              <w:tc>
                <w:tcPr>
                  <w:tcW w:w="1751" w:type="dxa"/>
                  <w:gridSpan w:val="2"/>
                  <w:tcBorders>
                    <w:tl2br w:val="nil"/>
                    <w:tr2bl w:val="nil"/>
                  </w:tcBorders>
                  <w:noWrap w:val="0"/>
                  <w:vAlign w:val="center"/>
                </w:tcPr>
                <w:p w14:paraId="3AF537F2">
                  <w:pPr>
                    <w:keepNext w:val="0"/>
                    <w:keepLines w:val="0"/>
                    <w:pageBreakBefore w:val="0"/>
                    <w:widowControl w:val="0"/>
                    <w:kinsoku/>
                    <w:overflowPunct/>
                    <w:topLinePunct w:val="0"/>
                    <w:autoSpaceDE/>
                    <w:autoSpaceDN/>
                    <w:bidi w:val="0"/>
                    <w:spacing w:line="240" w:lineRule="auto"/>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b/>
                      <w:bCs/>
                      <w:color w:val="auto"/>
                      <w:sz w:val="21"/>
                      <w:szCs w:val="21"/>
                      <w:highlight w:val="none"/>
                    </w:rPr>
                    <w:t>坐标</w:t>
                  </w:r>
                </w:p>
              </w:tc>
              <w:tc>
                <w:tcPr>
                  <w:tcW w:w="535" w:type="dxa"/>
                  <w:vMerge w:val="restart"/>
                  <w:tcBorders>
                    <w:tl2br w:val="nil"/>
                    <w:tr2bl w:val="nil"/>
                  </w:tcBorders>
                  <w:noWrap w:val="0"/>
                  <w:vAlign w:val="center"/>
                </w:tcPr>
                <w:p w14:paraId="5997ABF5">
                  <w:pPr>
                    <w:keepNext w:val="0"/>
                    <w:keepLines w:val="0"/>
                    <w:pageBreakBefore w:val="0"/>
                    <w:widowControl w:val="0"/>
                    <w:kinsoku/>
                    <w:overflowPunct/>
                    <w:topLinePunct w:val="0"/>
                    <w:autoSpaceDE/>
                    <w:autoSpaceDN/>
                    <w:bidi w:val="0"/>
                    <w:spacing w:line="240" w:lineRule="auto"/>
                    <w:jc w:val="center"/>
                    <w:textAlignment w:val="auto"/>
                    <w:rPr>
                      <w:rFonts w:hint="eastAsia" w:eastAsia="宋体"/>
                      <w:b/>
                      <w:bCs/>
                      <w:color w:val="auto"/>
                      <w:szCs w:val="21"/>
                      <w:highlight w:val="none"/>
                      <w:lang w:val="en-US" w:eastAsia="zh-CN"/>
                    </w:rPr>
                  </w:pPr>
                  <w:r>
                    <w:rPr>
                      <w:rFonts w:hint="eastAsia"/>
                      <w:b/>
                      <w:bCs/>
                      <w:color w:val="auto"/>
                      <w:szCs w:val="21"/>
                      <w:highlight w:val="none"/>
                      <w:lang w:val="en-US" w:eastAsia="zh-CN"/>
                    </w:rPr>
                    <w:t>方位</w:t>
                  </w:r>
                </w:p>
              </w:tc>
              <w:tc>
                <w:tcPr>
                  <w:tcW w:w="824" w:type="dxa"/>
                  <w:vMerge w:val="restart"/>
                  <w:tcBorders>
                    <w:tl2br w:val="nil"/>
                    <w:tr2bl w:val="nil"/>
                  </w:tcBorders>
                  <w:noWrap w:val="0"/>
                  <w:vAlign w:val="center"/>
                </w:tcPr>
                <w:p w14:paraId="284CF402">
                  <w:pPr>
                    <w:keepNext w:val="0"/>
                    <w:keepLines w:val="0"/>
                    <w:pageBreakBefore w:val="0"/>
                    <w:widowControl w:val="0"/>
                    <w:kinsoku/>
                    <w:overflowPunct/>
                    <w:topLinePunct w:val="0"/>
                    <w:autoSpaceDE/>
                    <w:autoSpaceDN/>
                    <w:bidi w:val="0"/>
                    <w:spacing w:line="240" w:lineRule="auto"/>
                    <w:jc w:val="center"/>
                    <w:textAlignment w:val="auto"/>
                    <w:rPr>
                      <w:b/>
                      <w:bCs/>
                      <w:color w:val="auto"/>
                      <w:szCs w:val="21"/>
                      <w:highlight w:val="none"/>
                    </w:rPr>
                  </w:pPr>
                  <w:r>
                    <w:rPr>
                      <w:b/>
                      <w:bCs/>
                      <w:color w:val="auto"/>
                      <w:szCs w:val="21"/>
                      <w:highlight w:val="none"/>
                    </w:rPr>
                    <w:t>距离</w:t>
                  </w:r>
                </w:p>
              </w:tc>
              <w:tc>
                <w:tcPr>
                  <w:tcW w:w="959" w:type="dxa"/>
                  <w:vMerge w:val="restart"/>
                  <w:tcBorders>
                    <w:tl2br w:val="nil"/>
                    <w:tr2bl w:val="nil"/>
                  </w:tcBorders>
                  <w:noWrap w:val="0"/>
                  <w:vAlign w:val="center"/>
                </w:tcPr>
                <w:p w14:paraId="3382A979">
                  <w:pPr>
                    <w:keepNext w:val="0"/>
                    <w:keepLines w:val="0"/>
                    <w:pageBreakBefore w:val="0"/>
                    <w:widowControl w:val="0"/>
                    <w:kinsoku/>
                    <w:overflowPunct/>
                    <w:topLinePunct w:val="0"/>
                    <w:autoSpaceDE/>
                    <w:autoSpaceDN/>
                    <w:bidi w:val="0"/>
                    <w:spacing w:line="240" w:lineRule="auto"/>
                    <w:jc w:val="center"/>
                    <w:textAlignment w:val="auto"/>
                    <w:rPr>
                      <w:b/>
                      <w:bCs/>
                      <w:color w:val="auto"/>
                      <w:szCs w:val="21"/>
                      <w:highlight w:val="none"/>
                    </w:rPr>
                  </w:pPr>
                  <w:r>
                    <w:rPr>
                      <w:b/>
                      <w:bCs/>
                      <w:color w:val="auto"/>
                      <w:szCs w:val="21"/>
                      <w:highlight w:val="none"/>
                    </w:rPr>
                    <w:t>规模</w:t>
                  </w:r>
                </w:p>
              </w:tc>
              <w:tc>
                <w:tcPr>
                  <w:tcW w:w="2076" w:type="dxa"/>
                  <w:vMerge w:val="restart"/>
                  <w:tcBorders>
                    <w:tl2br w:val="nil"/>
                    <w:tr2bl w:val="nil"/>
                  </w:tcBorders>
                  <w:noWrap w:val="0"/>
                  <w:vAlign w:val="center"/>
                </w:tcPr>
                <w:p w14:paraId="4047DDB5">
                  <w:pPr>
                    <w:keepNext w:val="0"/>
                    <w:keepLines w:val="0"/>
                    <w:pageBreakBefore w:val="0"/>
                    <w:widowControl w:val="0"/>
                    <w:kinsoku/>
                    <w:overflowPunct/>
                    <w:topLinePunct w:val="0"/>
                    <w:autoSpaceDE/>
                    <w:autoSpaceDN/>
                    <w:bidi w:val="0"/>
                    <w:spacing w:line="240" w:lineRule="auto"/>
                    <w:jc w:val="center"/>
                    <w:textAlignment w:val="auto"/>
                    <w:rPr>
                      <w:b/>
                      <w:bCs/>
                      <w:color w:val="auto"/>
                      <w:szCs w:val="21"/>
                      <w:highlight w:val="none"/>
                    </w:rPr>
                  </w:pPr>
                  <w:r>
                    <w:rPr>
                      <w:b/>
                      <w:bCs/>
                      <w:color w:val="auto"/>
                      <w:szCs w:val="21"/>
                      <w:highlight w:val="none"/>
                    </w:rPr>
                    <w:t>保护级别</w:t>
                  </w:r>
                </w:p>
              </w:tc>
            </w:tr>
            <w:tr w14:paraId="708A8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872" w:type="dxa"/>
                  <w:vMerge w:val="continue"/>
                  <w:tcBorders>
                    <w:tl2br w:val="nil"/>
                    <w:tr2bl w:val="nil"/>
                  </w:tcBorders>
                  <w:noWrap w:val="0"/>
                  <w:vAlign w:val="center"/>
                </w:tcPr>
                <w:p w14:paraId="11E516A0">
                  <w:pPr>
                    <w:keepNext w:val="0"/>
                    <w:keepLines w:val="0"/>
                    <w:pageBreakBefore w:val="0"/>
                    <w:widowControl w:val="0"/>
                    <w:kinsoku/>
                    <w:overflowPunct/>
                    <w:topLinePunct w:val="0"/>
                    <w:autoSpaceDE/>
                    <w:autoSpaceDN/>
                    <w:bidi w:val="0"/>
                    <w:spacing w:line="240" w:lineRule="auto"/>
                    <w:jc w:val="center"/>
                    <w:textAlignment w:val="auto"/>
                    <w:rPr>
                      <w:highlight w:val="none"/>
                    </w:rPr>
                  </w:pPr>
                </w:p>
              </w:tc>
              <w:tc>
                <w:tcPr>
                  <w:tcW w:w="1133" w:type="dxa"/>
                  <w:vMerge w:val="continue"/>
                  <w:tcBorders>
                    <w:tl2br w:val="nil"/>
                    <w:tr2bl w:val="nil"/>
                  </w:tcBorders>
                  <w:noWrap w:val="0"/>
                  <w:vAlign w:val="center"/>
                </w:tcPr>
                <w:p w14:paraId="0E75A159">
                  <w:pPr>
                    <w:keepNext w:val="0"/>
                    <w:keepLines w:val="0"/>
                    <w:pageBreakBefore w:val="0"/>
                    <w:widowControl w:val="0"/>
                    <w:kinsoku/>
                    <w:overflowPunct/>
                    <w:topLinePunct w:val="0"/>
                    <w:autoSpaceDE/>
                    <w:autoSpaceDN/>
                    <w:bidi w:val="0"/>
                    <w:spacing w:line="240" w:lineRule="auto"/>
                    <w:jc w:val="center"/>
                    <w:textAlignment w:val="auto"/>
                    <w:rPr>
                      <w:highlight w:val="none"/>
                    </w:rPr>
                  </w:pPr>
                </w:p>
              </w:tc>
              <w:tc>
                <w:tcPr>
                  <w:tcW w:w="870" w:type="dxa"/>
                  <w:tcBorders>
                    <w:tl2br w:val="nil"/>
                    <w:tr2bl w:val="nil"/>
                  </w:tcBorders>
                  <w:noWrap w:val="0"/>
                  <w:vAlign w:val="center"/>
                </w:tcPr>
                <w:p w14:paraId="36A72066">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b w:val="0"/>
                      <w:bCs/>
                      <w:kern w:val="2"/>
                      <w:sz w:val="21"/>
                      <w:highlight w:val="none"/>
                      <w:lang w:val="en-US" w:eastAsia="zh-CN" w:bidi="ar-SA"/>
                    </w:rPr>
                  </w:pPr>
                  <w:r>
                    <w:rPr>
                      <w:rFonts w:hint="eastAsia"/>
                      <w:b w:val="0"/>
                      <w:bCs/>
                      <w:color w:val="auto"/>
                      <w:sz w:val="21"/>
                      <w:szCs w:val="21"/>
                      <w:highlight w:val="none"/>
                    </w:rPr>
                    <w:t>E</w:t>
                  </w:r>
                </w:p>
              </w:tc>
              <w:tc>
                <w:tcPr>
                  <w:tcW w:w="881" w:type="dxa"/>
                  <w:tcBorders>
                    <w:tl2br w:val="nil"/>
                    <w:tr2bl w:val="nil"/>
                  </w:tcBorders>
                  <w:noWrap w:val="0"/>
                  <w:vAlign w:val="center"/>
                </w:tcPr>
                <w:p w14:paraId="4CDD1A74">
                  <w:pPr>
                    <w:keepNext w:val="0"/>
                    <w:keepLines w:val="0"/>
                    <w:pageBreakBefore w:val="0"/>
                    <w:widowControl w:val="0"/>
                    <w:kinsoku/>
                    <w:overflowPunct/>
                    <w:topLinePunct w:val="0"/>
                    <w:autoSpaceDE/>
                    <w:autoSpaceDN/>
                    <w:bidi w:val="0"/>
                    <w:spacing w:line="240" w:lineRule="auto"/>
                    <w:jc w:val="center"/>
                    <w:textAlignment w:val="auto"/>
                    <w:rPr>
                      <w:rFonts w:ascii="Times New Roman" w:hAnsi="Times New Roman" w:eastAsia="宋体" w:cs="Times New Roman"/>
                      <w:b w:val="0"/>
                      <w:bCs/>
                      <w:kern w:val="2"/>
                      <w:sz w:val="21"/>
                      <w:highlight w:val="none"/>
                      <w:lang w:val="en-US" w:eastAsia="zh-CN" w:bidi="ar-SA"/>
                    </w:rPr>
                  </w:pPr>
                  <w:r>
                    <w:rPr>
                      <w:rFonts w:hint="eastAsia"/>
                      <w:b w:val="0"/>
                      <w:bCs/>
                      <w:color w:val="auto"/>
                      <w:sz w:val="21"/>
                      <w:szCs w:val="21"/>
                      <w:highlight w:val="none"/>
                    </w:rPr>
                    <w:t>N</w:t>
                  </w:r>
                </w:p>
              </w:tc>
              <w:tc>
                <w:tcPr>
                  <w:tcW w:w="535" w:type="dxa"/>
                  <w:vMerge w:val="continue"/>
                  <w:tcBorders>
                    <w:tl2br w:val="nil"/>
                    <w:tr2bl w:val="nil"/>
                  </w:tcBorders>
                  <w:noWrap w:val="0"/>
                  <w:vAlign w:val="center"/>
                </w:tcPr>
                <w:p w14:paraId="5DEACAC0">
                  <w:pPr>
                    <w:keepNext w:val="0"/>
                    <w:keepLines w:val="0"/>
                    <w:pageBreakBefore w:val="0"/>
                    <w:widowControl w:val="0"/>
                    <w:kinsoku/>
                    <w:overflowPunct/>
                    <w:topLinePunct w:val="0"/>
                    <w:autoSpaceDE/>
                    <w:autoSpaceDN/>
                    <w:bidi w:val="0"/>
                    <w:spacing w:line="240" w:lineRule="auto"/>
                    <w:jc w:val="center"/>
                    <w:textAlignment w:val="auto"/>
                    <w:rPr>
                      <w:highlight w:val="none"/>
                    </w:rPr>
                  </w:pPr>
                </w:p>
              </w:tc>
              <w:tc>
                <w:tcPr>
                  <w:tcW w:w="824" w:type="dxa"/>
                  <w:vMerge w:val="continue"/>
                  <w:tcBorders>
                    <w:tl2br w:val="nil"/>
                    <w:tr2bl w:val="nil"/>
                  </w:tcBorders>
                  <w:noWrap w:val="0"/>
                  <w:vAlign w:val="center"/>
                </w:tcPr>
                <w:p w14:paraId="3C6ACFD8">
                  <w:pPr>
                    <w:keepNext w:val="0"/>
                    <w:keepLines w:val="0"/>
                    <w:pageBreakBefore w:val="0"/>
                    <w:widowControl w:val="0"/>
                    <w:kinsoku/>
                    <w:overflowPunct/>
                    <w:topLinePunct w:val="0"/>
                    <w:autoSpaceDE/>
                    <w:autoSpaceDN/>
                    <w:bidi w:val="0"/>
                    <w:spacing w:line="240" w:lineRule="auto"/>
                    <w:jc w:val="center"/>
                    <w:textAlignment w:val="auto"/>
                    <w:rPr>
                      <w:highlight w:val="none"/>
                    </w:rPr>
                  </w:pPr>
                </w:p>
              </w:tc>
              <w:tc>
                <w:tcPr>
                  <w:tcW w:w="959" w:type="dxa"/>
                  <w:vMerge w:val="continue"/>
                  <w:tcBorders>
                    <w:tl2br w:val="nil"/>
                    <w:tr2bl w:val="nil"/>
                  </w:tcBorders>
                  <w:noWrap w:val="0"/>
                  <w:vAlign w:val="center"/>
                </w:tcPr>
                <w:p w14:paraId="39AA27EA">
                  <w:pPr>
                    <w:keepNext w:val="0"/>
                    <w:keepLines w:val="0"/>
                    <w:pageBreakBefore w:val="0"/>
                    <w:widowControl w:val="0"/>
                    <w:kinsoku/>
                    <w:overflowPunct/>
                    <w:topLinePunct w:val="0"/>
                    <w:autoSpaceDE/>
                    <w:autoSpaceDN/>
                    <w:bidi w:val="0"/>
                    <w:spacing w:line="240" w:lineRule="auto"/>
                    <w:jc w:val="center"/>
                    <w:textAlignment w:val="auto"/>
                    <w:rPr>
                      <w:highlight w:val="none"/>
                    </w:rPr>
                  </w:pPr>
                </w:p>
              </w:tc>
              <w:tc>
                <w:tcPr>
                  <w:tcW w:w="2076" w:type="dxa"/>
                  <w:vMerge w:val="continue"/>
                  <w:tcBorders>
                    <w:tl2br w:val="nil"/>
                    <w:tr2bl w:val="nil"/>
                  </w:tcBorders>
                  <w:noWrap w:val="0"/>
                  <w:vAlign w:val="center"/>
                </w:tcPr>
                <w:p w14:paraId="218211FF">
                  <w:pPr>
                    <w:keepNext w:val="0"/>
                    <w:keepLines w:val="0"/>
                    <w:pageBreakBefore w:val="0"/>
                    <w:widowControl w:val="0"/>
                    <w:kinsoku/>
                    <w:overflowPunct/>
                    <w:topLinePunct w:val="0"/>
                    <w:autoSpaceDE/>
                    <w:autoSpaceDN/>
                    <w:bidi w:val="0"/>
                    <w:spacing w:line="240" w:lineRule="auto"/>
                    <w:jc w:val="center"/>
                    <w:textAlignment w:val="auto"/>
                    <w:rPr>
                      <w:highlight w:val="none"/>
                    </w:rPr>
                  </w:pPr>
                </w:p>
              </w:tc>
            </w:tr>
            <w:tr w14:paraId="179A8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72" w:type="dxa"/>
                  <w:vMerge w:val="restart"/>
                  <w:tcBorders>
                    <w:tl2br w:val="nil"/>
                    <w:tr2bl w:val="nil"/>
                  </w:tcBorders>
                  <w:noWrap w:val="0"/>
                  <w:vAlign w:val="center"/>
                </w:tcPr>
                <w:p w14:paraId="1C77D8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r>
                    <w:rPr>
                      <w:rFonts w:hint="eastAsia"/>
                      <w:color w:val="auto"/>
                      <w:szCs w:val="21"/>
                      <w:highlight w:val="none"/>
                      <w:lang w:val="en-US" w:eastAsia="zh-CN"/>
                    </w:rPr>
                    <w:t>环境</w:t>
                  </w:r>
                </w:p>
                <w:p w14:paraId="02F8C7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空气</w:t>
                  </w:r>
                </w:p>
              </w:tc>
              <w:tc>
                <w:tcPr>
                  <w:tcW w:w="1133" w:type="dxa"/>
                  <w:tcBorders>
                    <w:tl2br w:val="nil"/>
                    <w:tr2bl w:val="nil"/>
                  </w:tcBorders>
                  <w:noWrap w:val="0"/>
                  <w:vAlign w:val="center"/>
                </w:tcPr>
                <w:p w14:paraId="25FEC1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湾张村</w:t>
                  </w:r>
                </w:p>
              </w:tc>
              <w:tc>
                <w:tcPr>
                  <w:tcW w:w="870" w:type="dxa"/>
                  <w:tcBorders>
                    <w:tl2br w:val="nil"/>
                    <w:tr2bl w:val="nil"/>
                  </w:tcBorders>
                  <w:noWrap w:val="0"/>
                  <w:vAlign w:val="center"/>
                </w:tcPr>
                <w:p w14:paraId="3809EAC7">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113.</w:t>
                  </w:r>
                  <w:r>
                    <w:rPr>
                      <w:rFonts w:hint="eastAsia" w:ascii="Times New Roman" w:hAnsi="Times New Roman" w:cs="Times New Roman"/>
                      <w:color w:val="auto"/>
                      <w:sz w:val="21"/>
                      <w:szCs w:val="21"/>
                      <w:highlight w:val="none"/>
                      <w:u w:val="none"/>
                      <w:lang w:val="en-US" w:eastAsia="zh-CN"/>
                    </w:rPr>
                    <w:t>4823521</w:t>
                  </w:r>
                </w:p>
              </w:tc>
              <w:tc>
                <w:tcPr>
                  <w:tcW w:w="881" w:type="dxa"/>
                  <w:tcBorders>
                    <w:tl2br w:val="nil"/>
                    <w:tr2bl w:val="nil"/>
                  </w:tcBorders>
                  <w:noWrap w:val="0"/>
                  <w:vAlign w:val="center"/>
                </w:tcPr>
                <w:p w14:paraId="740803AE">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33.</w:t>
                  </w:r>
                  <w:r>
                    <w:rPr>
                      <w:rFonts w:hint="eastAsia" w:ascii="Times New Roman" w:hAnsi="Times New Roman" w:cs="Times New Roman"/>
                      <w:color w:val="auto"/>
                      <w:sz w:val="21"/>
                      <w:szCs w:val="21"/>
                      <w:highlight w:val="none"/>
                      <w:u w:val="none"/>
                      <w:lang w:val="en-US" w:eastAsia="zh-CN"/>
                    </w:rPr>
                    <w:t>6156429</w:t>
                  </w:r>
                </w:p>
              </w:tc>
              <w:tc>
                <w:tcPr>
                  <w:tcW w:w="535" w:type="dxa"/>
                  <w:tcBorders>
                    <w:tl2br w:val="nil"/>
                    <w:tr2bl w:val="nil"/>
                  </w:tcBorders>
                  <w:noWrap w:val="0"/>
                  <w:vAlign w:val="center"/>
                </w:tcPr>
                <w:p w14:paraId="624B7EBC">
                  <w:pPr>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西</w:t>
                  </w:r>
                </w:p>
              </w:tc>
              <w:tc>
                <w:tcPr>
                  <w:tcW w:w="824" w:type="dxa"/>
                  <w:tcBorders>
                    <w:tl2br w:val="nil"/>
                    <w:tr2bl w:val="nil"/>
                  </w:tcBorders>
                  <w:noWrap w:val="0"/>
                  <w:vAlign w:val="center"/>
                </w:tcPr>
                <w:p w14:paraId="3F369888">
                  <w:pPr>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275</w:t>
                  </w:r>
                  <w:r>
                    <w:rPr>
                      <w:color w:val="auto"/>
                      <w:szCs w:val="21"/>
                      <w:highlight w:val="none"/>
                    </w:rPr>
                    <w:t>m</w:t>
                  </w:r>
                </w:p>
              </w:tc>
              <w:tc>
                <w:tcPr>
                  <w:tcW w:w="959" w:type="dxa"/>
                  <w:tcBorders>
                    <w:tl2br w:val="nil"/>
                    <w:tr2bl w:val="nil"/>
                  </w:tcBorders>
                  <w:noWrap w:val="0"/>
                  <w:vAlign w:val="center"/>
                </w:tcPr>
                <w:p w14:paraId="7CB0E021">
                  <w:pPr>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473人</w:t>
                  </w:r>
                </w:p>
              </w:tc>
              <w:tc>
                <w:tcPr>
                  <w:tcW w:w="2076" w:type="dxa"/>
                  <w:vMerge w:val="restart"/>
                  <w:tcBorders>
                    <w:tl2br w:val="nil"/>
                    <w:tr2bl w:val="nil"/>
                  </w:tcBorders>
                  <w:noWrap w:val="0"/>
                  <w:vAlign w:val="center"/>
                </w:tcPr>
                <w:p w14:paraId="0A8C75E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color w:val="auto"/>
                      <w:szCs w:val="21"/>
                      <w:highlight w:val="none"/>
                    </w:rPr>
                  </w:pPr>
                  <w:r>
                    <w:rPr>
                      <w:color w:val="auto"/>
                      <w:szCs w:val="21"/>
                      <w:highlight w:val="none"/>
                    </w:rPr>
                    <w:t>《环境空气质量标准》（GB3095-2012）二级</w:t>
                  </w:r>
                  <w:r>
                    <w:rPr>
                      <w:rFonts w:hint="eastAsia"/>
                      <w:color w:val="auto"/>
                      <w:szCs w:val="21"/>
                      <w:highlight w:val="none"/>
                      <w:lang w:val="en-US" w:eastAsia="zh-CN"/>
                    </w:rPr>
                    <w:t>及修改单</w:t>
                  </w:r>
                </w:p>
              </w:tc>
            </w:tr>
            <w:tr w14:paraId="60DD4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trPr>
              <w:tc>
                <w:tcPr>
                  <w:tcW w:w="872" w:type="dxa"/>
                  <w:vMerge w:val="continue"/>
                  <w:tcBorders>
                    <w:tl2br w:val="nil"/>
                    <w:tr2bl w:val="nil"/>
                  </w:tcBorders>
                  <w:noWrap w:val="0"/>
                  <w:vAlign w:val="center"/>
                </w:tcPr>
                <w:p w14:paraId="545B0B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p>
              </w:tc>
              <w:tc>
                <w:tcPr>
                  <w:tcW w:w="1133" w:type="dxa"/>
                  <w:tcBorders>
                    <w:tl2br w:val="nil"/>
                    <w:tr2bl w:val="nil"/>
                  </w:tcBorders>
                  <w:noWrap w:val="0"/>
                  <w:vAlign w:val="center"/>
                </w:tcPr>
                <w:p w14:paraId="6EA99A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沙渡口村</w:t>
                  </w:r>
                </w:p>
              </w:tc>
              <w:tc>
                <w:tcPr>
                  <w:tcW w:w="870" w:type="dxa"/>
                  <w:tcBorders>
                    <w:tl2br w:val="nil"/>
                    <w:tr2bl w:val="nil"/>
                  </w:tcBorders>
                  <w:noWrap w:val="0"/>
                  <w:vAlign w:val="center"/>
                </w:tcPr>
                <w:p w14:paraId="653EE52E">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113.</w:t>
                  </w:r>
                  <w:r>
                    <w:rPr>
                      <w:rFonts w:hint="eastAsia" w:ascii="Times New Roman" w:hAnsi="Times New Roman" w:cs="Times New Roman"/>
                      <w:color w:val="auto"/>
                      <w:sz w:val="21"/>
                      <w:szCs w:val="21"/>
                      <w:highlight w:val="none"/>
                      <w:u w:val="none"/>
                      <w:lang w:val="en-US" w:eastAsia="zh-CN"/>
                    </w:rPr>
                    <w:t>4943254</w:t>
                  </w:r>
                </w:p>
              </w:tc>
              <w:tc>
                <w:tcPr>
                  <w:tcW w:w="881" w:type="dxa"/>
                  <w:tcBorders>
                    <w:tl2br w:val="nil"/>
                    <w:tr2bl w:val="nil"/>
                  </w:tcBorders>
                  <w:noWrap w:val="0"/>
                  <w:vAlign w:val="center"/>
                </w:tcPr>
                <w:p w14:paraId="31840E09">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33.</w:t>
                  </w:r>
                  <w:r>
                    <w:rPr>
                      <w:rFonts w:hint="eastAsia" w:ascii="Times New Roman" w:hAnsi="Times New Roman" w:cs="Times New Roman"/>
                      <w:color w:val="auto"/>
                      <w:sz w:val="21"/>
                      <w:szCs w:val="21"/>
                      <w:highlight w:val="none"/>
                      <w:u w:val="none"/>
                      <w:lang w:val="en-US" w:eastAsia="zh-CN"/>
                    </w:rPr>
                    <w:t>6153210</w:t>
                  </w:r>
                </w:p>
              </w:tc>
              <w:tc>
                <w:tcPr>
                  <w:tcW w:w="535" w:type="dxa"/>
                  <w:tcBorders>
                    <w:tl2br w:val="nil"/>
                    <w:tr2bl w:val="nil"/>
                  </w:tcBorders>
                  <w:noWrap w:val="0"/>
                  <w:vAlign w:val="center"/>
                </w:tcPr>
                <w:p w14:paraId="413E77B0">
                  <w:pPr>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东</w:t>
                  </w:r>
                </w:p>
              </w:tc>
              <w:tc>
                <w:tcPr>
                  <w:tcW w:w="824" w:type="dxa"/>
                  <w:tcBorders>
                    <w:tl2br w:val="nil"/>
                    <w:tr2bl w:val="nil"/>
                  </w:tcBorders>
                  <w:noWrap w:val="0"/>
                  <w:vAlign w:val="center"/>
                </w:tcPr>
                <w:p w14:paraId="0C1B5CE4">
                  <w:pPr>
                    <w:keepNext w:val="0"/>
                    <w:keepLines w:val="0"/>
                    <w:pageBreakBefore w:val="0"/>
                    <w:widowControl w:val="0"/>
                    <w:kinsoku/>
                    <w:wordWrap/>
                    <w:overflowPunct/>
                    <w:topLinePunct w:val="0"/>
                    <w:autoSpaceDE/>
                    <w:autoSpaceDN/>
                    <w:bidi w:val="0"/>
                    <w:spacing w:line="240" w:lineRule="auto"/>
                    <w:jc w:val="center"/>
                    <w:textAlignment w:val="auto"/>
                    <w:rPr>
                      <w:rFonts w:hint="eastAsia"/>
                      <w:color w:val="auto"/>
                      <w:szCs w:val="21"/>
                      <w:highlight w:val="none"/>
                      <w:lang w:val="en-US" w:eastAsia="zh-CN"/>
                    </w:rPr>
                  </w:pPr>
                  <w:r>
                    <w:rPr>
                      <w:rFonts w:hint="eastAsia"/>
                      <w:color w:val="auto"/>
                      <w:szCs w:val="21"/>
                      <w:highlight w:val="none"/>
                      <w:lang w:val="en-US" w:eastAsia="zh-CN"/>
                    </w:rPr>
                    <w:t>490</w:t>
                  </w:r>
                  <w:r>
                    <w:rPr>
                      <w:color w:val="auto"/>
                      <w:szCs w:val="21"/>
                      <w:highlight w:val="none"/>
                    </w:rPr>
                    <w:t>m</w:t>
                  </w:r>
                </w:p>
              </w:tc>
              <w:tc>
                <w:tcPr>
                  <w:tcW w:w="959" w:type="dxa"/>
                  <w:tcBorders>
                    <w:tl2br w:val="nil"/>
                    <w:tr2bl w:val="nil"/>
                  </w:tcBorders>
                  <w:noWrap w:val="0"/>
                  <w:vAlign w:val="center"/>
                </w:tcPr>
                <w:p w14:paraId="280D391F">
                  <w:pPr>
                    <w:keepNext w:val="0"/>
                    <w:keepLines w:val="0"/>
                    <w:pageBreakBefore w:val="0"/>
                    <w:widowControl w:val="0"/>
                    <w:kinsoku/>
                    <w:wordWrap/>
                    <w:overflowPunct/>
                    <w:topLinePunct w:val="0"/>
                    <w:autoSpaceDE/>
                    <w:autoSpaceDN/>
                    <w:bidi w:val="0"/>
                    <w:spacing w:line="240" w:lineRule="auto"/>
                    <w:jc w:val="center"/>
                    <w:textAlignment w:val="auto"/>
                    <w:rPr>
                      <w:rFonts w:hint="eastAsia"/>
                      <w:color w:val="auto"/>
                      <w:szCs w:val="21"/>
                      <w:highlight w:val="none"/>
                      <w:lang w:val="en-US" w:eastAsia="zh-CN"/>
                    </w:rPr>
                  </w:pPr>
                  <w:r>
                    <w:rPr>
                      <w:rFonts w:hint="eastAsia"/>
                      <w:color w:val="auto"/>
                      <w:szCs w:val="21"/>
                      <w:highlight w:val="none"/>
                      <w:lang w:val="en-US" w:eastAsia="zh-CN"/>
                    </w:rPr>
                    <w:t>1549人</w:t>
                  </w:r>
                </w:p>
              </w:tc>
              <w:tc>
                <w:tcPr>
                  <w:tcW w:w="2076" w:type="dxa"/>
                  <w:vMerge w:val="continue"/>
                  <w:tcBorders>
                    <w:tl2br w:val="nil"/>
                    <w:tr2bl w:val="nil"/>
                  </w:tcBorders>
                  <w:noWrap w:val="0"/>
                  <w:vAlign w:val="center"/>
                </w:tcPr>
                <w:p w14:paraId="79111CB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color w:val="auto"/>
                      <w:szCs w:val="21"/>
                      <w:highlight w:val="none"/>
                    </w:rPr>
                  </w:pPr>
                </w:p>
              </w:tc>
            </w:tr>
            <w:tr w14:paraId="0FF8C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72" w:type="dxa"/>
                  <w:vMerge w:val="continue"/>
                  <w:tcBorders>
                    <w:tl2br w:val="nil"/>
                    <w:tr2bl w:val="nil"/>
                  </w:tcBorders>
                  <w:noWrap w:val="0"/>
                  <w:vAlign w:val="center"/>
                </w:tcPr>
                <w:p w14:paraId="1FECCC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p>
              </w:tc>
              <w:tc>
                <w:tcPr>
                  <w:tcW w:w="1133" w:type="dxa"/>
                  <w:tcBorders>
                    <w:tl2br w:val="nil"/>
                    <w:tr2bl w:val="nil"/>
                  </w:tcBorders>
                  <w:noWrap w:val="0"/>
                  <w:vAlign w:val="center"/>
                </w:tcPr>
                <w:p w14:paraId="5B050A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黄营</w:t>
                  </w:r>
                </w:p>
              </w:tc>
              <w:tc>
                <w:tcPr>
                  <w:tcW w:w="870" w:type="dxa"/>
                  <w:tcBorders>
                    <w:tl2br w:val="nil"/>
                    <w:tr2bl w:val="nil"/>
                  </w:tcBorders>
                  <w:noWrap w:val="0"/>
                  <w:vAlign w:val="center"/>
                </w:tcPr>
                <w:p w14:paraId="0BF9F2D8">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113.</w:t>
                  </w:r>
                  <w:r>
                    <w:rPr>
                      <w:rFonts w:hint="eastAsia" w:ascii="Times New Roman" w:hAnsi="Times New Roman" w:cs="Times New Roman"/>
                      <w:color w:val="auto"/>
                      <w:sz w:val="21"/>
                      <w:szCs w:val="21"/>
                      <w:highlight w:val="none"/>
                      <w:u w:val="none"/>
                      <w:lang w:val="en-US" w:eastAsia="zh-CN"/>
                    </w:rPr>
                    <w:t>4941216</w:t>
                  </w:r>
                </w:p>
              </w:tc>
              <w:tc>
                <w:tcPr>
                  <w:tcW w:w="881" w:type="dxa"/>
                  <w:tcBorders>
                    <w:tl2br w:val="nil"/>
                    <w:tr2bl w:val="nil"/>
                  </w:tcBorders>
                  <w:noWrap w:val="0"/>
                  <w:vAlign w:val="center"/>
                </w:tcPr>
                <w:p w14:paraId="1726DEA5">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33.</w:t>
                  </w:r>
                  <w:r>
                    <w:rPr>
                      <w:rFonts w:hint="eastAsia" w:ascii="Times New Roman" w:hAnsi="Times New Roman" w:cs="Times New Roman"/>
                      <w:color w:val="auto"/>
                      <w:sz w:val="21"/>
                      <w:szCs w:val="21"/>
                      <w:highlight w:val="none"/>
                      <w:u w:val="none"/>
                      <w:lang w:val="en-US" w:eastAsia="zh-CN"/>
                    </w:rPr>
                    <w:t>6126925</w:t>
                  </w:r>
                </w:p>
              </w:tc>
              <w:tc>
                <w:tcPr>
                  <w:tcW w:w="535" w:type="dxa"/>
                  <w:tcBorders>
                    <w:tl2br w:val="nil"/>
                    <w:tr2bl w:val="nil"/>
                  </w:tcBorders>
                  <w:noWrap w:val="0"/>
                  <w:vAlign w:val="center"/>
                </w:tcPr>
                <w:p w14:paraId="26D818A4">
                  <w:pPr>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东</w:t>
                  </w:r>
                </w:p>
              </w:tc>
              <w:tc>
                <w:tcPr>
                  <w:tcW w:w="824" w:type="dxa"/>
                  <w:tcBorders>
                    <w:tl2br w:val="nil"/>
                    <w:tr2bl w:val="nil"/>
                  </w:tcBorders>
                  <w:noWrap w:val="0"/>
                  <w:vAlign w:val="center"/>
                </w:tcPr>
                <w:p w14:paraId="157DC22A">
                  <w:pPr>
                    <w:keepNext w:val="0"/>
                    <w:keepLines w:val="0"/>
                    <w:pageBreakBefore w:val="0"/>
                    <w:widowControl w:val="0"/>
                    <w:kinsoku/>
                    <w:wordWrap/>
                    <w:overflowPunct/>
                    <w:topLinePunct w:val="0"/>
                    <w:autoSpaceDE/>
                    <w:autoSpaceDN/>
                    <w:bidi w:val="0"/>
                    <w:spacing w:line="240" w:lineRule="auto"/>
                    <w:jc w:val="center"/>
                    <w:textAlignment w:val="auto"/>
                    <w:rPr>
                      <w:rFonts w:hint="eastAsia"/>
                      <w:color w:val="auto"/>
                      <w:szCs w:val="21"/>
                      <w:highlight w:val="none"/>
                      <w:lang w:val="en-US" w:eastAsia="zh-CN"/>
                    </w:rPr>
                  </w:pPr>
                  <w:r>
                    <w:rPr>
                      <w:rFonts w:hint="eastAsia"/>
                      <w:color w:val="auto"/>
                      <w:szCs w:val="21"/>
                      <w:highlight w:val="none"/>
                      <w:lang w:val="en-US" w:eastAsia="zh-CN"/>
                    </w:rPr>
                    <w:t>385</w:t>
                  </w:r>
                  <w:r>
                    <w:rPr>
                      <w:color w:val="auto"/>
                      <w:szCs w:val="21"/>
                      <w:highlight w:val="none"/>
                    </w:rPr>
                    <w:t>m</w:t>
                  </w:r>
                </w:p>
              </w:tc>
              <w:tc>
                <w:tcPr>
                  <w:tcW w:w="959" w:type="dxa"/>
                  <w:tcBorders>
                    <w:tl2br w:val="nil"/>
                    <w:tr2bl w:val="nil"/>
                  </w:tcBorders>
                  <w:noWrap w:val="0"/>
                  <w:vAlign w:val="center"/>
                </w:tcPr>
                <w:p w14:paraId="59677EC1">
                  <w:pPr>
                    <w:keepNext w:val="0"/>
                    <w:keepLines w:val="0"/>
                    <w:pageBreakBefore w:val="0"/>
                    <w:widowControl w:val="0"/>
                    <w:kinsoku/>
                    <w:wordWrap/>
                    <w:overflowPunct/>
                    <w:topLinePunct w:val="0"/>
                    <w:autoSpaceDE/>
                    <w:autoSpaceDN/>
                    <w:bidi w:val="0"/>
                    <w:spacing w:line="240" w:lineRule="auto"/>
                    <w:jc w:val="center"/>
                    <w:textAlignment w:val="auto"/>
                    <w:rPr>
                      <w:rFonts w:hint="eastAsia"/>
                      <w:color w:val="auto"/>
                      <w:szCs w:val="21"/>
                      <w:highlight w:val="none"/>
                      <w:lang w:val="en-US" w:eastAsia="zh-CN"/>
                    </w:rPr>
                  </w:pPr>
                  <w:r>
                    <w:rPr>
                      <w:rFonts w:hint="eastAsia"/>
                      <w:color w:val="auto"/>
                      <w:szCs w:val="21"/>
                      <w:highlight w:val="none"/>
                      <w:lang w:val="en-US" w:eastAsia="zh-CN"/>
                    </w:rPr>
                    <w:t>972人</w:t>
                  </w:r>
                </w:p>
              </w:tc>
              <w:tc>
                <w:tcPr>
                  <w:tcW w:w="2076" w:type="dxa"/>
                  <w:vMerge w:val="continue"/>
                  <w:tcBorders>
                    <w:tl2br w:val="nil"/>
                    <w:tr2bl w:val="nil"/>
                  </w:tcBorders>
                  <w:noWrap w:val="0"/>
                  <w:vAlign w:val="center"/>
                </w:tcPr>
                <w:p w14:paraId="476A8C2D">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color w:val="auto"/>
                      <w:szCs w:val="21"/>
                      <w:highlight w:val="none"/>
                    </w:rPr>
                  </w:pPr>
                </w:p>
              </w:tc>
            </w:tr>
            <w:tr w14:paraId="3C8E9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72" w:type="dxa"/>
                  <w:vMerge w:val="continue"/>
                  <w:tcBorders>
                    <w:tl2br w:val="nil"/>
                    <w:tr2bl w:val="nil"/>
                  </w:tcBorders>
                  <w:noWrap w:val="0"/>
                  <w:vAlign w:val="center"/>
                </w:tcPr>
                <w:p w14:paraId="1744B7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p>
              </w:tc>
              <w:tc>
                <w:tcPr>
                  <w:tcW w:w="1133" w:type="dxa"/>
                  <w:tcBorders>
                    <w:tl2br w:val="nil"/>
                    <w:tr2bl w:val="nil"/>
                  </w:tcBorders>
                  <w:noWrap w:val="0"/>
                  <w:vAlign w:val="center"/>
                </w:tcPr>
                <w:p w14:paraId="6FDEBC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个别散户</w:t>
                  </w:r>
                </w:p>
              </w:tc>
              <w:tc>
                <w:tcPr>
                  <w:tcW w:w="870" w:type="dxa"/>
                  <w:tcBorders>
                    <w:tl2br w:val="nil"/>
                    <w:tr2bl w:val="nil"/>
                  </w:tcBorders>
                  <w:shd w:val="clear" w:color="auto" w:fill="auto"/>
                  <w:noWrap w:val="0"/>
                  <w:vAlign w:val="center"/>
                </w:tcPr>
                <w:p w14:paraId="311E739B">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113.</w:t>
                  </w:r>
                  <w:r>
                    <w:rPr>
                      <w:rFonts w:hint="eastAsia" w:ascii="Times New Roman" w:hAnsi="Times New Roman" w:cs="Times New Roman"/>
                      <w:color w:val="auto"/>
                      <w:sz w:val="21"/>
                      <w:szCs w:val="21"/>
                      <w:highlight w:val="none"/>
                      <w:u w:val="none"/>
                      <w:lang w:val="en-US" w:eastAsia="zh-CN"/>
                    </w:rPr>
                    <w:t>4</w:t>
                  </w:r>
                  <w:r>
                    <w:rPr>
                      <w:rFonts w:hint="eastAsia" w:cs="Times New Roman"/>
                      <w:color w:val="auto"/>
                      <w:sz w:val="21"/>
                      <w:szCs w:val="21"/>
                      <w:highlight w:val="none"/>
                      <w:u w:val="none"/>
                      <w:lang w:val="en-US" w:eastAsia="zh-CN"/>
                    </w:rPr>
                    <w:t>7</w:t>
                  </w:r>
                  <w:r>
                    <w:rPr>
                      <w:rFonts w:hint="eastAsia" w:ascii="Times New Roman" w:hAnsi="Times New Roman" w:cs="Times New Roman"/>
                      <w:color w:val="auto"/>
                      <w:sz w:val="21"/>
                      <w:szCs w:val="21"/>
                      <w:highlight w:val="none"/>
                      <w:u w:val="none"/>
                      <w:lang w:val="en-US" w:eastAsia="zh-CN"/>
                    </w:rPr>
                    <w:t>4</w:t>
                  </w:r>
                  <w:r>
                    <w:rPr>
                      <w:rFonts w:hint="eastAsia" w:cs="Times New Roman"/>
                      <w:color w:val="auto"/>
                      <w:sz w:val="21"/>
                      <w:szCs w:val="21"/>
                      <w:highlight w:val="none"/>
                      <w:u w:val="none"/>
                      <w:lang w:val="en-US" w:eastAsia="zh-CN"/>
                    </w:rPr>
                    <w:t>4532</w:t>
                  </w:r>
                </w:p>
              </w:tc>
              <w:tc>
                <w:tcPr>
                  <w:tcW w:w="881" w:type="dxa"/>
                  <w:tcBorders>
                    <w:tl2br w:val="nil"/>
                    <w:tr2bl w:val="nil"/>
                  </w:tcBorders>
                  <w:shd w:val="clear" w:color="auto" w:fill="auto"/>
                  <w:noWrap w:val="0"/>
                  <w:vAlign w:val="center"/>
                </w:tcPr>
                <w:p w14:paraId="48B0019A">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33.</w:t>
                  </w:r>
                  <w:r>
                    <w:rPr>
                      <w:rFonts w:hint="eastAsia" w:ascii="Times New Roman" w:hAnsi="Times New Roman" w:cs="Times New Roman"/>
                      <w:color w:val="auto"/>
                      <w:sz w:val="21"/>
                      <w:szCs w:val="21"/>
                      <w:highlight w:val="none"/>
                      <w:u w:val="none"/>
                      <w:lang w:val="en-US" w:eastAsia="zh-CN"/>
                    </w:rPr>
                    <w:t>6</w:t>
                  </w:r>
                  <w:r>
                    <w:rPr>
                      <w:rFonts w:hint="eastAsia" w:cs="Times New Roman"/>
                      <w:color w:val="auto"/>
                      <w:sz w:val="21"/>
                      <w:szCs w:val="21"/>
                      <w:highlight w:val="none"/>
                      <w:u w:val="none"/>
                      <w:lang w:val="en-US" w:eastAsia="zh-CN"/>
                    </w:rPr>
                    <w:t>025472</w:t>
                  </w:r>
                </w:p>
              </w:tc>
              <w:tc>
                <w:tcPr>
                  <w:tcW w:w="535" w:type="dxa"/>
                  <w:tcBorders>
                    <w:tl2br w:val="nil"/>
                    <w:tr2bl w:val="nil"/>
                  </w:tcBorders>
                  <w:noWrap w:val="0"/>
                  <w:vAlign w:val="center"/>
                </w:tcPr>
                <w:p w14:paraId="2F5C604C">
                  <w:pPr>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东南</w:t>
                  </w:r>
                </w:p>
              </w:tc>
              <w:tc>
                <w:tcPr>
                  <w:tcW w:w="824" w:type="dxa"/>
                  <w:tcBorders>
                    <w:tl2br w:val="nil"/>
                    <w:tr2bl w:val="nil"/>
                  </w:tcBorders>
                  <w:noWrap w:val="0"/>
                  <w:vAlign w:val="center"/>
                </w:tcPr>
                <w:p w14:paraId="6C596FF4">
                  <w:pPr>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55m</w:t>
                  </w:r>
                </w:p>
              </w:tc>
              <w:tc>
                <w:tcPr>
                  <w:tcW w:w="959" w:type="dxa"/>
                  <w:tcBorders>
                    <w:tl2br w:val="nil"/>
                    <w:tr2bl w:val="nil"/>
                  </w:tcBorders>
                  <w:noWrap w:val="0"/>
                  <w:vAlign w:val="center"/>
                </w:tcPr>
                <w:p w14:paraId="11575F28">
                  <w:pPr>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10人</w:t>
                  </w:r>
                </w:p>
              </w:tc>
              <w:tc>
                <w:tcPr>
                  <w:tcW w:w="2076" w:type="dxa"/>
                  <w:vMerge w:val="continue"/>
                  <w:tcBorders>
                    <w:tl2br w:val="nil"/>
                    <w:tr2bl w:val="nil"/>
                  </w:tcBorders>
                  <w:noWrap w:val="0"/>
                  <w:vAlign w:val="center"/>
                </w:tcPr>
                <w:p w14:paraId="234656F3">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color w:val="auto"/>
                      <w:szCs w:val="21"/>
                      <w:highlight w:val="none"/>
                    </w:rPr>
                  </w:pPr>
                </w:p>
              </w:tc>
            </w:tr>
            <w:tr w14:paraId="19AFC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872" w:type="dxa"/>
                  <w:tcBorders>
                    <w:tl2br w:val="nil"/>
                    <w:tr2bl w:val="nil"/>
                  </w:tcBorders>
                  <w:noWrap w:val="0"/>
                  <w:vAlign w:val="center"/>
                </w:tcPr>
                <w:p w14:paraId="5133B6BE">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噪声</w:t>
                  </w:r>
                </w:p>
              </w:tc>
              <w:tc>
                <w:tcPr>
                  <w:tcW w:w="5202" w:type="dxa"/>
                  <w:gridSpan w:val="6"/>
                  <w:tcBorders>
                    <w:tl2br w:val="nil"/>
                    <w:tr2bl w:val="nil"/>
                  </w:tcBorders>
                  <w:noWrap w:val="0"/>
                  <w:vAlign w:val="center"/>
                </w:tcPr>
                <w:p w14:paraId="2BDB8952">
                  <w:pPr>
                    <w:keepNext w:val="0"/>
                    <w:keepLines w:val="0"/>
                    <w:pageBreakBefore w:val="0"/>
                    <w:widowControl w:val="0"/>
                    <w:kinsoku/>
                    <w:overflowPunct/>
                    <w:topLinePunct w:val="0"/>
                    <w:autoSpaceDE/>
                    <w:autoSpaceDN/>
                    <w:bidi w:val="0"/>
                    <w:spacing w:line="240" w:lineRule="auto"/>
                    <w:jc w:val="center"/>
                    <w:textAlignment w:val="auto"/>
                    <w:rPr>
                      <w:rFonts w:hint="default" w:eastAsia="宋体"/>
                      <w:color w:val="auto"/>
                      <w:szCs w:val="21"/>
                      <w:highlight w:val="none"/>
                      <w:lang w:val="en-US" w:eastAsia="zh-CN"/>
                    </w:rPr>
                  </w:pPr>
                  <w:r>
                    <w:rPr>
                      <w:rFonts w:hint="eastAsia"/>
                      <w:color w:val="000000"/>
                      <w:sz w:val="21"/>
                      <w:szCs w:val="21"/>
                      <w:highlight w:val="none"/>
                      <w:lang w:val="en-US" w:eastAsia="zh-CN"/>
                    </w:rPr>
                    <w:t>项目厂界外50m范围</w:t>
                  </w:r>
                  <w:r>
                    <w:rPr>
                      <w:rFonts w:hint="eastAsia"/>
                      <w:color w:val="auto"/>
                      <w:sz w:val="21"/>
                      <w:szCs w:val="21"/>
                      <w:highlight w:val="none"/>
                      <w:lang w:val="en-US" w:eastAsia="zh-CN"/>
                    </w:rPr>
                    <w:t>内不存在声环境敏感点</w:t>
                  </w:r>
                </w:p>
              </w:tc>
              <w:tc>
                <w:tcPr>
                  <w:tcW w:w="2076" w:type="dxa"/>
                  <w:tcBorders>
                    <w:tl2br w:val="nil"/>
                    <w:tr2bl w:val="nil"/>
                  </w:tcBorders>
                  <w:noWrap w:val="0"/>
                  <w:vAlign w:val="center"/>
                </w:tcPr>
                <w:p w14:paraId="055FB354">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color w:val="auto"/>
                      <w:szCs w:val="21"/>
                      <w:highlight w:val="none"/>
                    </w:rPr>
                  </w:pPr>
                  <w:r>
                    <w:rPr>
                      <w:color w:val="auto"/>
                      <w:szCs w:val="21"/>
                      <w:highlight w:val="none"/>
                    </w:rPr>
                    <w:t>声环境质量标准》（GB3096-2008）</w:t>
                  </w:r>
                  <w:r>
                    <w:rPr>
                      <w:rFonts w:hint="eastAsia"/>
                      <w:color w:val="auto"/>
                      <w:szCs w:val="21"/>
                      <w:highlight w:val="none"/>
                      <w:lang w:val="en-US" w:eastAsia="zh-CN"/>
                    </w:rPr>
                    <w:t>2</w:t>
                  </w:r>
                  <w:r>
                    <w:rPr>
                      <w:color w:val="auto"/>
                      <w:szCs w:val="21"/>
                      <w:highlight w:val="none"/>
                    </w:rPr>
                    <w:t>类</w:t>
                  </w:r>
                </w:p>
              </w:tc>
            </w:tr>
            <w:tr w14:paraId="0B915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872" w:type="dxa"/>
                  <w:tcBorders>
                    <w:tl2br w:val="nil"/>
                    <w:tr2bl w:val="nil"/>
                  </w:tcBorders>
                  <w:noWrap w:val="0"/>
                  <w:vAlign w:val="center"/>
                </w:tcPr>
                <w:p w14:paraId="2AE5E176">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地表水环境</w:t>
                  </w:r>
                </w:p>
              </w:tc>
              <w:tc>
                <w:tcPr>
                  <w:tcW w:w="1133" w:type="dxa"/>
                  <w:tcBorders>
                    <w:tl2br w:val="nil"/>
                    <w:tr2bl w:val="nil"/>
                  </w:tcBorders>
                  <w:noWrap w:val="0"/>
                  <w:vAlign w:val="center"/>
                </w:tcPr>
                <w:p w14:paraId="3A7F7985">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color w:val="auto"/>
                      <w:szCs w:val="21"/>
                      <w:highlight w:val="none"/>
                      <w:u w:val="none"/>
                      <w:lang w:val="en-US" w:eastAsia="zh-CN"/>
                    </w:rPr>
                  </w:pPr>
                  <w:r>
                    <w:rPr>
                      <w:rFonts w:hint="eastAsia"/>
                      <w:color w:val="auto"/>
                      <w:szCs w:val="21"/>
                      <w:highlight w:val="none"/>
                      <w:u w:val="none"/>
                      <w:lang w:val="en-US" w:eastAsia="zh-CN"/>
                    </w:rPr>
                    <w:t>灰河</w:t>
                  </w:r>
                </w:p>
              </w:tc>
              <w:tc>
                <w:tcPr>
                  <w:tcW w:w="870" w:type="dxa"/>
                  <w:tcBorders>
                    <w:tl2br w:val="nil"/>
                    <w:tr2bl w:val="nil"/>
                  </w:tcBorders>
                  <w:noWrap w:val="0"/>
                  <w:vAlign w:val="center"/>
                </w:tcPr>
                <w:p w14:paraId="3D63CEAA">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eastAsia" w:eastAsia="宋体" w:cs="Times New Roman"/>
                      <w:color w:val="auto"/>
                      <w:kern w:val="2"/>
                      <w:sz w:val="21"/>
                      <w:szCs w:val="21"/>
                      <w:highlight w:val="none"/>
                      <w:u w:val="none"/>
                      <w:lang w:val="en-US" w:eastAsia="zh-CN" w:bidi="ar-SA"/>
                    </w:rPr>
                    <w:t>/</w:t>
                  </w:r>
                </w:p>
              </w:tc>
              <w:tc>
                <w:tcPr>
                  <w:tcW w:w="881" w:type="dxa"/>
                  <w:tcBorders>
                    <w:tl2br w:val="nil"/>
                    <w:tr2bl w:val="nil"/>
                  </w:tcBorders>
                  <w:noWrap w:val="0"/>
                  <w:vAlign w:val="center"/>
                </w:tcPr>
                <w:p w14:paraId="72B043D8">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eastAsia" w:eastAsia="宋体" w:cs="Times New Roman"/>
                      <w:color w:val="auto"/>
                      <w:kern w:val="2"/>
                      <w:sz w:val="21"/>
                      <w:szCs w:val="21"/>
                      <w:highlight w:val="none"/>
                      <w:u w:val="none"/>
                      <w:lang w:val="en-US" w:eastAsia="zh-CN" w:bidi="ar-SA"/>
                    </w:rPr>
                    <w:t>/</w:t>
                  </w:r>
                </w:p>
              </w:tc>
              <w:tc>
                <w:tcPr>
                  <w:tcW w:w="535" w:type="dxa"/>
                  <w:tcBorders>
                    <w:tl2br w:val="nil"/>
                    <w:tr2bl w:val="nil"/>
                  </w:tcBorders>
                  <w:noWrap w:val="0"/>
                  <w:vAlign w:val="center"/>
                </w:tcPr>
                <w:p w14:paraId="7D22F7CA">
                  <w:pPr>
                    <w:keepNext w:val="0"/>
                    <w:keepLines w:val="0"/>
                    <w:pageBreakBefore w:val="0"/>
                    <w:widowControl w:val="0"/>
                    <w:kinsoku/>
                    <w:overflowPunct/>
                    <w:topLinePunct w:val="0"/>
                    <w:autoSpaceDE/>
                    <w:autoSpaceDN/>
                    <w:bidi w:val="0"/>
                    <w:spacing w:line="240" w:lineRule="auto"/>
                    <w:jc w:val="center"/>
                    <w:textAlignment w:val="auto"/>
                    <w:rPr>
                      <w:rFonts w:hint="default"/>
                      <w:color w:val="auto"/>
                      <w:szCs w:val="21"/>
                      <w:highlight w:val="none"/>
                      <w:u w:val="none"/>
                      <w:lang w:val="en-US" w:eastAsia="zh-CN"/>
                    </w:rPr>
                  </w:pPr>
                  <w:r>
                    <w:rPr>
                      <w:rFonts w:hint="eastAsia"/>
                      <w:color w:val="auto"/>
                      <w:szCs w:val="21"/>
                      <w:highlight w:val="none"/>
                      <w:u w:val="none"/>
                      <w:lang w:val="en-US" w:eastAsia="zh-CN"/>
                    </w:rPr>
                    <w:t>北</w:t>
                  </w:r>
                </w:p>
              </w:tc>
              <w:tc>
                <w:tcPr>
                  <w:tcW w:w="824" w:type="dxa"/>
                  <w:tcBorders>
                    <w:tl2br w:val="nil"/>
                    <w:tr2bl w:val="nil"/>
                  </w:tcBorders>
                  <w:noWrap w:val="0"/>
                  <w:vAlign w:val="center"/>
                </w:tcPr>
                <w:p w14:paraId="683909AA">
                  <w:pPr>
                    <w:keepNext w:val="0"/>
                    <w:keepLines w:val="0"/>
                    <w:pageBreakBefore w:val="0"/>
                    <w:widowControl w:val="0"/>
                    <w:kinsoku/>
                    <w:overflowPunct/>
                    <w:topLinePunct w:val="0"/>
                    <w:autoSpaceDE/>
                    <w:autoSpaceDN/>
                    <w:bidi w:val="0"/>
                    <w:spacing w:line="240" w:lineRule="auto"/>
                    <w:jc w:val="center"/>
                    <w:textAlignment w:val="auto"/>
                    <w:rPr>
                      <w:rFonts w:hint="default" w:eastAsia="宋体"/>
                      <w:color w:val="auto"/>
                      <w:szCs w:val="21"/>
                      <w:highlight w:val="none"/>
                      <w:u w:val="none"/>
                      <w:lang w:val="en-US" w:eastAsia="zh-CN"/>
                    </w:rPr>
                  </w:pPr>
                  <w:r>
                    <w:rPr>
                      <w:rFonts w:hint="eastAsia"/>
                      <w:color w:val="auto"/>
                      <w:szCs w:val="21"/>
                      <w:highlight w:val="none"/>
                      <w:u w:val="none"/>
                      <w:lang w:val="en-US" w:eastAsia="zh-CN"/>
                    </w:rPr>
                    <w:t>570m</w:t>
                  </w:r>
                </w:p>
              </w:tc>
              <w:tc>
                <w:tcPr>
                  <w:tcW w:w="959" w:type="dxa"/>
                  <w:tcBorders>
                    <w:tl2br w:val="nil"/>
                    <w:tr2bl w:val="nil"/>
                  </w:tcBorders>
                  <w:noWrap w:val="0"/>
                  <w:vAlign w:val="center"/>
                </w:tcPr>
                <w:p w14:paraId="0D94F940">
                  <w:pPr>
                    <w:keepNext w:val="0"/>
                    <w:keepLines w:val="0"/>
                    <w:pageBreakBefore w:val="0"/>
                    <w:widowControl w:val="0"/>
                    <w:kinsoku/>
                    <w:overflowPunct/>
                    <w:topLinePunct w:val="0"/>
                    <w:autoSpaceDE/>
                    <w:autoSpaceDN/>
                    <w:bidi w:val="0"/>
                    <w:spacing w:line="240" w:lineRule="auto"/>
                    <w:jc w:val="center"/>
                    <w:textAlignment w:val="auto"/>
                    <w:rPr>
                      <w:color w:val="auto"/>
                      <w:szCs w:val="21"/>
                      <w:highlight w:val="none"/>
                      <w:u w:val="none"/>
                    </w:rPr>
                  </w:pPr>
                  <w:r>
                    <w:rPr>
                      <w:color w:val="auto"/>
                      <w:szCs w:val="21"/>
                      <w:highlight w:val="none"/>
                      <w:u w:val="none"/>
                    </w:rPr>
                    <w:t>/</w:t>
                  </w:r>
                </w:p>
              </w:tc>
              <w:tc>
                <w:tcPr>
                  <w:tcW w:w="2076" w:type="dxa"/>
                  <w:tcBorders>
                    <w:tl2br w:val="nil"/>
                    <w:tr2bl w:val="nil"/>
                  </w:tcBorders>
                  <w:noWrap w:val="0"/>
                  <w:vAlign w:val="center"/>
                </w:tcPr>
                <w:p w14:paraId="1BC7112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color w:val="auto"/>
                      <w:szCs w:val="21"/>
                      <w:highlight w:val="none"/>
                      <w:u w:val="none"/>
                    </w:rPr>
                  </w:pPr>
                  <w:r>
                    <w:rPr>
                      <w:color w:val="auto"/>
                      <w:sz w:val="21"/>
                      <w:szCs w:val="21"/>
                      <w:highlight w:val="none"/>
                      <w:u w:val="none"/>
                    </w:rPr>
                    <w:t>《地表水环境质量标准》(GB3838-2002)</w:t>
                  </w:r>
                  <w:r>
                    <w:rPr>
                      <w:rFonts w:hint="eastAsia"/>
                      <w:sz w:val="21"/>
                      <w:szCs w:val="21"/>
                      <w:highlight w:val="none"/>
                    </w:rPr>
                    <w:t>IV</w:t>
                  </w:r>
                  <w:r>
                    <w:rPr>
                      <w:sz w:val="21"/>
                      <w:szCs w:val="21"/>
                      <w:highlight w:val="none"/>
                    </w:rPr>
                    <w:t>类标准</w:t>
                  </w:r>
                  <w:r>
                    <w:rPr>
                      <w:color w:val="auto"/>
                      <w:sz w:val="21"/>
                      <w:szCs w:val="21"/>
                      <w:highlight w:val="none"/>
                      <w:u w:val="none"/>
                    </w:rPr>
                    <w:t>类</w:t>
                  </w:r>
                </w:p>
              </w:tc>
            </w:tr>
            <w:tr w14:paraId="5CDFF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872" w:type="dxa"/>
                  <w:tcBorders>
                    <w:tl2br w:val="nil"/>
                    <w:tr2bl w:val="nil"/>
                  </w:tcBorders>
                  <w:noWrap w:val="0"/>
                  <w:vAlign w:val="center"/>
                </w:tcPr>
                <w:p w14:paraId="17227E56">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地下水环境</w:t>
                  </w:r>
                </w:p>
              </w:tc>
              <w:tc>
                <w:tcPr>
                  <w:tcW w:w="5202" w:type="dxa"/>
                  <w:gridSpan w:val="6"/>
                  <w:tcBorders>
                    <w:tl2br w:val="nil"/>
                    <w:tr2bl w:val="nil"/>
                  </w:tcBorders>
                  <w:noWrap w:val="0"/>
                  <w:vAlign w:val="center"/>
                </w:tcPr>
                <w:p w14:paraId="2599BFA2">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0"/>
                      <w:szCs w:val="21"/>
                      <w:highlight w:val="none"/>
                      <w:u w:val="none"/>
                    </w:rPr>
                  </w:pPr>
                  <w:r>
                    <w:rPr>
                      <w:rFonts w:hint="default" w:ascii="Times New Roman" w:hAnsi="Times New Roman" w:cs="Times New Roman"/>
                      <w:b w:val="0"/>
                      <w:bCs w:val="0"/>
                      <w:color w:val="auto"/>
                      <w:kern w:val="0"/>
                      <w:szCs w:val="21"/>
                      <w:highlight w:val="none"/>
                      <w:u w:val="none"/>
                    </w:rPr>
                    <w:t>厂界外500米范围内</w:t>
                  </w:r>
                  <w:r>
                    <w:rPr>
                      <w:rStyle w:val="29"/>
                      <w:rFonts w:hint="default" w:ascii="Times New Roman" w:hAnsi="Times New Roman" w:cs="Times New Roman"/>
                      <w:b w:val="0"/>
                      <w:bCs w:val="0"/>
                      <w:color w:val="auto"/>
                      <w:kern w:val="0"/>
                      <w:szCs w:val="20"/>
                      <w:highlight w:val="none"/>
                      <w:u w:val="none"/>
                      <w:lang w:eastAsia="zh-CN"/>
                    </w:rPr>
                    <w:t>无</w:t>
                  </w:r>
                  <w:r>
                    <w:rPr>
                      <w:rFonts w:hint="default" w:ascii="Times New Roman" w:hAnsi="Times New Roman" w:cs="Times New Roman"/>
                      <w:b w:val="0"/>
                      <w:bCs w:val="0"/>
                      <w:color w:val="auto"/>
                      <w:kern w:val="0"/>
                      <w:szCs w:val="21"/>
                      <w:highlight w:val="none"/>
                      <w:u w:val="none"/>
                    </w:rPr>
                    <w:t>地下水集中式饮用水水源</w:t>
                  </w:r>
                </w:p>
                <w:p w14:paraId="7ACA0287">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0"/>
                      <w:szCs w:val="21"/>
                      <w:highlight w:val="none"/>
                      <w:u w:val="none"/>
                    </w:rPr>
                  </w:pPr>
                  <w:r>
                    <w:rPr>
                      <w:rFonts w:hint="default" w:ascii="Times New Roman" w:hAnsi="Times New Roman" w:cs="Times New Roman"/>
                      <w:b w:val="0"/>
                      <w:bCs w:val="0"/>
                      <w:color w:val="auto"/>
                      <w:kern w:val="0"/>
                      <w:szCs w:val="21"/>
                      <w:highlight w:val="none"/>
                      <w:u w:val="none"/>
                    </w:rPr>
                    <w:t>和热水、矿泉水、温泉等特殊地下水资源等地下水</w:t>
                  </w:r>
                </w:p>
                <w:p w14:paraId="7C1DF4B1">
                  <w:pPr>
                    <w:keepNext w:val="0"/>
                    <w:keepLines w:val="0"/>
                    <w:pageBreakBefore w:val="0"/>
                    <w:widowControl w:val="0"/>
                    <w:kinsoku/>
                    <w:overflowPunct/>
                    <w:topLinePunct w:val="0"/>
                    <w:autoSpaceDE/>
                    <w:autoSpaceDN/>
                    <w:bidi w:val="0"/>
                    <w:spacing w:line="240" w:lineRule="auto"/>
                    <w:jc w:val="center"/>
                    <w:textAlignment w:val="auto"/>
                    <w:rPr>
                      <w:color w:val="auto"/>
                      <w:szCs w:val="21"/>
                      <w:highlight w:val="none"/>
                      <w:u w:val="none"/>
                    </w:rPr>
                  </w:pPr>
                  <w:r>
                    <w:rPr>
                      <w:rFonts w:hint="default" w:ascii="Times New Roman" w:hAnsi="Times New Roman" w:cs="Times New Roman"/>
                      <w:b w:val="0"/>
                      <w:bCs w:val="0"/>
                      <w:color w:val="auto"/>
                      <w:kern w:val="0"/>
                      <w:szCs w:val="21"/>
                      <w:highlight w:val="none"/>
                      <w:u w:val="none"/>
                    </w:rPr>
                    <w:t>环境保护目标</w:t>
                  </w:r>
                </w:p>
              </w:tc>
              <w:tc>
                <w:tcPr>
                  <w:tcW w:w="2076" w:type="dxa"/>
                  <w:tcBorders>
                    <w:tl2br w:val="nil"/>
                    <w:tr2bl w:val="nil"/>
                  </w:tcBorders>
                  <w:noWrap w:val="0"/>
                  <w:vAlign w:val="center"/>
                </w:tcPr>
                <w:p w14:paraId="75C8754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bCs/>
                      <w:color w:val="000000"/>
                      <w:sz w:val="21"/>
                      <w:highlight w:val="none"/>
                    </w:rPr>
                  </w:pPr>
                  <w:r>
                    <w:rPr>
                      <w:bCs/>
                      <w:color w:val="000000"/>
                      <w:sz w:val="21"/>
                      <w:highlight w:val="none"/>
                    </w:rPr>
                    <w:t>《地下水质量标准》（GBT14848-2017）</w:t>
                  </w:r>
                </w:p>
                <w:p w14:paraId="3922857D">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ascii="Times New Roman" w:hAnsi="Times New Roman" w:eastAsia="宋体" w:cs="Times New Roman"/>
                      <w:bCs/>
                      <w:color w:val="000000"/>
                      <w:kern w:val="2"/>
                      <w:sz w:val="21"/>
                      <w:highlight w:val="none"/>
                      <w:lang w:val="en-US" w:eastAsia="zh-CN" w:bidi="ar-SA"/>
                    </w:rPr>
                  </w:pPr>
                  <w:r>
                    <w:rPr>
                      <w:bCs/>
                      <w:color w:val="000000"/>
                      <w:sz w:val="21"/>
                      <w:highlight w:val="none"/>
                    </w:rPr>
                    <w:t>III类标准</w:t>
                  </w:r>
                </w:p>
              </w:tc>
            </w:tr>
            <w:tr w14:paraId="2C76D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872" w:type="dxa"/>
                  <w:tcBorders>
                    <w:tl2br w:val="nil"/>
                    <w:tr2bl w:val="nil"/>
                  </w:tcBorders>
                  <w:noWrap w:val="0"/>
                  <w:vAlign w:val="center"/>
                </w:tcPr>
                <w:p w14:paraId="4098E889">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eastAsia"/>
                      <w:color w:val="auto"/>
                      <w:szCs w:val="21"/>
                      <w:highlight w:val="none"/>
                      <w:lang w:val="en-US" w:eastAsia="zh-CN"/>
                    </w:rPr>
                  </w:pPr>
                  <w:r>
                    <w:rPr>
                      <w:rFonts w:hint="eastAsia"/>
                      <w:color w:val="auto"/>
                      <w:szCs w:val="21"/>
                      <w:highlight w:val="none"/>
                      <w:lang w:val="en-US" w:eastAsia="zh-CN"/>
                    </w:rPr>
                    <w:t>生态</w:t>
                  </w:r>
                </w:p>
                <w:p w14:paraId="3FE5399A">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color w:val="auto"/>
                      <w:szCs w:val="21"/>
                      <w:highlight w:val="none"/>
                      <w:lang w:val="en-US" w:eastAsia="zh-CN"/>
                    </w:rPr>
                  </w:pPr>
                  <w:r>
                    <w:rPr>
                      <w:rFonts w:hint="eastAsia"/>
                      <w:color w:val="auto"/>
                      <w:szCs w:val="21"/>
                      <w:highlight w:val="none"/>
                      <w:lang w:val="en-US" w:eastAsia="zh-CN"/>
                    </w:rPr>
                    <w:t>环境</w:t>
                  </w:r>
                </w:p>
              </w:tc>
              <w:tc>
                <w:tcPr>
                  <w:tcW w:w="7278" w:type="dxa"/>
                  <w:gridSpan w:val="7"/>
                  <w:tcBorders>
                    <w:tl2br w:val="nil"/>
                    <w:tr2bl w:val="nil"/>
                  </w:tcBorders>
                  <w:noWrap w:val="0"/>
                  <w:vAlign w:val="center"/>
                </w:tcPr>
                <w:p w14:paraId="7A5F237B">
                  <w:pPr>
                    <w:keepNext w:val="0"/>
                    <w:keepLines w:val="0"/>
                    <w:pageBreakBefore w:val="0"/>
                    <w:widowControl w:val="0"/>
                    <w:kinsoku/>
                    <w:overflowPunct/>
                    <w:topLinePunct w:val="0"/>
                    <w:autoSpaceDE/>
                    <w:autoSpaceDN/>
                    <w:bidi w:val="0"/>
                    <w:spacing w:line="240" w:lineRule="auto"/>
                    <w:jc w:val="center"/>
                    <w:textAlignment w:val="auto"/>
                    <w:rPr>
                      <w:color w:val="auto"/>
                      <w:szCs w:val="21"/>
                      <w:highlight w:val="none"/>
                      <w:u w:val="none"/>
                    </w:rPr>
                  </w:pPr>
                  <w:r>
                    <w:rPr>
                      <w:bCs/>
                      <w:color w:val="000000"/>
                      <w:sz w:val="21"/>
                      <w:highlight w:val="none"/>
                    </w:rPr>
                    <w:t>本项目周边无生态特殊及重要敏感区，项目建设不涉及自然保护区、风景名胜区、地质公园等环境敏感区</w:t>
                  </w:r>
                </w:p>
              </w:tc>
            </w:tr>
          </w:tbl>
          <w:p w14:paraId="405443CF">
            <w:pPr>
              <w:pStyle w:val="35"/>
              <w:rPr>
                <w:rFonts w:ascii="Calibri" w:hAnsi="Calibri" w:cs="宋体"/>
                <w:highlight w:val="none"/>
              </w:rPr>
            </w:pPr>
          </w:p>
        </w:tc>
      </w:tr>
      <w:tr w14:paraId="2B0AF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4" w:hRule="atLeast"/>
          <w:jc w:val="center"/>
        </w:trPr>
        <w:tc>
          <w:tcPr>
            <w:tcW w:w="637" w:type="dxa"/>
            <w:noWrap w:val="0"/>
            <w:tcMar>
              <w:left w:w="28" w:type="dxa"/>
              <w:right w:w="28" w:type="dxa"/>
            </w:tcMar>
            <w:vAlign w:val="center"/>
          </w:tcPr>
          <w:p w14:paraId="1BAC8759">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污染</w:t>
            </w:r>
          </w:p>
          <w:p w14:paraId="389D1F42">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物排</w:t>
            </w:r>
          </w:p>
          <w:p w14:paraId="18173A77">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放控</w:t>
            </w:r>
          </w:p>
          <w:p w14:paraId="4B85DEE4">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制标</w:t>
            </w:r>
          </w:p>
          <w:p w14:paraId="1B7B2B79">
            <w:pPr>
              <w:adjustRightInd w:val="0"/>
              <w:snapToGrid w:val="0"/>
              <w:jc w:val="center"/>
              <w:rPr>
                <w:rFonts w:ascii="宋体" w:hAnsi="宋体" w:cs="宋体"/>
                <w:b/>
                <w:kern w:val="0"/>
                <w:sz w:val="24"/>
                <w:highlight w:val="none"/>
              </w:rPr>
            </w:pPr>
            <w:r>
              <w:rPr>
                <w:rFonts w:hint="eastAsia" w:ascii="宋体" w:hAnsi="宋体" w:cs="宋体"/>
                <w:b/>
                <w:kern w:val="0"/>
                <w:sz w:val="24"/>
                <w:highlight w:val="none"/>
              </w:rPr>
              <w:t>准</w:t>
            </w:r>
          </w:p>
        </w:tc>
        <w:tc>
          <w:tcPr>
            <w:tcW w:w="8353" w:type="dxa"/>
            <w:noWrap w:val="0"/>
            <w:vAlign w:val="center"/>
          </w:tcPr>
          <w:p w14:paraId="01B00540">
            <w:pPr>
              <w:pStyle w:val="7"/>
              <w:keepNext w:val="0"/>
              <w:keepLines w:val="0"/>
              <w:pageBreakBefore w:val="0"/>
              <w:widowControl w:val="0"/>
              <w:kinsoku/>
              <w:wordWrap/>
              <w:overflowPunct/>
              <w:topLinePunct w:val="0"/>
              <w:autoSpaceDE/>
              <w:autoSpaceDN/>
              <w:bidi w:val="0"/>
              <w:adjustRightInd/>
              <w:snapToGrid/>
              <w:spacing w:line="500" w:lineRule="exact"/>
              <w:ind w:firstLine="470" w:firstLineChars="196"/>
              <w:jc w:val="center"/>
              <w:textAlignment w:val="auto"/>
              <w:rPr>
                <w:rFonts w:hint="eastAsia" w:ascii="Times New Roman" w:hAnsi="黑体" w:eastAsia="黑体" w:cs="Times New Roman"/>
                <w:color w:val="auto"/>
                <w:kern w:val="2"/>
                <w:sz w:val="24"/>
                <w:highlight w:val="none"/>
                <w:lang w:val="en-US" w:eastAsia="zh-CN" w:bidi="ar-SA"/>
              </w:rPr>
            </w:pPr>
            <w:r>
              <w:rPr>
                <w:rFonts w:hint="eastAsia" w:ascii="Times New Roman" w:hAnsi="黑体" w:eastAsia="黑体" w:cs="Times New Roman"/>
                <w:color w:val="auto"/>
                <w:kern w:val="2"/>
                <w:sz w:val="24"/>
                <w:highlight w:val="none"/>
                <w:lang w:val="en-US" w:eastAsia="zh-CN" w:bidi="ar-SA"/>
              </w:rPr>
              <w:t>表</w:t>
            </w:r>
            <w:r>
              <w:rPr>
                <w:rFonts w:hint="eastAsia" w:hAnsi="黑体" w:eastAsia="黑体" w:cs="Times New Roman"/>
                <w:color w:val="auto"/>
                <w:kern w:val="2"/>
                <w:sz w:val="24"/>
                <w:highlight w:val="none"/>
                <w:lang w:val="en-US" w:eastAsia="zh-CN" w:bidi="ar-SA"/>
              </w:rPr>
              <w:t>3-5</w:t>
            </w:r>
            <w:r>
              <w:rPr>
                <w:rFonts w:hint="eastAsia" w:ascii="Times New Roman" w:hAnsi="黑体" w:eastAsia="黑体" w:cs="Times New Roman"/>
                <w:color w:val="auto"/>
                <w:kern w:val="2"/>
                <w:sz w:val="24"/>
                <w:highlight w:val="none"/>
                <w:lang w:val="en-US" w:eastAsia="zh-CN" w:bidi="ar-SA"/>
              </w:rPr>
              <w:t xml:space="preserve"> 污染物排放标准限值</w:t>
            </w:r>
          </w:p>
          <w:tbl>
            <w:tblPr>
              <w:tblStyle w:val="24"/>
              <w:tblW w:w="80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
              <w:gridCol w:w="3601"/>
              <w:gridCol w:w="758"/>
              <w:gridCol w:w="2869"/>
            </w:tblGrid>
            <w:tr w14:paraId="00171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70" w:type="dxa"/>
                  <w:tcBorders>
                    <w:tl2br w:val="nil"/>
                    <w:tr2bl w:val="nil"/>
                  </w:tcBorders>
                  <w:noWrap w:val="0"/>
                  <w:vAlign w:val="center"/>
                </w:tcPr>
                <w:p w14:paraId="0D09C5E2">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ascii="Times New Roman" w:hAnsi="Times New Roman" w:eastAsia="宋体" w:cs="Times New Roman"/>
                      <w:b/>
                      <w:color w:val="auto"/>
                      <w:kern w:val="2"/>
                      <w:sz w:val="21"/>
                      <w:szCs w:val="21"/>
                      <w:highlight w:val="none"/>
                      <w:lang w:val="en-US" w:eastAsia="zh-CN" w:bidi="ar-SA"/>
                    </w:rPr>
                  </w:pPr>
                  <w:r>
                    <w:rPr>
                      <w:rFonts w:hint="eastAsia"/>
                      <w:b/>
                      <w:color w:val="auto"/>
                      <w:sz w:val="21"/>
                      <w:szCs w:val="21"/>
                      <w:highlight w:val="none"/>
                    </w:rPr>
                    <w:t>污染物</w:t>
                  </w:r>
                </w:p>
              </w:tc>
              <w:tc>
                <w:tcPr>
                  <w:tcW w:w="3601" w:type="dxa"/>
                  <w:tcBorders>
                    <w:tl2br w:val="nil"/>
                    <w:tr2bl w:val="nil"/>
                  </w:tcBorders>
                  <w:noWrap w:val="0"/>
                  <w:vAlign w:val="center"/>
                </w:tcPr>
                <w:p w14:paraId="7FC0108D">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ascii="Times New Roman" w:hAnsi="Times New Roman" w:eastAsia="宋体" w:cs="Times New Roman"/>
                      <w:b/>
                      <w:color w:val="auto"/>
                      <w:kern w:val="2"/>
                      <w:sz w:val="21"/>
                      <w:szCs w:val="21"/>
                      <w:highlight w:val="none"/>
                      <w:lang w:val="en-US" w:eastAsia="zh-CN" w:bidi="ar-SA"/>
                    </w:rPr>
                  </w:pPr>
                  <w:r>
                    <w:rPr>
                      <w:rFonts w:hint="eastAsia"/>
                      <w:b/>
                      <w:color w:val="auto"/>
                      <w:sz w:val="21"/>
                      <w:szCs w:val="21"/>
                      <w:highlight w:val="none"/>
                    </w:rPr>
                    <w:t>标准名称及级别</w:t>
                  </w:r>
                </w:p>
              </w:tc>
              <w:tc>
                <w:tcPr>
                  <w:tcW w:w="758" w:type="dxa"/>
                  <w:tcBorders>
                    <w:tl2br w:val="nil"/>
                    <w:tr2bl w:val="nil"/>
                  </w:tcBorders>
                  <w:noWrap w:val="0"/>
                  <w:vAlign w:val="center"/>
                </w:tcPr>
                <w:p w14:paraId="0497649E">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b/>
                      <w:color w:val="auto"/>
                      <w:sz w:val="21"/>
                      <w:szCs w:val="21"/>
                      <w:highlight w:val="none"/>
                    </w:rPr>
                  </w:pPr>
                  <w:r>
                    <w:rPr>
                      <w:rFonts w:hint="eastAsia"/>
                      <w:b/>
                      <w:color w:val="auto"/>
                      <w:sz w:val="21"/>
                      <w:szCs w:val="21"/>
                      <w:highlight w:val="none"/>
                    </w:rPr>
                    <w:t>污染</w:t>
                  </w:r>
                </w:p>
                <w:p w14:paraId="6E82F037">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ascii="Times New Roman" w:hAnsi="Times New Roman" w:eastAsia="宋体" w:cs="Times New Roman"/>
                      <w:b/>
                      <w:color w:val="auto"/>
                      <w:kern w:val="2"/>
                      <w:sz w:val="21"/>
                      <w:szCs w:val="21"/>
                      <w:highlight w:val="none"/>
                      <w:lang w:val="en-US" w:eastAsia="zh-CN" w:bidi="ar-SA"/>
                    </w:rPr>
                  </w:pPr>
                  <w:r>
                    <w:rPr>
                      <w:rFonts w:hint="eastAsia"/>
                      <w:b/>
                      <w:color w:val="auto"/>
                      <w:sz w:val="21"/>
                      <w:szCs w:val="21"/>
                      <w:highlight w:val="none"/>
                    </w:rPr>
                    <w:t>因子</w:t>
                  </w:r>
                </w:p>
              </w:tc>
              <w:tc>
                <w:tcPr>
                  <w:tcW w:w="2869" w:type="dxa"/>
                  <w:tcBorders>
                    <w:tl2br w:val="nil"/>
                    <w:tr2bl w:val="nil"/>
                  </w:tcBorders>
                  <w:noWrap w:val="0"/>
                  <w:vAlign w:val="center"/>
                </w:tcPr>
                <w:p w14:paraId="2F3DE642">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ascii="Times New Roman" w:hAnsi="Times New Roman" w:eastAsia="宋体" w:cs="Times New Roman"/>
                      <w:b/>
                      <w:color w:val="auto"/>
                      <w:kern w:val="2"/>
                      <w:sz w:val="21"/>
                      <w:szCs w:val="21"/>
                      <w:highlight w:val="none"/>
                      <w:lang w:val="en-US" w:eastAsia="zh-CN" w:bidi="ar-SA"/>
                    </w:rPr>
                  </w:pPr>
                  <w:r>
                    <w:rPr>
                      <w:rFonts w:hint="eastAsia"/>
                      <w:b/>
                      <w:color w:val="auto"/>
                      <w:sz w:val="21"/>
                      <w:szCs w:val="21"/>
                      <w:highlight w:val="none"/>
                    </w:rPr>
                    <w:t>标准限值</w:t>
                  </w:r>
                </w:p>
              </w:tc>
            </w:tr>
            <w:tr w14:paraId="38B6F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870" w:type="dxa"/>
                  <w:vMerge w:val="restart"/>
                  <w:tcBorders>
                    <w:tl2br w:val="nil"/>
                    <w:tr2bl w:val="nil"/>
                  </w:tcBorders>
                  <w:noWrap w:val="0"/>
                  <w:vAlign w:val="center"/>
                </w:tcPr>
                <w:p w14:paraId="5EAF43C3">
                  <w:pPr>
                    <w:keepNext w:val="0"/>
                    <w:keepLines w:val="0"/>
                    <w:widowControl/>
                    <w:numPr>
                      <w:ilvl w:val="0"/>
                      <w:numId w:val="0"/>
                    </w:numPr>
                    <w:suppressLineNumbers w:val="0"/>
                    <w:spacing w:line="360" w:lineRule="auto"/>
                    <w:jc w:val="center"/>
                    <w:rPr>
                      <w:rFonts w:hint="default" w:eastAsia="宋体"/>
                      <w:szCs w:val="22"/>
                      <w:highlight w:val="none"/>
                      <w:vertAlign w:val="baseline"/>
                      <w:lang w:val="en-US" w:eastAsia="zh-CN"/>
                    </w:rPr>
                  </w:pPr>
                  <w:r>
                    <w:rPr>
                      <w:rFonts w:hint="eastAsia"/>
                      <w:szCs w:val="22"/>
                      <w:highlight w:val="none"/>
                      <w:vertAlign w:val="baseline"/>
                      <w:lang w:val="en-US" w:eastAsia="zh-CN"/>
                    </w:rPr>
                    <w:t>废气</w:t>
                  </w:r>
                </w:p>
              </w:tc>
              <w:tc>
                <w:tcPr>
                  <w:tcW w:w="3601" w:type="dxa"/>
                  <w:vMerge w:val="restart"/>
                  <w:tcBorders>
                    <w:tl2br w:val="nil"/>
                    <w:tr2bl w:val="nil"/>
                  </w:tcBorders>
                  <w:noWrap w:val="0"/>
                  <w:vAlign w:val="center"/>
                </w:tcPr>
                <w:p w14:paraId="7AAF957B">
                  <w:pPr>
                    <w:pStyle w:val="10"/>
                    <w:jc w:val="center"/>
                    <w:rPr>
                      <w:rFonts w:hint="eastAsia"/>
                      <w:highlight w:val="none"/>
                      <w:lang w:val="en-US" w:eastAsia="zh-CN"/>
                    </w:rPr>
                  </w:pPr>
                  <w:r>
                    <w:rPr>
                      <w:rFonts w:ascii="Times New Roman" w:hAnsi="Times New Roman" w:cs="Times New Roman"/>
                      <w:b w:val="0"/>
                      <w:bCs w:val="0"/>
                      <w:color w:val="auto"/>
                      <w:sz w:val="21"/>
                      <w:szCs w:val="21"/>
                      <w:highlight w:val="none"/>
                    </w:rPr>
                    <w:t>《大气污染物综合排放标准》（GB16297-1996）</w:t>
                  </w:r>
                </w:p>
              </w:tc>
              <w:tc>
                <w:tcPr>
                  <w:tcW w:w="758" w:type="dxa"/>
                  <w:vMerge w:val="restart"/>
                  <w:tcBorders>
                    <w:tl2br w:val="nil"/>
                    <w:tr2bl w:val="nil"/>
                  </w:tcBorders>
                  <w:shd w:val="clear" w:color="auto" w:fill="auto"/>
                  <w:noWrap w:val="0"/>
                  <w:vAlign w:val="center"/>
                </w:tcPr>
                <w:p w14:paraId="3213A138">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b w:val="0"/>
                      <w:bCs/>
                      <w:color w:val="auto"/>
                      <w:sz w:val="21"/>
                      <w:szCs w:val="21"/>
                      <w:highlight w:val="none"/>
                      <w:lang w:val="en-US" w:eastAsia="zh-CN"/>
                    </w:rPr>
                  </w:pPr>
                  <w:r>
                    <w:rPr>
                      <w:rFonts w:hint="eastAsia"/>
                      <w:b w:val="0"/>
                      <w:bCs/>
                      <w:color w:val="auto"/>
                      <w:sz w:val="21"/>
                      <w:szCs w:val="21"/>
                      <w:highlight w:val="none"/>
                      <w:lang w:val="en-US" w:eastAsia="zh-CN"/>
                    </w:rPr>
                    <w:t>颗粒物</w:t>
                  </w:r>
                </w:p>
              </w:tc>
              <w:tc>
                <w:tcPr>
                  <w:tcW w:w="2869" w:type="dxa"/>
                  <w:tcBorders>
                    <w:tl2br w:val="nil"/>
                    <w:tr2bl w:val="nil"/>
                  </w:tcBorders>
                  <w:shd w:val="clear" w:color="auto" w:fill="auto"/>
                  <w:noWrap w:val="0"/>
                  <w:vAlign w:val="center"/>
                </w:tcPr>
                <w:p w14:paraId="1578C763">
                  <w:pPr>
                    <w:keepNext w:val="0"/>
                    <w:keepLines w:val="0"/>
                    <w:pageBreakBefore w:val="0"/>
                    <w:widowControl w:val="0"/>
                    <w:kinsoku/>
                    <w:wordWrap w:val="0"/>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cs="Times New Roman"/>
                      <w:b w:val="0"/>
                      <w:bCs w:val="0"/>
                      <w:color w:val="auto"/>
                      <w:sz w:val="21"/>
                      <w:szCs w:val="21"/>
                      <w:highlight w:val="none"/>
                    </w:rPr>
                    <w:t>最高允许排放浓度120mg/m</w:t>
                  </w:r>
                  <w:r>
                    <w:rPr>
                      <w:rFonts w:ascii="Times New Roman" w:hAnsi="Times New Roman" w:cs="Times New Roman"/>
                      <w:b w:val="0"/>
                      <w:bCs w:val="0"/>
                      <w:color w:val="auto"/>
                      <w:sz w:val="21"/>
                      <w:szCs w:val="21"/>
                      <w:highlight w:val="none"/>
                      <w:vertAlign w:val="superscript"/>
                    </w:rPr>
                    <w:t>3</w:t>
                  </w:r>
                  <w:r>
                    <w:rPr>
                      <w:rFonts w:ascii="Times New Roman" w:hAnsi="Times New Roman" w:cs="Times New Roman"/>
                      <w:b w:val="0"/>
                      <w:bCs w:val="0"/>
                      <w:color w:val="auto"/>
                      <w:sz w:val="21"/>
                      <w:szCs w:val="21"/>
                      <w:highlight w:val="none"/>
                    </w:rPr>
                    <w:t>最高允许</w:t>
                  </w:r>
                  <w:r>
                    <w:rPr>
                      <w:rFonts w:ascii="Times New Roman" w:hAnsi="Times New Roman" w:cs="Times New Roman"/>
                      <w:b w:val="0"/>
                      <w:bCs w:val="0"/>
                      <w:color w:val="auto"/>
                      <w:kern w:val="0"/>
                      <w:sz w:val="21"/>
                      <w:szCs w:val="21"/>
                      <w:highlight w:val="none"/>
                    </w:rPr>
                    <w:t>排放速率</w:t>
                  </w:r>
                  <w:r>
                    <w:rPr>
                      <w:rFonts w:ascii="Times New Roman" w:hAnsi="Times New Roman" w:cs="Times New Roman"/>
                      <w:b w:val="0"/>
                      <w:bCs w:val="0"/>
                      <w:color w:val="auto"/>
                      <w:sz w:val="21"/>
                      <w:szCs w:val="21"/>
                      <w:highlight w:val="none"/>
                    </w:rPr>
                    <w:t>3.5kg/h</w:t>
                  </w:r>
                </w:p>
              </w:tc>
            </w:tr>
            <w:tr w14:paraId="58D2C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870" w:type="dxa"/>
                  <w:vMerge w:val="continue"/>
                  <w:tcBorders>
                    <w:tl2br w:val="nil"/>
                    <w:tr2bl w:val="nil"/>
                  </w:tcBorders>
                  <w:noWrap w:val="0"/>
                  <w:vAlign w:val="center"/>
                </w:tcPr>
                <w:p w14:paraId="1266E362">
                  <w:pPr>
                    <w:keepNext w:val="0"/>
                    <w:keepLines w:val="0"/>
                    <w:widowControl/>
                    <w:numPr>
                      <w:ilvl w:val="0"/>
                      <w:numId w:val="0"/>
                    </w:numPr>
                    <w:suppressLineNumbers w:val="0"/>
                    <w:spacing w:line="360" w:lineRule="auto"/>
                    <w:jc w:val="center"/>
                    <w:rPr>
                      <w:rFonts w:hint="eastAsia"/>
                      <w:szCs w:val="22"/>
                      <w:highlight w:val="none"/>
                      <w:vertAlign w:val="baseline"/>
                      <w:lang w:val="en-US" w:eastAsia="zh-CN"/>
                    </w:rPr>
                  </w:pPr>
                </w:p>
              </w:tc>
              <w:tc>
                <w:tcPr>
                  <w:tcW w:w="3601" w:type="dxa"/>
                  <w:vMerge w:val="continue"/>
                  <w:tcBorders>
                    <w:tl2br w:val="nil"/>
                    <w:tr2bl w:val="nil"/>
                  </w:tcBorders>
                  <w:noWrap w:val="0"/>
                  <w:vAlign w:val="center"/>
                </w:tcPr>
                <w:p w14:paraId="7C16BE72">
                  <w:pPr>
                    <w:pStyle w:val="10"/>
                    <w:jc w:val="center"/>
                    <w:rPr>
                      <w:rFonts w:hint="eastAsia"/>
                      <w:highlight w:val="none"/>
                      <w:lang w:val="en-US" w:eastAsia="zh-CN"/>
                    </w:rPr>
                  </w:pPr>
                </w:p>
              </w:tc>
              <w:tc>
                <w:tcPr>
                  <w:tcW w:w="758" w:type="dxa"/>
                  <w:vMerge w:val="continue"/>
                  <w:tcBorders>
                    <w:tl2br w:val="nil"/>
                    <w:tr2bl w:val="nil"/>
                  </w:tcBorders>
                  <w:noWrap w:val="0"/>
                  <w:vAlign w:val="center"/>
                </w:tcPr>
                <w:p w14:paraId="400CF441">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b w:val="0"/>
                      <w:bCs/>
                      <w:color w:val="auto"/>
                      <w:sz w:val="21"/>
                      <w:szCs w:val="21"/>
                      <w:highlight w:val="none"/>
                      <w:lang w:val="en-US" w:eastAsia="zh-CN"/>
                    </w:rPr>
                  </w:pPr>
                </w:p>
              </w:tc>
              <w:tc>
                <w:tcPr>
                  <w:tcW w:w="2869" w:type="dxa"/>
                  <w:tcBorders>
                    <w:tl2br w:val="nil"/>
                    <w:tr2bl w:val="nil"/>
                  </w:tcBorders>
                  <w:shd w:val="clear" w:color="auto" w:fill="auto"/>
                  <w:noWrap w:val="0"/>
                  <w:vAlign w:val="center"/>
                </w:tcPr>
                <w:p w14:paraId="5BF3DAF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cs="Times New Roman"/>
                      <w:b w:val="0"/>
                      <w:bCs w:val="0"/>
                      <w:color w:val="auto"/>
                      <w:sz w:val="21"/>
                      <w:szCs w:val="21"/>
                      <w:highlight w:val="none"/>
                    </w:rPr>
                    <w:t>排气筒高度</w:t>
                  </w:r>
                  <w:r>
                    <w:rPr>
                      <w:rFonts w:hint="eastAsia" w:ascii="Times New Roman" w:hAnsi="Times New Roman" w:cs="Times New Roman"/>
                      <w:b w:val="0"/>
                      <w:bCs w:val="0"/>
                      <w:color w:val="auto"/>
                      <w:sz w:val="21"/>
                      <w:szCs w:val="21"/>
                      <w:highlight w:val="none"/>
                      <w:lang w:eastAsia="zh-CN"/>
                    </w:rPr>
                    <w:t>：</w:t>
                  </w:r>
                  <w:r>
                    <w:rPr>
                      <w:rFonts w:ascii="Times New Roman" w:hAnsi="Times New Roman" w:cs="Times New Roman"/>
                      <w:b w:val="0"/>
                      <w:bCs w:val="0"/>
                      <w:color w:val="auto"/>
                      <w:sz w:val="21"/>
                      <w:szCs w:val="21"/>
                      <w:highlight w:val="none"/>
                    </w:rPr>
                    <w:t>15m</w:t>
                  </w:r>
                </w:p>
              </w:tc>
            </w:tr>
            <w:tr w14:paraId="73EAE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870" w:type="dxa"/>
                  <w:vMerge w:val="continue"/>
                  <w:tcBorders>
                    <w:tl2br w:val="nil"/>
                    <w:tr2bl w:val="nil"/>
                  </w:tcBorders>
                  <w:noWrap w:val="0"/>
                  <w:vAlign w:val="center"/>
                </w:tcPr>
                <w:p w14:paraId="0A625D61">
                  <w:pPr>
                    <w:keepNext w:val="0"/>
                    <w:keepLines w:val="0"/>
                    <w:widowControl/>
                    <w:numPr>
                      <w:ilvl w:val="0"/>
                      <w:numId w:val="0"/>
                    </w:numPr>
                    <w:suppressLineNumbers w:val="0"/>
                    <w:spacing w:line="360" w:lineRule="auto"/>
                    <w:jc w:val="center"/>
                    <w:rPr>
                      <w:rFonts w:hint="eastAsia"/>
                      <w:szCs w:val="22"/>
                      <w:highlight w:val="none"/>
                      <w:vertAlign w:val="baseline"/>
                      <w:lang w:val="en-US" w:eastAsia="zh-CN"/>
                    </w:rPr>
                  </w:pPr>
                </w:p>
              </w:tc>
              <w:tc>
                <w:tcPr>
                  <w:tcW w:w="3601" w:type="dxa"/>
                  <w:vMerge w:val="continue"/>
                  <w:tcBorders>
                    <w:tl2br w:val="nil"/>
                    <w:tr2bl w:val="nil"/>
                  </w:tcBorders>
                  <w:noWrap w:val="0"/>
                  <w:vAlign w:val="center"/>
                </w:tcPr>
                <w:p w14:paraId="16797458">
                  <w:pPr>
                    <w:pStyle w:val="10"/>
                    <w:jc w:val="center"/>
                    <w:rPr>
                      <w:rFonts w:hint="eastAsia"/>
                      <w:highlight w:val="none"/>
                      <w:lang w:val="en-US" w:eastAsia="zh-CN"/>
                    </w:rPr>
                  </w:pPr>
                </w:p>
              </w:tc>
              <w:tc>
                <w:tcPr>
                  <w:tcW w:w="758" w:type="dxa"/>
                  <w:vMerge w:val="continue"/>
                  <w:tcBorders>
                    <w:tl2br w:val="nil"/>
                    <w:tr2bl w:val="nil"/>
                  </w:tcBorders>
                  <w:noWrap w:val="0"/>
                  <w:vAlign w:val="center"/>
                </w:tcPr>
                <w:p w14:paraId="316852E7">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b w:val="0"/>
                      <w:bCs/>
                      <w:color w:val="auto"/>
                      <w:sz w:val="21"/>
                      <w:szCs w:val="21"/>
                      <w:highlight w:val="none"/>
                      <w:lang w:val="en-US" w:eastAsia="zh-CN"/>
                    </w:rPr>
                  </w:pPr>
                </w:p>
              </w:tc>
              <w:tc>
                <w:tcPr>
                  <w:tcW w:w="2869" w:type="dxa"/>
                  <w:tcBorders>
                    <w:tl2br w:val="nil"/>
                    <w:tr2bl w:val="nil"/>
                  </w:tcBorders>
                  <w:shd w:val="clear" w:color="auto" w:fill="auto"/>
                  <w:noWrap w:val="0"/>
                  <w:vAlign w:val="center"/>
                </w:tcPr>
                <w:p w14:paraId="471B7AD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cs="Times New Roman"/>
                      <w:b w:val="0"/>
                      <w:bCs w:val="0"/>
                      <w:color w:val="auto"/>
                      <w:sz w:val="21"/>
                      <w:szCs w:val="21"/>
                      <w:highlight w:val="none"/>
                    </w:rPr>
                  </w:pPr>
                  <w:r>
                    <w:rPr>
                      <w:rFonts w:hint="eastAsia" w:cs="Times New Roman"/>
                      <w:b w:val="0"/>
                      <w:bCs w:val="0"/>
                      <w:color w:val="auto"/>
                      <w:sz w:val="21"/>
                      <w:szCs w:val="21"/>
                      <w:highlight w:val="none"/>
                      <w:lang w:val="en-US" w:eastAsia="zh-CN"/>
                    </w:rPr>
                    <w:t>无组织：</w:t>
                  </w:r>
                  <w:r>
                    <w:rPr>
                      <w:rFonts w:ascii="Times New Roman" w:hAnsi="Times New Roman" w:cs="Times New Roman"/>
                      <w:b w:val="0"/>
                      <w:bCs w:val="0"/>
                      <w:color w:val="auto"/>
                      <w:sz w:val="21"/>
                      <w:szCs w:val="21"/>
                      <w:highlight w:val="none"/>
                    </w:rPr>
                    <w:t>企业边界大气污染物</w:t>
                  </w:r>
                </w:p>
                <w:p w14:paraId="3E88E9B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cs="Times New Roman"/>
                      <w:b w:val="0"/>
                      <w:bCs w:val="0"/>
                      <w:color w:val="auto"/>
                      <w:sz w:val="21"/>
                      <w:szCs w:val="21"/>
                      <w:highlight w:val="none"/>
                    </w:rPr>
                    <w:t>浓度限值1.0mg/m</w:t>
                  </w:r>
                  <w:r>
                    <w:rPr>
                      <w:rFonts w:ascii="Times New Roman" w:hAnsi="Times New Roman" w:cs="Times New Roman"/>
                      <w:b w:val="0"/>
                      <w:bCs w:val="0"/>
                      <w:color w:val="auto"/>
                      <w:sz w:val="21"/>
                      <w:szCs w:val="21"/>
                      <w:highlight w:val="none"/>
                      <w:vertAlign w:val="superscript"/>
                    </w:rPr>
                    <w:t>3</w:t>
                  </w:r>
                </w:p>
              </w:tc>
            </w:tr>
            <w:tr w14:paraId="100F5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870" w:type="dxa"/>
                  <w:vMerge w:val="continue"/>
                  <w:tcBorders>
                    <w:tl2br w:val="nil"/>
                    <w:tr2bl w:val="nil"/>
                  </w:tcBorders>
                  <w:noWrap w:val="0"/>
                  <w:vAlign w:val="center"/>
                </w:tcPr>
                <w:p w14:paraId="73E7D681">
                  <w:pPr>
                    <w:keepNext w:val="0"/>
                    <w:keepLines w:val="0"/>
                    <w:widowControl/>
                    <w:numPr>
                      <w:ilvl w:val="0"/>
                      <w:numId w:val="0"/>
                    </w:numPr>
                    <w:suppressLineNumbers w:val="0"/>
                    <w:spacing w:line="360" w:lineRule="auto"/>
                    <w:jc w:val="center"/>
                    <w:rPr>
                      <w:rFonts w:hint="default" w:eastAsia="宋体"/>
                      <w:szCs w:val="22"/>
                      <w:highlight w:val="none"/>
                      <w:vertAlign w:val="baseline"/>
                      <w:lang w:val="en-US" w:eastAsia="zh-CN"/>
                    </w:rPr>
                  </w:pPr>
                </w:p>
              </w:tc>
              <w:tc>
                <w:tcPr>
                  <w:tcW w:w="3601" w:type="dxa"/>
                  <w:vMerge w:val="restart"/>
                  <w:tcBorders>
                    <w:tl2br w:val="nil"/>
                    <w:tr2bl w:val="nil"/>
                  </w:tcBorders>
                  <w:noWrap w:val="0"/>
                  <w:vAlign w:val="center"/>
                </w:tcPr>
                <w:p w14:paraId="410925C6">
                  <w:pPr>
                    <w:pStyle w:val="10"/>
                    <w:jc w:val="center"/>
                    <w:rPr>
                      <w:rFonts w:hint="eastAsia"/>
                      <w:color w:val="auto"/>
                      <w:sz w:val="21"/>
                      <w:szCs w:val="21"/>
                      <w:highlight w:val="none"/>
                    </w:rPr>
                  </w:pPr>
                  <w:r>
                    <w:rPr>
                      <w:rFonts w:hint="eastAsia"/>
                      <w:highlight w:val="none"/>
                      <w:lang w:val="en-US" w:eastAsia="zh-CN"/>
                    </w:rPr>
                    <w:t>河南省《水泥工业大气污染物排放标准》(DB41/1953-2020)</w:t>
                  </w:r>
                </w:p>
              </w:tc>
              <w:tc>
                <w:tcPr>
                  <w:tcW w:w="758" w:type="dxa"/>
                  <w:vMerge w:val="restart"/>
                  <w:tcBorders>
                    <w:tl2br w:val="nil"/>
                    <w:tr2bl w:val="nil"/>
                  </w:tcBorders>
                  <w:noWrap w:val="0"/>
                  <w:vAlign w:val="center"/>
                </w:tcPr>
                <w:p w14:paraId="58DCEB4E">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b w:val="0"/>
                      <w:bCs/>
                      <w:color w:val="auto"/>
                      <w:sz w:val="21"/>
                      <w:szCs w:val="21"/>
                      <w:highlight w:val="none"/>
                      <w:lang w:val="en-US" w:eastAsia="zh-CN"/>
                    </w:rPr>
                  </w:pPr>
                  <w:r>
                    <w:rPr>
                      <w:rFonts w:hint="eastAsia"/>
                      <w:b w:val="0"/>
                      <w:bCs/>
                      <w:color w:val="auto"/>
                      <w:sz w:val="21"/>
                      <w:szCs w:val="21"/>
                      <w:highlight w:val="none"/>
                      <w:lang w:val="en-US" w:eastAsia="zh-CN"/>
                    </w:rPr>
                    <w:t>颗粒物</w:t>
                  </w:r>
                </w:p>
              </w:tc>
              <w:tc>
                <w:tcPr>
                  <w:tcW w:w="2869" w:type="dxa"/>
                  <w:tcBorders>
                    <w:tl2br w:val="nil"/>
                    <w:tr2bl w:val="nil"/>
                  </w:tcBorders>
                  <w:noWrap w:val="0"/>
                  <w:vAlign w:val="center"/>
                </w:tcPr>
                <w:p w14:paraId="0BBA38A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cs="Times New Roman"/>
                      <w:b w:val="0"/>
                      <w:bCs w:val="0"/>
                      <w:color w:val="auto"/>
                      <w:sz w:val="21"/>
                      <w:szCs w:val="21"/>
                      <w:highlight w:val="none"/>
                    </w:rPr>
                    <w:t>最高允许排放浓度10mg/m</w:t>
                  </w:r>
                  <w:r>
                    <w:rPr>
                      <w:rFonts w:ascii="Times New Roman" w:hAnsi="Times New Roman" w:cs="Times New Roman"/>
                      <w:b w:val="0"/>
                      <w:bCs w:val="0"/>
                      <w:color w:val="auto"/>
                      <w:sz w:val="21"/>
                      <w:szCs w:val="21"/>
                      <w:highlight w:val="none"/>
                      <w:vertAlign w:val="superscript"/>
                    </w:rPr>
                    <w:t>3</w:t>
                  </w:r>
                </w:p>
              </w:tc>
            </w:tr>
            <w:tr w14:paraId="32A5F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870" w:type="dxa"/>
                  <w:vMerge w:val="continue"/>
                  <w:tcBorders>
                    <w:tl2br w:val="nil"/>
                    <w:tr2bl w:val="nil"/>
                  </w:tcBorders>
                  <w:noWrap w:val="0"/>
                  <w:vAlign w:val="top"/>
                </w:tcPr>
                <w:p w14:paraId="5581C67B">
                  <w:pPr>
                    <w:keepNext w:val="0"/>
                    <w:keepLines w:val="0"/>
                    <w:pageBreakBefore w:val="0"/>
                    <w:widowControl w:val="0"/>
                    <w:kinsoku/>
                    <w:wordWrap/>
                    <w:overflowPunct/>
                    <w:topLinePunct w:val="0"/>
                    <w:autoSpaceDE/>
                    <w:autoSpaceDN/>
                    <w:bidi w:val="0"/>
                    <w:adjustRightInd/>
                    <w:ind w:firstLine="0" w:firstLineChars="0"/>
                    <w:jc w:val="center"/>
                    <w:textAlignment w:val="auto"/>
                    <w:rPr>
                      <w:szCs w:val="22"/>
                      <w:highlight w:val="none"/>
                    </w:rPr>
                  </w:pPr>
                </w:p>
              </w:tc>
              <w:tc>
                <w:tcPr>
                  <w:tcW w:w="3601" w:type="dxa"/>
                  <w:vMerge w:val="continue"/>
                  <w:tcBorders>
                    <w:tl2br w:val="nil"/>
                    <w:tr2bl w:val="nil"/>
                  </w:tcBorders>
                  <w:noWrap w:val="0"/>
                  <w:vAlign w:val="top"/>
                </w:tcPr>
                <w:p w14:paraId="140B9752">
                  <w:pPr>
                    <w:keepNext w:val="0"/>
                    <w:keepLines w:val="0"/>
                    <w:pageBreakBefore w:val="0"/>
                    <w:widowControl w:val="0"/>
                    <w:kinsoku/>
                    <w:wordWrap/>
                    <w:overflowPunct/>
                    <w:topLinePunct w:val="0"/>
                    <w:autoSpaceDE/>
                    <w:autoSpaceDN/>
                    <w:bidi w:val="0"/>
                    <w:adjustRightInd/>
                    <w:ind w:firstLine="0" w:firstLineChars="0"/>
                    <w:jc w:val="center"/>
                    <w:textAlignment w:val="auto"/>
                    <w:rPr>
                      <w:color w:val="auto"/>
                      <w:szCs w:val="22"/>
                      <w:highlight w:val="none"/>
                    </w:rPr>
                  </w:pPr>
                </w:p>
              </w:tc>
              <w:tc>
                <w:tcPr>
                  <w:tcW w:w="758" w:type="dxa"/>
                  <w:vMerge w:val="continue"/>
                  <w:tcBorders>
                    <w:tl2br w:val="nil"/>
                    <w:tr2bl w:val="nil"/>
                  </w:tcBorders>
                  <w:noWrap w:val="0"/>
                  <w:vAlign w:val="center"/>
                </w:tcPr>
                <w:p w14:paraId="01B0DFFC">
                  <w:pPr>
                    <w:keepNext w:val="0"/>
                    <w:keepLines w:val="0"/>
                    <w:pageBreakBefore w:val="0"/>
                    <w:widowControl w:val="0"/>
                    <w:kinsoku/>
                    <w:wordWrap/>
                    <w:overflowPunct/>
                    <w:topLinePunct w:val="0"/>
                    <w:autoSpaceDE/>
                    <w:autoSpaceDN/>
                    <w:bidi w:val="0"/>
                    <w:adjustRightInd/>
                    <w:ind w:firstLine="0" w:firstLineChars="0"/>
                    <w:jc w:val="center"/>
                    <w:textAlignment w:val="auto"/>
                    <w:rPr>
                      <w:color w:val="auto"/>
                      <w:szCs w:val="22"/>
                      <w:highlight w:val="none"/>
                    </w:rPr>
                  </w:pPr>
                </w:p>
              </w:tc>
              <w:tc>
                <w:tcPr>
                  <w:tcW w:w="2869" w:type="dxa"/>
                  <w:tcBorders>
                    <w:tl2br w:val="nil"/>
                    <w:tr2bl w:val="nil"/>
                  </w:tcBorders>
                  <w:noWrap w:val="0"/>
                  <w:vAlign w:val="center"/>
                </w:tcPr>
                <w:p w14:paraId="030027F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cs="Times New Roman"/>
                      <w:b w:val="0"/>
                      <w:bCs w:val="0"/>
                      <w:color w:val="auto"/>
                      <w:sz w:val="21"/>
                      <w:szCs w:val="21"/>
                      <w:highlight w:val="none"/>
                    </w:rPr>
                    <w:t>排气筒高度</w:t>
                  </w:r>
                  <w:r>
                    <w:rPr>
                      <w:rFonts w:hint="eastAsia" w:ascii="Times New Roman" w:hAnsi="Times New Roman" w:cs="Times New Roman"/>
                      <w:b w:val="0"/>
                      <w:bCs w:val="0"/>
                      <w:color w:val="auto"/>
                      <w:sz w:val="21"/>
                      <w:szCs w:val="21"/>
                      <w:highlight w:val="none"/>
                      <w:lang w:eastAsia="zh-CN"/>
                    </w:rPr>
                    <w:t>：</w:t>
                  </w:r>
                  <w:r>
                    <w:rPr>
                      <w:rFonts w:ascii="Times New Roman" w:hAnsi="Times New Roman" w:cs="Times New Roman"/>
                      <w:b w:val="0"/>
                      <w:bCs w:val="0"/>
                      <w:color w:val="auto"/>
                      <w:sz w:val="21"/>
                      <w:szCs w:val="21"/>
                      <w:highlight w:val="none"/>
                    </w:rPr>
                    <w:t>15m</w:t>
                  </w:r>
                </w:p>
              </w:tc>
            </w:tr>
            <w:tr w14:paraId="5A016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trPr>
              <w:tc>
                <w:tcPr>
                  <w:tcW w:w="870" w:type="dxa"/>
                  <w:vMerge w:val="continue"/>
                  <w:tcBorders>
                    <w:tl2br w:val="nil"/>
                    <w:tr2bl w:val="nil"/>
                  </w:tcBorders>
                  <w:noWrap w:val="0"/>
                  <w:vAlign w:val="top"/>
                </w:tcPr>
                <w:p w14:paraId="269C4171">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Times New Roman" w:hAnsi="Times New Roman" w:eastAsia="宋体" w:cs="Times New Roman"/>
                      <w:b w:val="0"/>
                      <w:bCs w:val="0"/>
                      <w:color w:val="auto"/>
                      <w:sz w:val="21"/>
                      <w:szCs w:val="21"/>
                      <w:highlight w:val="none"/>
                      <w:u w:val="none"/>
                      <w:lang w:val="en-US" w:eastAsia="zh-CN"/>
                    </w:rPr>
                  </w:pPr>
                </w:p>
              </w:tc>
              <w:tc>
                <w:tcPr>
                  <w:tcW w:w="3601" w:type="dxa"/>
                  <w:vMerge w:val="continue"/>
                  <w:tcBorders>
                    <w:tl2br w:val="nil"/>
                    <w:tr2bl w:val="nil"/>
                  </w:tcBorders>
                  <w:noWrap w:val="0"/>
                  <w:vAlign w:val="top"/>
                </w:tcPr>
                <w:p w14:paraId="2DF4F6B5">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Times New Roman" w:hAnsi="Times New Roman" w:eastAsia="宋体" w:cs="Times New Roman"/>
                      <w:b w:val="0"/>
                      <w:bCs w:val="0"/>
                      <w:color w:val="auto"/>
                      <w:sz w:val="21"/>
                      <w:szCs w:val="21"/>
                      <w:highlight w:val="none"/>
                      <w:u w:val="none"/>
                      <w:lang w:val="en-US" w:eastAsia="zh-CN"/>
                    </w:rPr>
                  </w:pPr>
                </w:p>
              </w:tc>
              <w:tc>
                <w:tcPr>
                  <w:tcW w:w="758" w:type="dxa"/>
                  <w:vMerge w:val="continue"/>
                  <w:tcBorders>
                    <w:tl2br w:val="nil"/>
                    <w:tr2bl w:val="nil"/>
                  </w:tcBorders>
                  <w:noWrap w:val="0"/>
                  <w:vAlign w:val="center"/>
                </w:tcPr>
                <w:p w14:paraId="4C45819B">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Times New Roman" w:hAnsi="Times New Roman" w:eastAsia="宋体" w:cs="Times New Roman"/>
                      <w:b w:val="0"/>
                      <w:bCs w:val="0"/>
                      <w:color w:val="auto"/>
                      <w:sz w:val="21"/>
                      <w:szCs w:val="21"/>
                      <w:highlight w:val="none"/>
                      <w:u w:val="none"/>
                      <w:lang w:val="en-US" w:eastAsia="zh-CN"/>
                    </w:rPr>
                  </w:pPr>
                </w:p>
              </w:tc>
              <w:tc>
                <w:tcPr>
                  <w:tcW w:w="2869" w:type="dxa"/>
                  <w:tcBorders>
                    <w:tl2br w:val="nil"/>
                    <w:tr2bl w:val="nil"/>
                  </w:tcBorders>
                  <w:noWrap w:val="0"/>
                  <w:vAlign w:val="center"/>
                </w:tcPr>
                <w:p w14:paraId="6EC667B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监</w:t>
                  </w:r>
                  <w:r>
                    <w:rPr>
                      <w:rFonts w:hint="default" w:ascii="Times New Roman" w:hAnsi="Times New Roman" w:eastAsia="宋体" w:cs="Times New Roman"/>
                      <w:sz w:val="21"/>
                      <w:szCs w:val="21"/>
                      <w:highlight w:val="none"/>
                    </w:rPr>
                    <w:t>控点与参照点总悬浮颗粒物（TSP）</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rPr>
                    <w:t>h浓度值的差值</w:t>
                  </w:r>
                  <w:r>
                    <w:rPr>
                      <w:rFonts w:hint="eastAsia" w:cs="Times New Roman"/>
                      <w:b w:val="0"/>
                      <w:bCs w:val="0"/>
                      <w:color w:val="auto"/>
                      <w:sz w:val="21"/>
                      <w:szCs w:val="21"/>
                      <w:highlight w:val="none"/>
                      <w:lang w:val="en-US" w:eastAsia="zh-CN"/>
                    </w:rPr>
                    <w:t>0.5</w:t>
                  </w:r>
                  <w:r>
                    <w:rPr>
                      <w:rFonts w:ascii="Times New Roman" w:hAnsi="Times New Roman" w:cs="Times New Roman"/>
                      <w:b w:val="0"/>
                      <w:bCs w:val="0"/>
                      <w:color w:val="auto"/>
                      <w:sz w:val="21"/>
                      <w:szCs w:val="21"/>
                      <w:highlight w:val="none"/>
                    </w:rPr>
                    <w:t>mg/m</w:t>
                  </w:r>
                  <w:r>
                    <w:rPr>
                      <w:rFonts w:ascii="Times New Roman" w:hAnsi="Times New Roman" w:cs="Times New Roman"/>
                      <w:b w:val="0"/>
                      <w:bCs w:val="0"/>
                      <w:color w:val="auto"/>
                      <w:sz w:val="21"/>
                      <w:szCs w:val="21"/>
                      <w:highlight w:val="none"/>
                      <w:vertAlign w:val="superscript"/>
                    </w:rPr>
                    <w:t>3</w:t>
                  </w:r>
                </w:p>
              </w:tc>
            </w:tr>
            <w:tr w14:paraId="58367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870" w:type="dxa"/>
                  <w:vMerge w:val="continue"/>
                  <w:tcBorders>
                    <w:tl2br w:val="nil"/>
                    <w:tr2bl w:val="nil"/>
                  </w:tcBorders>
                  <w:noWrap w:val="0"/>
                  <w:vAlign w:val="center"/>
                </w:tcPr>
                <w:p w14:paraId="666E3699">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szCs w:val="22"/>
                      <w:highlight w:val="none"/>
                    </w:rPr>
                  </w:pPr>
                </w:p>
              </w:tc>
              <w:tc>
                <w:tcPr>
                  <w:tcW w:w="3601" w:type="dxa"/>
                  <w:tcBorders>
                    <w:tl2br w:val="nil"/>
                    <w:tr2bl w:val="nil"/>
                  </w:tcBorders>
                  <w:noWrap w:val="0"/>
                  <w:vAlign w:val="center"/>
                </w:tcPr>
                <w:p w14:paraId="06D51C32">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szCs w:val="22"/>
                      <w:highlight w:val="none"/>
                    </w:rPr>
                  </w:pPr>
                  <w:r>
                    <w:rPr>
                      <w:rFonts w:hint="eastAsia"/>
                      <w:sz w:val="21"/>
                      <w:szCs w:val="21"/>
                      <w:highlight w:val="none"/>
                      <w:lang w:val="en-US" w:eastAsia="zh-CN"/>
                    </w:rPr>
                    <w:t>河南省重污染天气重点行业应急减排措施制定技术指南（2024年修订版）</w:t>
                  </w:r>
                </w:p>
              </w:tc>
              <w:tc>
                <w:tcPr>
                  <w:tcW w:w="758" w:type="dxa"/>
                  <w:tcBorders>
                    <w:tl2br w:val="nil"/>
                    <w:tr2bl w:val="nil"/>
                  </w:tcBorders>
                  <w:noWrap w:val="0"/>
                  <w:vAlign w:val="center"/>
                </w:tcPr>
                <w:p w14:paraId="44469581">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eastAsia="宋体"/>
                      <w:szCs w:val="22"/>
                      <w:highlight w:val="none"/>
                      <w:lang w:val="en-US" w:eastAsia="zh-CN"/>
                    </w:rPr>
                  </w:pPr>
                  <w:r>
                    <w:rPr>
                      <w:rFonts w:hint="eastAsia"/>
                      <w:sz w:val="21"/>
                      <w:szCs w:val="21"/>
                      <w:highlight w:val="none"/>
                      <w:lang w:val="en-US" w:eastAsia="zh-CN"/>
                    </w:rPr>
                    <w:t>颗粒物</w:t>
                  </w:r>
                </w:p>
              </w:tc>
              <w:tc>
                <w:tcPr>
                  <w:tcW w:w="2869" w:type="dxa"/>
                  <w:tcBorders>
                    <w:tl2br w:val="nil"/>
                    <w:tr2bl w:val="nil"/>
                  </w:tcBorders>
                  <w:noWrap w:val="0"/>
                  <w:vAlign w:val="center"/>
                </w:tcPr>
                <w:p w14:paraId="0E12B700">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color w:val="auto"/>
                      <w:sz w:val="21"/>
                      <w:szCs w:val="21"/>
                      <w:highlight w:val="none"/>
                      <w:lang w:val="en-US" w:eastAsia="zh-CN"/>
                    </w:rPr>
                  </w:pPr>
                  <w:r>
                    <w:rPr>
                      <w:rFonts w:hint="eastAsia" w:cs="Times New Roman"/>
                      <w:kern w:val="2"/>
                      <w:sz w:val="21"/>
                      <w:szCs w:val="21"/>
                      <w:highlight w:val="none"/>
                      <w:u w:val="none"/>
                      <w:lang w:val="en-US" w:eastAsia="zh-CN" w:bidi="ar"/>
                    </w:rPr>
                    <w:t>PM：</w:t>
                  </w:r>
                  <w:r>
                    <w:rPr>
                      <w:rFonts w:hint="eastAsia" w:ascii="Times New Roman" w:hAnsi="Times New Roman" w:cs="Times New Roman"/>
                      <w:kern w:val="2"/>
                      <w:sz w:val="21"/>
                      <w:szCs w:val="21"/>
                      <w:highlight w:val="none"/>
                      <w:u w:val="none"/>
                      <w:lang w:val="en-US" w:eastAsia="zh-CN" w:bidi="ar"/>
                    </w:rPr>
                    <w:t>1</w:t>
                  </w:r>
                  <w:r>
                    <w:rPr>
                      <w:rFonts w:hint="default" w:ascii="Times New Roman" w:hAnsi="Times New Roman" w:eastAsia="宋体" w:cs="Times New Roman"/>
                      <w:kern w:val="2"/>
                      <w:sz w:val="21"/>
                      <w:szCs w:val="21"/>
                      <w:highlight w:val="none"/>
                      <w:u w:val="none"/>
                      <w:lang w:val="en-US" w:eastAsia="zh-CN" w:bidi="ar"/>
                    </w:rPr>
                    <w:t>0</w:t>
                  </w:r>
                  <w:r>
                    <w:rPr>
                      <w:rFonts w:hint="default" w:ascii="Times New Roman" w:hAnsi="Times New Roman" w:eastAsia="宋体" w:cs="Times New Roman"/>
                      <w:b w:val="0"/>
                      <w:bCs w:val="0"/>
                      <w:kern w:val="2"/>
                      <w:sz w:val="21"/>
                      <w:szCs w:val="21"/>
                      <w:highlight w:val="none"/>
                      <w:u w:val="none"/>
                      <w:lang w:val="en-US" w:eastAsia="zh-CN" w:bidi="ar"/>
                    </w:rPr>
                    <w:t>mg/m</w:t>
                  </w:r>
                  <w:r>
                    <w:rPr>
                      <w:rFonts w:hint="default" w:ascii="Times New Roman" w:hAnsi="Times New Roman" w:eastAsia="宋体" w:cs="Times New Roman"/>
                      <w:b w:val="0"/>
                      <w:bCs w:val="0"/>
                      <w:kern w:val="2"/>
                      <w:sz w:val="21"/>
                      <w:szCs w:val="21"/>
                      <w:highlight w:val="none"/>
                      <w:u w:val="none"/>
                      <w:vertAlign w:val="superscript"/>
                      <w:lang w:val="en-US" w:eastAsia="zh-CN" w:bidi="ar"/>
                    </w:rPr>
                    <w:t>3</w:t>
                  </w:r>
                </w:p>
              </w:tc>
            </w:tr>
            <w:tr w14:paraId="4334A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870" w:type="dxa"/>
                  <w:vMerge w:val="restart"/>
                  <w:tcBorders>
                    <w:tl2br w:val="nil"/>
                    <w:tr2bl w:val="nil"/>
                  </w:tcBorders>
                  <w:noWrap w:val="0"/>
                  <w:vAlign w:val="center"/>
                </w:tcPr>
                <w:p w14:paraId="22BFE6EA">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噪声</w:t>
                  </w:r>
                </w:p>
              </w:tc>
              <w:tc>
                <w:tcPr>
                  <w:tcW w:w="3601" w:type="dxa"/>
                  <w:vMerge w:val="restart"/>
                  <w:tcBorders>
                    <w:tl2br w:val="nil"/>
                    <w:tr2bl w:val="nil"/>
                  </w:tcBorders>
                  <w:noWrap w:val="0"/>
                  <w:vAlign w:val="center"/>
                </w:tcPr>
                <w:p w14:paraId="4CD02117">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r>
                    <w:rPr>
                      <w:color w:val="auto"/>
                      <w:sz w:val="21"/>
                      <w:szCs w:val="21"/>
                      <w:highlight w:val="none"/>
                    </w:rPr>
                    <w:t>《工业企业厂界环境噪声排放标准》(GB12348-2008)</w:t>
                  </w:r>
                  <w:r>
                    <w:rPr>
                      <w:rFonts w:hint="eastAsia"/>
                      <w:color w:val="auto"/>
                      <w:sz w:val="21"/>
                      <w:szCs w:val="21"/>
                      <w:highlight w:val="none"/>
                      <w:lang w:val="en-US" w:eastAsia="zh-CN"/>
                    </w:rPr>
                    <w:t>2类</w:t>
                  </w:r>
                  <w:r>
                    <w:rPr>
                      <w:color w:val="auto"/>
                      <w:sz w:val="21"/>
                      <w:szCs w:val="21"/>
                      <w:highlight w:val="none"/>
                    </w:rPr>
                    <w:t>标准</w:t>
                  </w:r>
                </w:p>
              </w:tc>
              <w:tc>
                <w:tcPr>
                  <w:tcW w:w="758" w:type="dxa"/>
                  <w:vMerge w:val="restart"/>
                  <w:tcBorders>
                    <w:tl2br w:val="nil"/>
                    <w:tr2bl w:val="nil"/>
                  </w:tcBorders>
                  <w:noWrap w:val="0"/>
                  <w:vAlign w:val="center"/>
                </w:tcPr>
                <w:p w14:paraId="6099A3E6">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L</w:t>
                  </w:r>
                  <w:r>
                    <w:rPr>
                      <w:rFonts w:hint="eastAsia"/>
                      <w:color w:val="auto"/>
                      <w:sz w:val="21"/>
                      <w:szCs w:val="21"/>
                      <w:highlight w:val="none"/>
                      <w:vertAlign w:val="subscript"/>
                    </w:rPr>
                    <w:t>Aeq</w:t>
                  </w:r>
                </w:p>
              </w:tc>
              <w:tc>
                <w:tcPr>
                  <w:tcW w:w="2869" w:type="dxa"/>
                  <w:tcBorders>
                    <w:tl2br w:val="nil"/>
                    <w:tr2bl w:val="nil"/>
                  </w:tcBorders>
                  <w:noWrap w:val="0"/>
                  <w:vAlign w:val="center"/>
                </w:tcPr>
                <w:p w14:paraId="38B7C554">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昼间60</w:t>
                  </w:r>
                  <w:r>
                    <w:rPr>
                      <w:color w:val="auto"/>
                      <w:sz w:val="21"/>
                      <w:szCs w:val="21"/>
                      <w:highlight w:val="none"/>
                    </w:rPr>
                    <w:t>dB(A)</w:t>
                  </w:r>
                </w:p>
              </w:tc>
            </w:tr>
            <w:tr w14:paraId="2E74E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870" w:type="dxa"/>
                  <w:vMerge w:val="continue"/>
                  <w:tcBorders>
                    <w:tl2br w:val="nil"/>
                    <w:tr2bl w:val="nil"/>
                  </w:tcBorders>
                  <w:noWrap w:val="0"/>
                  <w:vAlign w:val="top"/>
                </w:tcPr>
                <w:p w14:paraId="184E2727">
                  <w:pPr>
                    <w:keepNext w:val="0"/>
                    <w:keepLines w:val="0"/>
                    <w:widowControl/>
                    <w:numPr>
                      <w:ilvl w:val="0"/>
                      <w:numId w:val="0"/>
                    </w:numPr>
                    <w:suppressLineNumbers w:val="0"/>
                    <w:spacing w:line="360" w:lineRule="auto"/>
                    <w:jc w:val="left"/>
                    <w:rPr>
                      <w:szCs w:val="22"/>
                      <w:highlight w:val="none"/>
                      <w:vertAlign w:val="baseline"/>
                    </w:rPr>
                  </w:pPr>
                </w:p>
              </w:tc>
              <w:tc>
                <w:tcPr>
                  <w:tcW w:w="3601" w:type="dxa"/>
                  <w:vMerge w:val="continue"/>
                  <w:tcBorders>
                    <w:tl2br w:val="nil"/>
                    <w:tr2bl w:val="nil"/>
                  </w:tcBorders>
                  <w:noWrap w:val="0"/>
                  <w:vAlign w:val="top"/>
                </w:tcPr>
                <w:p w14:paraId="099AD1E3">
                  <w:pPr>
                    <w:keepNext w:val="0"/>
                    <w:keepLines w:val="0"/>
                    <w:widowControl/>
                    <w:numPr>
                      <w:ilvl w:val="0"/>
                      <w:numId w:val="0"/>
                    </w:numPr>
                    <w:suppressLineNumbers w:val="0"/>
                    <w:spacing w:line="360" w:lineRule="auto"/>
                    <w:jc w:val="left"/>
                    <w:rPr>
                      <w:szCs w:val="22"/>
                      <w:highlight w:val="none"/>
                      <w:vertAlign w:val="baseline"/>
                    </w:rPr>
                  </w:pPr>
                </w:p>
              </w:tc>
              <w:tc>
                <w:tcPr>
                  <w:tcW w:w="758" w:type="dxa"/>
                  <w:vMerge w:val="continue"/>
                  <w:tcBorders>
                    <w:tl2br w:val="nil"/>
                    <w:tr2bl w:val="nil"/>
                  </w:tcBorders>
                  <w:noWrap w:val="0"/>
                  <w:vAlign w:val="top"/>
                </w:tcPr>
                <w:p w14:paraId="15D14D1A">
                  <w:pPr>
                    <w:keepNext w:val="0"/>
                    <w:keepLines w:val="0"/>
                    <w:widowControl/>
                    <w:numPr>
                      <w:ilvl w:val="0"/>
                      <w:numId w:val="0"/>
                    </w:numPr>
                    <w:suppressLineNumbers w:val="0"/>
                    <w:spacing w:line="360" w:lineRule="auto"/>
                    <w:jc w:val="left"/>
                    <w:rPr>
                      <w:szCs w:val="22"/>
                      <w:highlight w:val="none"/>
                      <w:vertAlign w:val="baseline"/>
                    </w:rPr>
                  </w:pPr>
                </w:p>
              </w:tc>
              <w:tc>
                <w:tcPr>
                  <w:tcW w:w="2869" w:type="dxa"/>
                  <w:tcBorders>
                    <w:tl2br w:val="nil"/>
                    <w:tr2bl w:val="nil"/>
                  </w:tcBorders>
                  <w:noWrap w:val="0"/>
                  <w:vAlign w:val="center"/>
                </w:tcPr>
                <w:p w14:paraId="4E483625">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夜间50</w:t>
                  </w:r>
                  <w:r>
                    <w:rPr>
                      <w:color w:val="auto"/>
                      <w:sz w:val="21"/>
                      <w:szCs w:val="21"/>
                      <w:highlight w:val="none"/>
                    </w:rPr>
                    <w:t>dB(A)</w:t>
                  </w:r>
                </w:p>
              </w:tc>
            </w:tr>
            <w:tr w14:paraId="0E0A1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870" w:type="dxa"/>
                  <w:vMerge w:val="continue"/>
                  <w:tcBorders>
                    <w:tl2br w:val="nil"/>
                    <w:tr2bl w:val="nil"/>
                  </w:tcBorders>
                  <w:noWrap w:val="0"/>
                  <w:vAlign w:val="center"/>
                </w:tcPr>
                <w:p w14:paraId="6E07A2C1">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szCs w:val="22"/>
                      <w:highlight w:val="none"/>
                      <w:vertAlign w:val="baseline"/>
                    </w:rPr>
                  </w:pPr>
                </w:p>
              </w:tc>
              <w:tc>
                <w:tcPr>
                  <w:tcW w:w="3601" w:type="dxa"/>
                  <w:vMerge w:val="restart"/>
                  <w:tcBorders>
                    <w:tl2br w:val="nil"/>
                    <w:tr2bl w:val="nil"/>
                  </w:tcBorders>
                  <w:noWrap w:val="0"/>
                  <w:vAlign w:val="center"/>
                </w:tcPr>
                <w:p w14:paraId="37A684E8">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szCs w:val="22"/>
                      <w:highlight w:val="none"/>
                      <w:vertAlign w:val="baseline"/>
                    </w:rPr>
                  </w:pPr>
                  <w:r>
                    <w:rPr>
                      <w:color w:val="000000"/>
                      <w:szCs w:val="21"/>
                      <w:highlight w:val="none"/>
                    </w:rPr>
                    <w:t>《建筑施工场界环境噪声排放标准》（GB12523-2011）</w:t>
                  </w:r>
                </w:p>
              </w:tc>
              <w:tc>
                <w:tcPr>
                  <w:tcW w:w="758" w:type="dxa"/>
                  <w:vMerge w:val="restart"/>
                  <w:tcBorders>
                    <w:tl2br w:val="nil"/>
                    <w:tr2bl w:val="nil"/>
                  </w:tcBorders>
                  <w:noWrap w:val="0"/>
                  <w:vAlign w:val="center"/>
                </w:tcPr>
                <w:p w14:paraId="3FB7C825">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szCs w:val="22"/>
                      <w:highlight w:val="none"/>
                      <w:vertAlign w:val="baseline"/>
                    </w:rPr>
                  </w:pPr>
                  <w:r>
                    <w:rPr>
                      <w:rFonts w:hint="eastAsia"/>
                      <w:color w:val="auto"/>
                      <w:sz w:val="21"/>
                      <w:szCs w:val="21"/>
                      <w:highlight w:val="none"/>
                    </w:rPr>
                    <w:t>L</w:t>
                  </w:r>
                  <w:r>
                    <w:rPr>
                      <w:rFonts w:hint="eastAsia"/>
                      <w:color w:val="auto"/>
                      <w:sz w:val="21"/>
                      <w:szCs w:val="21"/>
                      <w:highlight w:val="none"/>
                      <w:vertAlign w:val="subscript"/>
                    </w:rPr>
                    <w:t>Aeq</w:t>
                  </w:r>
                </w:p>
              </w:tc>
              <w:tc>
                <w:tcPr>
                  <w:tcW w:w="2869" w:type="dxa"/>
                  <w:tcBorders>
                    <w:tl2br w:val="nil"/>
                    <w:tr2bl w:val="nil"/>
                  </w:tcBorders>
                  <w:noWrap w:val="0"/>
                  <w:vAlign w:val="center"/>
                </w:tcPr>
                <w:p w14:paraId="17C75EF0">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昼间70</w:t>
                  </w:r>
                  <w:r>
                    <w:rPr>
                      <w:color w:val="auto"/>
                      <w:sz w:val="21"/>
                      <w:szCs w:val="21"/>
                      <w:highlight w:val="none"/>
                    </w:rPr>
                    <w:t>dB(A)</w:t>
                  </w:r>
                </w:p>
              </w:tc>
            </w:tr>
            <w:tr w14:paraId="731F0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870" w:type="dxa"/>
                  <w:vMerge w:val="continue"/>
                  <w:tcBorders>
                    <w:tl2br w:val="nil"/>
                    <w:tr2bl w:val="nil"/>
                  </w:tcBorders>
                  <w:noWrap w:val="0"/>
                  <w:vAlign w:val="center"/>
                </w:tcPr>
                <w:p w14:paraId="439E2F8A">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szCs w:val="22"/>
                      <w:highlight w:val="none"/>
                      <w:vertAlign w:val="baseline"/>
                    </w:rPr>
                  </w:pPr>
                </w:p>
              </w:tc>
              <w:tc>
                <w:tcPr>
                  <w:tcW w:w="3601" w:type="dxa"/>
                  <w:vMerge w:val="continue"/>
                  <w:tcBorders>
                    <w:tl2br w:val="nil"/>
                    <w:tr2bl w:val="nil"/>
                  </w:tcBorders>
                  <w:noWrap w:val="0"/>
                  <w:vAlign w:val="center"/>
                </w:tcPr>
                <w:p w14:paraId="11F897D3">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szCs w:val="22"/>
                      <w:highlight w:val="none"/>
                      <w:vertAlign w:val="baseline"/>
                    </w:rPr>
                  </w:pPr>
                </w:p>
              </w:tc>
              <w:tc>
                <w:tcPr>
                  <w:tcW w:w="758" w:type="dxa"/>
                  <w:vMerge w:val="continue"/>
                  <w:tcBorders>
                    <w:tl2br w:val="nil"/>
                    <w:tr2bl w:val="nil"/>
                  </w:tcBorders>
                  <w:noWrap w:val="0"/>
                  <w:vAlign w:val="center"/>
                </w:tcPr>
                <w:p w14:paraId="3116897B">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szCs w:val="22"/>
                      <w:highlight w:val="none"/>
                      <w:vertAlign w:val="baseline"/>
                    </w:rPr>
                  </w:pPr>
                </w:p>
              </w:tc>
              <w:tc>
                <w:tcPr>
                  <w:tcW w:w="2869" w:type="dxa"/>
                  <w:tcBorders>
                    <w:tl2br w:val="nil"/>
                    <w:tr2bl w:val="nil"/>
                  </w:tcBorders>
                  <w:noWrap w:val="0"/>
                  <w:vAlign w:val="center"/>
                </w:tcPr>
                <w:p w14:paraId="051BC1B9">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夜间55</w:t>
                  </w:r>
                  <w:r>
                    <w:rPr>
                      <w:color w:val="auto"/>
                      <w:sz w:val="21"/>
                      <w:szCs w:val="21"/>
                      <w:highlight w:val="none"/>
                    </w:rPr>
                    <w:t>dB(A)</w:t>
                  </w:r>
                </w:p>
              </w:tc>
            </w:tr>
            <w:tr w14:paraId="15E9B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870" w:type="dxa"/>
                  <w:tcBorders>
                    <w:tl2br w:val="nil"/>
                    <w:tr2bl w:val="nil"/>
                  </w:tcBorders>
                  <w:noWrap w:val="0"/>
                  <w:vAlign w:val="center"/>
                </w:tcPr>
                <w:p w14:paraId="2E3650C4">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color w:val="auto"/>
                      <w:sz w:val="21"/>
                      <w:szCs w:val="21"/>
                      <w:highlight w:val="none"/>
                    </w:rPr>
                  </w:pPr>
                  <w:r>
                    <w:rPr>
                      <w:rFonts w:hint="eastAsia"/>
                      <w:color w:val="auto"/>
                      <w:sz w:val="21"/>
                      <w:szCs w:val="21"/>
                      <w:highlight w:val="none"/>
                    </w:rPr>
                    <w:t>固体</w:t>
                  </w:r>
                </w:p>
                <w:p w14:paraId="02E78F47">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废物</w:t>
                  </w:r>
                </w:p>
              </w:tc>
              <w:tc>
                <w:tcPr>
                  <w:tcW w:w="7228" w:type="dxa"/>
                  <w:gridSpan w:val="3"/>
                  <w:tcBorders>
                    <w:tl2br w:val="nil"/>
                    <w:tr2bl w:val="nil"/>
                  </w:tcBorders>
                  <w:noWrap w:val="0"/>
                  <w:vAlign w:val="center"/>
                </w:tcPr>
                <w:p w14:paraId="4D669419">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一般固体废物执行《一般工业固体废物贮存和填埋污染控制标准》</w:t>
                  </w:r>
                </w:p>
                <w:p w14:paraId="5826D74E">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（GB18599-2020）中的规定；</w:t>
                  </w:r>
                </w:p>
                <w:p w14:paraId="20D81005">
                  <w:pPr>
                    <w:pStyle w:val="7"/>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color w:val="auto"/>
                      <w:sz w:val="21"/>
                      <w:szCs w:val="21"/>
                      <w:highlight w:val="none"/>
                      <w:lang w:val="en-US" w:eastAsia="zh-CN"/>
                    </w:rPr>
                  </w:pPr>
                  <w:r>
                    <w:rPr>
                      <w:color w:val="auto"/>
                      <w:sz w:val="21"/>
                      <w:szCs w:val="21"/>
                      <w:highlight w:val="none"/>
                    </w:rPr>
                    <w:t>《危险废物贮存污染控制标准》（GB18597-20</w:t>
                  </w:r>
                  <w:r>
                    <w:rPr>
                      <w:rFonts w:hint="eastAsia"/>
                      <w:color w:val="auto"/>
                      <w:sz w:val="21"/>
                      <w:szCs w:val="21"/>
                      <w:highlight w:val="none"/>
                      <w:lang w:val="en-US" w:eastAsia="zh-CN"/>
                    </w:rPr>
                    <w:t>23</w:t>
                  </w:r>
                  <w:r>
                    <w:rPr>
                      <w:color w:val="auto"/>
                      <w:sz w:val="21"/>
                      <w:szCs w:val="21"/>
                      <w:highlight w:val="none"/>
                    </w:rPr>
                    <w:t>）</w:t>
                  </w:r>
                </w:p>
              </w:tc>
            </w:tr>
          </w:tbl>
          <w:p w14:paraId="7665C37A">
            <w:pPr>
              <w:pStyle w:val="35"/>
              <w:ind w:left="0" w:leftChars="0" w:firstLine="0" w:firstLineChars="0"/>
              <w:rPr>
                <w:rFonts w:ascii="宋体" w:cs="宋体"/>
                <w:kern w:val="0"/>
                <w:highlight w:val="none"/>
              </w:rPr>
            </w:pPr>
          </w:p>
        </w:tc>
      </w:tr>
      <w:tr w14:paraId="3DCC61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36" w:hRule="atLeast"/>
          <w:jc w:val="center"/>
        </w:trPr>
        <w:tc>
          <w:tcPr>
            <w:tcW w:w="637" w:type="dxa"/>
            <w:noWrap w:val="0"/>
            <w:vAlign w:val="center"/>
          </w:tcPr>
          <w:p w14:paraId="28E33DA1">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总量</w:t>
            </w:r>
          </w:p>
          <w:p w14:paraId="1FF0554F">
            <w:pPr>
              <w:adjustRightInd w:val="0"/>
              <w:snapToGrid w:val="0"/>
              <w:jc w:val="center"/>
              <w:rPr>
                <w:rFonts w:hint="eastAsia" w:ascii="宋体" w:hAnsi="宋体" w:cs="宋体"/>
                <w:b/>
                <w:kern w:val="0"/>
                <w:sz w:val="24"/>
                <w:highlight w:val="none"/>
              </w:rPr>
            </w:pPr>
            <w:r>
              <w:rPr>
                <w:rFonts w:hint="eastAsia" w:ascii="宋体" w:hAnsi="宋体" w:cs="宋体"/>
                <w:b/>
                <w:kern w:val="0"/>
                <w:sz w:val="24"/>
                <w:highlight w:val="none"/>
              </w:rPr>
              <w:t>控制</w:t>
            </w:r>
          </w:p>
          <w:p w14:paraId="2A002EEF">
            <w:pPr>
              <w:adjustRightInd w:val="0"/>
              <w:snapToGrid w:val="0"/>
              <w:jc w:val="center"/>
              <w:rPr>
                <w:rFonts w:ascii="宋体" w:hAnsi="宋体" w:cs="宋体"/>
                <w:b/>
                <w:kern w:val="0"/>
                <w:sz w:val="24"/>
                <w:highlight w:val="none"/>
              </w:rPr>
            </w:pPr>
            <w:r>
              <w:rPr>
                <w:rFonts w:hint="eastAsia" w:ascii="宋体" w:hAnsi="宋体" w:cs="宋体"/>
                <w:b/>
                <w:kern w:val="0"/>
                <w:sz w:val="24"/>
                <w:highlight w:val="none"/>
              </w:rPr>
              <w:t>指标</w:t>
            </w:r>
          </w:p>
        </w:tc>
        <w:tc>
          <w:tcPr>
            <w:tcW w:w="8353" w:type="dxa"/>
            <w:noWrap w:val="0"/>
            <w:vAlign w:val="center"/>
          </w:tcPr>
          <w:p w14:paraId="7D616CD0">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Cs/>
                <w:color w:val="auto"/>
                <w:sz w:val="24"/>
                <w:highlight w:val="none"/>
                <w:lang w:eastAsia="zh-CN" w:bidi="ar"/>
              </w:rPr>
            </w:pPr>
          </w:p>
          <w:p w14:paraId="10AF5D7F">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Cs/>
                <w:color w:val="auto"/>
                <w:sz w:val="24"/>
                <w:highlight w:val="none"/>
                <w:lang w:eastAsia="zh-CN" w:bidi="ar"/>
              </w:rPr>
            </w:pPr>
          </w:p>
          <w:p w14:paraId="5621791F">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bCs/>
                <w:color w:val="auto"/>
                <w:sz w:val="24"/>
                <w:highlight w:val="none"/>
                <w:lang w:val="en-US" w:eastAsia="zh-CN" w:bidi="ar"/>
              </w:rPr>
            </w:pPr>
            <w:r>
              <w:rPr>
                <w:rFonts w:hint="default" w:ascii="Times New Roman" w:hAnsi="Times New Roman" w:cs="Times New Roman"/>
                <w:bCs/>
                <w:color w:val="auto"/>
                <w:sz w:val="24"/>
                <w:highlight w:val="none"/>
                <w:lang w:eastAsia="zh-CN" w:bidi="ar"/>
              </w:rPr>
              <w:t>根据</w:t>
            </w:r>
            <w:r>
              <w:rPr>
                <w:rFonts w:hint="eastAsia" w:cs="Times New Roman"/>
                <w:bCs/>
                <w:color w:val="auto"/>
                <w:sz w:val="24"/>
                <w:highlight w:val="none"/>
                <w:lang w:val="en-US" w:eastAsia="zh-CN" w:bidi="ar"/>
              </w:rPr>
              <w:t>河南省</w:t>
            </w:r>
            <w:r>
              <w:rPr>
                <w:rFonts w:hint="default" w:ascii="Times New Roman" w:hAnsi="Times New Roman" w:cs="Times New Roman"/>
                <w:bCs/>
                <w:color w:val="auto"/>
                <w:sz w:val="24"/>
                <w:highlight w:val="none"/>
                <w:lang w:eastAsia="zh-CN" w:bidi="ar"/>
              </w:rPr>
              <w:t>平顶山市总量控制指标的要求，总量控制指标为</w:t>
            </w:r>
            <w:r>
              <w:rPr>
                <w:rFonts w:hint="default" w:ascii="Times New Roman" w:hAnsi="Times New Roman" w:cs="Times New Roman"/>
                <w:bCs/>
                <w:color w:val="auto"/>
                <w:sz w:val="24"/>
                <w:highlight w:val="none"/>
                <w:lang w:val="en-US" w:eastAsia="zh-CN" w:bidi="ar"/>
              </w:rPr>
              <w:t>COD、NH</w:t>
            </w:r>
            <w:r>
              <w:rPr>
                <w:rFonts w:hint="default" w:ascii="Times New Roman" w:hAnsi="Times New Roman" w:cs="Times New Roman"/>
                <w:bCs/>
                <w:color w:val="auto"/>
                <w:sz w:val="24"/>
                <w:highlight w:val="none"/>
                <w:vertAlign w:val="subscript"/>
                <w:lang w:val="en-US" w:eastAsia="zh-CN" w:bidi="ar"/>
              </w:rPr>
              <w:t>3</w:t>
            </w:r>
            <w:r>
              <w:rPr>
                <w:rFonts w:hint="default" w:ascii="Times New Roman" w:hAnsi="Times New Roman" w:cs="Times New Roman"/>
                <w:bCs/>
                <w:color w:val="auto"/>
                <w:sz w:val="24"/>
                <w:highlight w:val="none"/>
                <w:lang w:val="en-US" w:eastAsia="zh-CN" w:bidi="ar"/>
              </w:rPr>
              <w:t>-N、SO</w:t>
            </w:r>
            <w:r>
              <w:rPr>
                <w:rFonts w:hint="default" w:ascii="Times New Roman" w:hAnsi="Times New Roman" w:cs="Times New Roman"/>
                <w:bCs/>
                <w:color w:val="auto"/>
                <w:sz w:val="24"/>
                <w:highlight w:val="none"/>
                <w:vertAlign w:val="subscript"/>
                <w:lang w:val="en-US" w:eastAsia="zh-CN" w:bidi="ar"/>
              </w:rPr>
              <w:t>2</w:t>
            </w:r>
            <w:r>
              <w:rPr>
                <w:rFonts w:hint="default" w:ascii="Times New Roman" w:hAnsi="Times New Roman" w:cs="Times New Roman"/>
                <w:bCs/>
                <w:color w:val="auto"/>
                <w:sz w:val="24"/>
                <w:highlight w:val="none"/>
                <w:lang w:val="en-US" w:eastAsia="zh-CN" w:bidi="ar"/>
              </w:rPr>
              <w:t>、NO</w:t>
            </w:r>
            <w:r>
              <w:rPr>
                <w:rFonts w:hint="default" w:ascii="Times New Roman" w:hAnsi="Times New Roman" w:cs="Times New Roman"/>
                <w:bCs/>
                <w:color w:val="auto"/>
                <w:sz w:val="24"/>
                <w:highlight w:val="none"/>
                <w:vertAlign w:val="subscript"/>
                <w:lang w:val="en-US" w:eastAsia="zh-CN" w:bidi="ar"/>
              </w:rPr>
              <w:t>X</w:t>
            </w:r>
            <w:r>
              <w:rPr>
                <w:rFonts w:hint="default" w:ascii="Times New Roman" w:hAnsi="Times New Roman" w:cs="Times New Roman"/>
                <w:bCs/>
                <w:color w:val="auto"/>
                <w:sz w:val="24"/>
                <w:highlight w:val="none"/>
                <w:lang w:val="en-US" w:eastAsia="zh-CN" w:bidi="ar"/>
              </w:rPr>
              <w:t>、颗粒物及有机废气。</w:t>
            </w:r>
          </w:p>
          <w:p w14:paraId="3168B367">
            <w:pPr>
              <w:spacing w:line="520" w:lineRule="exact"/>
              <w:ind w:firstLine="480" w:firstLineChars="200"/>
              <w:rPr>
                <w:color w:val="000000"/>
                <w:sz w:val="24"/>
                <w:highlight w:val="none"/>
              </w:rPr>
            </w:pPr>
            <w:r>
              <w:rPr>
                <w:color w:val="000000"/>
                <w:sz w:val="24"/>
                <w:highlight w:val="none"/>
              </w:rPr>
              <w:t>本项目无SO</w:t>
            </w:r>
            <w:r>
              <w:rPr>
                <w:color w:val="000000"/>
                <w:sz w:val="24"/>
                <w:highlight w:val="none"/>
                <w:vertAlign w:val="subscript"/>
              </w:rPr>
              <w:t>2</w:t>
            </w:r>
            <w:r>
              <w:rPr>
                <w:color w:val="000000"/>
                <w:sz w:val="24"/>
                <w:highlight w:val="none"/>
              </w:rPr>
              <w:t>、NO</w:t>
            </w:r>
            <w:r>
              <w:rPr>
                <w:color w:val="000000"/>
                <w:sz w:val="24"/>
                <w:highlight w:val="none"/>
                <w:vertAlign w:val="subscript"/>
              </w:rPr>
              <w:t>X</w:t>
            </w:r>
            <w:r>
              <w:rPr>
                <w:rFonts w:hint="eastAsia"/>
                <w:color w:val="000000"/>
                <w:sz w:val="24"/>
                <w:highlight w:val="none"/>
                <w:vertAlign w:val="baseline"/>
                <w:lang w:val="en-US" w:eastAsia="zh-CN"/>
              </w:rPr>
              <w:t>和有机废气</w:t>
            </w:r>
            <w:r>
              <w:rPr>
                <w:color w:val="000000"/>
                <w:sz w:val="24"/>
                <w:highlight w:val="none"/>
              </w:rPr>
              <w:t>大气污染物产生，</w:t>
            </w:r>
            <w:r>
              <w:rPr>
                <w:rFonts w:hint="eastAsia" w:ascii="Times New Roman" w:hAnsi="Times New Roman" w:eastAsia="宋体"/>
                <w:color w:val="auto"/>
                <w:sz w:val="24"/>
                <w:szCs w:val="21"/>
                <w:highlight w:val="none"/>
                <w:lang w:val="en-US" w:eastAsia="zh-CN"/>
              </w:rPr>
              <w:t>本项目生产废气为</w:t>
            </w:r>
            <w:r>
              <w:rPr>
                <w:rFonts w:hint="eastAsia"/>
                <w:color w:val="auto"/>
                <w:sz w:val="24"/>
                <w:szCs w:val="21"/>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颗粒物：</w:t>
            </w:r>
            <w:r>
              <w:rPr>
                <w:rFonts w:hint="eastAsia" w:cs="Times New Roman"/>
                <w:color w:val="auto"/>
                <w:kern w:val="0"/>
                <w:sz w:val="24"/>
                <w:szCs w:val="24"/>
                <w:highlight w:val="none"/>
                <w:lang w:val="en-US" w:eastAsia="zh-CN"/>
              </w:rPr>
              <w:t>0.53</w:t>
            </w:r>
            <w:r>
              <w:rPr>
                <w:rFonts w:hint="eastAsia" w:ascii="Times New Roman" w:hAnsi="Times New Roman" w:eastAsia="宋体" w:cs="Times New Roman"/>
                <w:color w:val="auto"/>
                <w:kern w:val="0"/>
                <w:sz w:val="24"/>
                <w:szCs w:val="24"/>
                <w:highlight w:val="none"/>
              </w:rPr>
              <w:t>t/a</w:t>
            </w:r>
            <w:r>
              <w:rPr>
                <w:color w:val="000000"/>
                <w:sz w:val="24"/>
                <w:highlight w:val="none"/>
              </w:rPr>
              <w:t>。</w:t>
            </w:r>
            <w:r>
              <w:rPr>
                <w:rFonts w:hint="eastAsia" w:cs="Times New Roman"/>
                <w:bCs/>
                <w:color w:val="auto"/>
                <w:kern w:val="2"/>
                <w:sz w:val="24"/>
                <w:szCs w:val="24"/>
                <w:highlight w:val="none"/>
                <w:u w:val="none"/>
                <w:lang w:val="en-US" w:eastAsia="zh-CN" w:bidi="ar-SA"/>
              </w:rPr>
              <w:t>平顶山盈润环保科技有限公司排污许可证注销</w:t>
            </w:r>
            <w:r>
              <w:rPr>
                <w:rFonts w:hint="default" w:ascii="Times New Roman" w:hAnsi="Times New Roman" w:cs="Times New Roman"/>
                <w:color w:val="auto"/>
                <w:sz w:val="24"/>
                <w:szCs w:val="24"/>
                <w:highlight w:val="none"/>
                <w:u w:val="none"/>
                <w:lang w:val="en-US" w:eastAsia="zh-CN"/>
              </w:rPr>
              <w:t>可以满足本项目</w:t>
            </w:r>
            <w:r>
              <w:rPr>
                <w:rFonts w:hint="eastAsia" w:cs="Times New Roman"/>
                <w:color w:val="auto"/>
                <w:sz w:val="24"/>
                <w:szCs w:val="24"/>
                <w:highlight w:val="none"/>
                <w:u w:val="none"/>
                <w:lang w:val="en-US" w:eastAsia="zh-CN"/>
              </w:rPr>
              <w:t>颗粒物</w:t>
            </w:r>
            <w:r>
              <w:rPr>
                <w:rFonts w:hint="default" w:ascii="Times New Roman" w:hAnsi="Times New Roman" w:cs="Times New Roman"/>
                <w:bCs/>
                <w:color w:val="auto"/>
                <w:kern w:val="2"/>
                <w:sz w:val="24"/>
                <w:szCs w:val="24"/>
                <w:highlight w:val="none"/>
                <w:u w:val="none"/>
                <w:lang w:val="en-US" w:eastAsia="zh-CN" w:bidi="ar-SA"/>
              </w:rPr>
              <w:t>排放量的替代要求。</w:t>
            </w:r>
          </w:p>
          <w:p w14:paraId="23818259">
            <w:pPr>
              <w:spacing w:line="520" w:lineRule="exact"/>
              <w:ind w:firstLine="480" w:firstLineChars="200"/>
              <w:rPr>
                <w:color w:val="000000"/>
                <w:sz w:val="24"/>
                <w:highlight w:val="none"/>
              </w:rPr>
            </w:pPr>
            <w:r>
              <w:rPr>
                <w:color w:val="000000"/>
                <w:sz w:val="24"/>
                <w:highlight w:val="none"/>
              </w:rPr>
              <w:t>本项目</w:t>
            </w:r>
            <w:r>
              <w:rPr>
                <w:rFonts w:hint="eastAsia"/>
                <w:color w:val="000000"/>
                <w:sz w:val="24"/>
                <w:highlight w:val="none"/>
              </w:rPr>
              <w:t>车辆冲洗废水经沉淀池沉淀后循环使用</w:t>
            </w:r>
            <w:r>
              <w:rPr>
                <w:rFonts w:hint="eastAsia"/>
                <w:color w:val="000000"/>
                <w:sz w:val="24"/>
                <w:highlight w:val="none"/>
                <w:lang w:eastAsia="zh-CN"/>
              </w:rPr>
              <w:t>；</w:t>
            </w:r>
            <w:r>
              <w:rPr>
                <w:color w:val="000000"/>
                <w:sz w:val="24"/>
                <w:highlight w:val="none"/>
              </w:rPr>
              <w:t>生产废水经</w:t>
            </w:r>
            <w:r>
              <w:rPr>
                <w:rFonts w:hint="eastAsia"/>
                <w:color w:val="000000"/>
                <w:sz w:val="24"/>
                <w:highlight w:val="none"/>
                <w:lang w:val="en-US" w:eastAsia="zh-CN"/>
              </w:rPr>
              <w:t>过</w:t>
            </w:r>
            <w:r>
              <w:rPr>
                <w:rFonts w:hint="eastAsia"/>
                <w:color w:val="000000"/>
                <w:sz w:val="24"/>
                <w:highlight w:val="none"/>
              </w:rPr>
              <w:t>浓缩沉淀</w:t>
            </w:r>
            <w:r>
              <w:rPr>
                <w:color w:val="000000"/>
                <w:sz w:val="24"/>
                <w:highlight w:val="none"/>
              </w:rPr>
              <w:t>后循环利用</w:t>
            </w:r>
            <w:r>
              <w:rPr>
                <w:rFonts w:hint="eastAsia"/>
                <w:color w:val="000000"/>
                <w:sz w:val="24"/>
                <w:highlight w:val="none"/>
                <w:lang w:eastAsia="zh-CN"/>
              </w:rPr>
              <w:t>，</w:t>
            </w:r>
            <w:r>
              <w:rPr>
                <w:rFonts w:hint="eastAsia"/>
                <w:color w:val="000000"/>
                <w:sz w:val="24"/>
                <w:highlight w:val="none"/>
                <w:lang w:val="en-US" w:eastAsia="zh-CN"/>
              </w:rPr>
              <w:t>不外排</w:t>
            </w:r>
            <w:r>
              <w:rPr>
                <w:rFonts w:hint="eastAsia"/>
                <w:color w:val="000000"/>
                <w:sz w:val="24"/>
                <w:highlight w:val="none"/>
                <w:lang w:eastAsia="zh-CN"/>
              </w:rPr>
              <w:t>；</w:t>
            </w:r>
            <w:r>
              <w:rPr>
                <w:color w:val="000000"/>
                <w:sz w:val="24"/>
                <w:highlight w:val="none"/>
              </w:rPr>
              <w:t>员工生活污水经化粪池处理后</w:t>
            </w:r>
            <w:r>
              <w:rPr>
                <w:rFonts w:hint="eastAsia"/>
                <w:color w:val="000000"/>
                <w:sz w:val="24"/>
                <w:highlight w:val="none"/>
              </w:rPr>
              <w:t>用于周围农田施肥</w:t>
            </w:r>
            <w:r>
              <w:rPr>
                <w:rFonts w:hint="eastAsia"/>
                <w:color w:val="000000"/>
                <w:sz w:val="24"/>
                <w:highlight w:val="none"/>
                <w:lang w:eastAsia="zh-CN"/>
              </w:rPr>
              <w:t>，</w:t>
            </w:r>
            <w:r>
              <w:rPr>
                <w:rFonts w:hint="eastAsia"/>
                <w:color w:val="000000"/>
                <w:sz w:val="24"/>
                <w:highlight w:val="none"/>
                <w:lang w:val="en-US" w:eastAsia="zh-CN"/>
              </w:rPr>
              <w:t>资源化利用，不外排。</w:t>
            </w:r>
            <w:r>
              <w:rPr>
                <w:color w:val="000000"/>
                <w:sz w:val="24"/>
                <w:highlight w:val="none"/>
              </w:rPr>
              <w:t>项目无废水排放，因此不设置COD、NH</w:t>
            </w:r>
            <w:r>
              <w:rPr>
                <w:color w:val="000000"/>
                <w:sz w:val="24"/>
                <w:highlight w:val="none"/>
                <w:vertAlign w:val="subscript"/>
              </w:rPr>
              <w:t>3</w:t>
            </w:r>
            <w:r>
              <w:rPr>
                <w:color w:val="000000"/>
                <w:sz w:val="24"/>
                <w:highlight w:val="none"/>
              </w:rPr>
              <w:t>-N总量控制指标。</w:t>
            </w:r>
          </w:p>
          <w:p w14:paraId="3A1D8929">
            <w:pPr>
              <w:pStyle w:val="35"/>
              <w:rPr>
                <w:rFonts w:hint="eastAsia" w:ascii="Calibri" w:cs="宋体"/>
                <w:kern w:val="0"/>
                <w:highlight w:val="none"/>
              </w:rPr>
            </w:pPr>
          </w:p>
          <w:p w14:paraId="70031ED0">
            <w:pPr>
              <w:pStyle w:val="35"/>
              <w:ind w:left="0" w:leftChars="0" w:firstLine="0" w:firstLineChars="0"/>
              <w:rPr>
                <w:rFonts w:ascii="宋体" w:cs="宋体"/>
                <w:kern w:val="0"/>
                <w:highlight w:val="none"/>
              </w:rPr>
            </w:pPr>
          </w:p>
        </w:tc>
      </w:tr>
    </w:tbl>
    <w:p w14:paraId="29138FBF">
      <w:pPr>
        <w:pStyle w:val="20"/>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14C563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46" w:type="dxa"/>
            <w:noWrap w:val="0"/>
            <w:tcMar>
              <w:left w:w="28" w:type="dxa"/>
              <w:right w:w="28" w:type="dxa"/>
            </w:tcMar>
            <w:vAlign w:val="center"/>
          </w:tcPr>
          <w:p w14:paraId="5CC6612A">
            <w:pPr>
              <w:pStyle w:val="20"/>
              <w:adjustRightInd w:val="0"/>
              <w:snapToGrid w:val="0"/>
              <w:spacing w:before="0" w:beforeAutospacing="0" w:after="0" w:afterAutospacing="0"/>
              <w:jc w:val="center"/>
              <w:rPr>
                <w:rFonts w:hint="eastAsia" w:cs="宋体"/>
                <w:b/>
                <w:kern w:val="2"/>
                <w:szCs w:val="24"/>
                <w:lang w:val="en-US" w:eastAsia="zh-CN"/>
              </w:rPr>
            </w:pPr>
            <w:r>
              <w:rPr>
                <w:rFonts w:hint="eastAsia" w:cs="宋体"/>
                <w:b/>
                <w:kern w:val="2"/>
                <w:szCs w:val="24"/>
                <w:lang w:val="en-US" w:eastAsia="zh-CN"/>
              </w:rPr>
              <w:t>施工</w:t>
            </w:r>
          </w:p>
          <w:p w14:paraId="74488F51">
            <w:pPr>
              <w:pStyle w:val="20"/>
              <w:adjustRightInd w:val="0"/>
              <w:snapToGrid w:val="0"/>
              <w:spacing w:before="0" w:beforeAutospacing="0" w:after="0" w:afterAutospacing="0"/>
              <w:jc w:val="center"/>
              <w:rPr>
                <w:rFonts w:hint="eastAsia" w:cs="宋体"/>
                <w:b/>
                <w:kern w:val="2"/>
                <w:szCs w:val="24"/>
                <w:lang w:val="en-US" w:eastAsia="zh-CN"/>
              </w:rPr>
            </w:pPr>
            <w:r>
              <w:rPr>
                <w:rFonts w:hint="eastAsia" w:cs="宋体"/>
                <w:b/>
                <w:kern w:val="2"/>
                <w:szCs w:val="24"/>
                <w:lang w:val="en-US" w:eastAsia="zh-CN"/>
              </w:rPr>
              <w:t>期环</w:t>
            </w:r>
          </w:p>
          <w:p w14:paraId="2B7C2641">
            <w:pPr>
              <w:pStyle w:val="20"/>
              <w:adjustRightInd w:val="0"/>
              <w:snapToGrid w:val="0"/>
              <w:spacing w:before="0" w:beforeAutospacing="0" w:after="0" w:afterAutospacing="0"/>
              <w:jc w:val="center"/>
              <w:rPr>
                <w:rFonts w:hint="eastAsia" w:cs="宋体"/>
                <w:b/>
                <w:kern w:val="2"/>
                <w:szCs w:val="24"/>
                <w:lang w:val="en-US" w:eastAsia="zh-CN"/>
              </w:rPr>
            </w:pPr>
            <w:r>
              <w:rPr>
                <w:rFonts w:hint="eastAsia" w:cs="宋体"/>
                <w:b/>
                <w:kern w:val="2"/>
                <w:szCs w:val="24"/>
                <w:lang w:val="en-US" w:eastAsia="zh-CN"/>
              </w:rPr>
              <w:t>境保</w:t>
            </w:r>
          </w:p>
          <w:p w14:paraId="7B29D8B2">
            <w:pPr>
              <w:pStyle w:val="20"/>
              <w:adjustRightInd w:val="0"/>
              <w:snapToGrid w:val="0"/>
              <w:spacing w:before="0" w:beforeAutospacing="0" w:after="0" w:afterAutospacing="0"/>
              <w:jc w:val="center"/>
              <w:rPr>
                <w:rFonts w:hint="eastAsia" w:cs="宋体"/>
                <w:b/>
                <w:kern w:val="2"/>
                <w:szCs w:val="24"/>
                <w:lang w:val="en-US" w:eastAsia="zh-CN"/>
              </w:rPr>
            </w:pPr>
            <w:r>
              <w:rPr>
                <w:rFonts w:hint="eastAsia" w:cs="宋体"/>
                <w:b/>
                <w:kern w:val="2"/>
                <w:szCs w:val="24"/>
                <w:lang w:val="en-US" w:eastAsia="zh-CN"/>
              </w:rPr>
              <w:t>护措</w:t>
            </w:r>
          </w:p>
          <w:p w14:paraId="2EC8240E">
            <w:pPr>
              <w:pStyle w:val="20"/>
              <w:adjustRightInd w:val="0"/>
              <w:snapToGrid w:val="0"/>
              <w:spacing w:before="0" w:beforeAutospacing="0" w:after="0" w:afterAutospacing="0"/>
              <w:jc w:val="center"/>
              <w:rPr>
                <w:rFonts w:hint="eastAsia" w:cs="宋体"/>
                <w:b/>
                <w:bCs/>
                <w:kern w:val="2"/>
                <w:sz w:val="21"/>
                <w:szCs w:val="21"/>
                <w:lang w:val="en-US" w:eastAsia="zh-CN"/>
              </w:rPr>
            </w:pPr>
            <w:r>
              <w:rPr>
                <w:rFonts w:hint="eastAsia" w:cs="宋体"/>
                <w:b/>
                <w:kern w:val="2"/>
                <w:szCs w:val="24"/>
                <w:lang w:val="en-US" w:eastAsia="zh-CN"/>
              </w:rPr>
              <w:t>施</w:t>
            </w:r>
          </w:p>
        </w:tc>
        <w:tc>
          <w:tcPr>
            <w:tcW w:w="8162" w:type="dxa"/>
            <w:noWrap w:val="0"/>
            <w:vAlign w:val="center"/>
          </w:tcPr>
          <w:p w14:paraId="6077C746">
            <w:pPr>
              <w:pStyle w:val="35"/>
              <w:keepNext w:val="0"/>
              <w:keepLines w:val="0"/>
              <w:pageBreakBefore w:val="0"/>
              <w:widowControl w:val="0"/>
              <w:kinsoku/>
              <w:wordWrap/>
              <w:overflowPunct/>
              <w:topLinePunct w:val="0"/>
              <w:autoSpaceDE/>
              <w:autoSpaceDN/>
              <w:bidi w:val="0"/>
              <w:spacing w:line="500" w:lineRule="exact"/>
              <w:textAlignment w:val="auto"/>
              <w:rPr>
                <w:rFonts w:hint="eastAsia" w:ascii="Times New Roman" w:hAnsi="Times New Roman" w:eastAsia="宋体" w:cs="Times New Roman"/>
                <w:kern w:val="0"/>
                <w:lang w:eastAsia="zh-CN"/>
              </w:rPr>
            </w:pPr>
            <w:r>
              <w:rPr>
                <w:rFonts w:hint="default" w:ascii="Times New Roman" w:hAnsi="Times New Roman" w:cs="Times New Roman"/>
                <w:kern w:val="0"/>
              </w:rPr>
              <w:t>本项目选址位于</w:t>
            </w:r>
            <w:r>
              <w:rPr>
                <w:rFonts w:hint="default" w:ascii="Times New Roman" w:hAnsi="Times New Roman" w:cs="Times New Roman"/>
                <w:color w:val="auto"/>
                <w:sz w:val="24"/>
                <w:lang w:val="en-US" w:eastAsia="zh-CN"/>
              </w:rPr>
              <w:t>河南省平顶山市叶县廉村镇湾张村东南地叶廉路北侧</w:t>
            </w:r>
            <w:r>
              <w:rPr>
                <w:rFonts w:hint="default" w:ascii="Times New Roman" w:hAnsi="Times New Roman" w:cs="Times New Roman"/>
                <w:kern w:val="0"/>
              </w:rPr>
              <w:t>，占地面积约</w:t>
            </w:r>
            <w:r>
              <w:rPr>
                <w:rFonts w:hint="default" w:ascii="Times New Roman" w:hAnsi="Times New Roman" w:cs="Times New Roman"/>
                <w:kern w:val="0"/>
                <w:lang w:val="en-US" w:eastAsia="zh-CN"/>
              </w:rPr>
              <w:t>9.7</w:t>
            </w:r>
            <w:r>
              <w:rPr>
                <w:rFonts w:hint="default" w:ascii="Times New Roman" w:hAnsi="Times New Roman" w:cs="Times New Roman"/>
                <w:kern w:val="0"/>
                <w:highlight w:val="none"/>
                <w:lang w:val="en-US" w:eastAsia="zh-CN"/>
              </w:rPr>
              <w:t>亩</w:t>
            </w:r>
            <w:r>
              <w:rPr>
                <w:rFonts w:hint="default" w:ascii="Times New Roman" w:hAnsi="Times New Roman" w:cs="Times New Roman"/>
                <w:kern w:val="0"/>
              </w:rPr>
              <w:t>。施工期主要建设主体装置、辅助设施、环保设施等构筑物。本项目施工期</w:t>
            </w:r>
            <w:r>
              <w:rPr>
                <w:rFonts w:hint="eastAsia" w:hAnsi="Times New Roman" w:cs="Times New Roman"/>
                <w:kern w:val="0"/>
                <w:lang w:val="en-US" w:eastAsia="zh-CN"/>
              </w:rPr>
              <w:t>3</w:t>
            </w:r>
            <w:r>
              <w:rPr>
                <w:rFonts w:hint="default" w:ascii="Times New Roman" w:hAnsi="Times New Roman" w:cs="Times New Roman"/>
                <w:kern w:val="0"/>
                <w:highlight w:val="none"/>
              </w:rPr>
              <w:t>个月</w:t>
            </w:r>
            <w:r>
              <w:rPr>
                <w:rFonts w:hint="default" w:ascii="Times New Roman" w:hAnsi="Times New Roman" w:cs="Times New Roman"/>
                <w:kern w:val="0"/>
              </w:rPr>
              <w:t>，根据现场踏勘，项目现状用地为</w:t>
            </w:r>
            <w:r>
              <w:rPr>
                <w:rFonts w:hint="eastAsia" w:hAnsi="Times New Roman" w:cs="Times New Roman"/>
                <w:kern w:val="0"/>
                <w:lang w:val="en-US" w:eastAsia="zh-CN"/>
              </w:rPr>
              <w:t>空</w:t>
            </w:r>
            <w:r>
              <w:rPr>
                <w:rFonts w:hint="default" w:ascii="Times New Roman" w:hAnsi="Times New Roman" w:cs="Times New Roman"/>
                <w:kern w:val="0"/>
              </w:rPr>
              <w:t>地，地表主要覆盖有季节性草灌。本项目施工过程中产生的噪声、扬尘、废水、固废等会对周围环境产生一定影响，但影响持续时间短，强度低，施工期结束影响将随之消失</w:t>
            </w:r>
            <w:r>
              <w:rPr>
                <w:rFonts w:hint="eastAsia" w:hAnsi="Times New Roman" w:cs="Times New Roman"/>
                <w:kern w:val="0"/>
                <w:lang w:eastAsia="zh-CN"/>
              </w:rPr>
              <w:t>。</w:t>
            </w:r>
          </w:p>
          <w:p w14:paraId="5CD9D7D3">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kern w:val="0"/>
              </w:rPr>
            </w:pPr>
            <w:r>
              <w:rPr>
                <w:rFonts w:hint="default" w:ascii="Times New Roman" w:hAnsi="Times New Roman" w:cs="Times New Roman"/>
                <w:b/>
                <w:kern w:val="0"/>
              </w:rPr>
              <w:t>1、大气污染物防治措施</w:t>
            </w:r>
          </w:p>
          <w:p w14:paraId="713078FF">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扬尘污染是施工期间重要的污染因素，项目在地基开挖过程以及施工建设期间，不可避免地会产生一些地面扬尘，这些扬尘尽管是短期行为，但会对附近区域带来不利的影响。为降低项目施工对周围环境敏感点的影响，建设单位应按照《河南省生态环境保护委员会办公室关于印发&lt;河南省202</w:t>
            </w:r>
            <w:r>
              <w:rPr>
                <w:rFonts w:hint="eastAsia" w:hAnsi="Times New Roman" w:cs="Times New Roman"/>
                <w:bCs/>
                <w:color w:val="auto"/>
                <w:lang w:val="en-US" w:eastAsia="zh-CN"/>
              </w:rPr>
              <w:t>4</w:t>
            </w:r>
            <w:r>
              <w:rPr>
                <w:rFonts w:hint="default" w:ascii="Times New Roman" w:hAnsi="Times New Roman" w:cs="Times New Roman"/>
                <w:bCs/>
                <w:color w:val="auto"/>
              </w:rPr>
              <w:t>年蓝天保卫战实施方案&gt;的通知》</w:t>
            </w:r>
            <w:r>
              <w:rPr>
                <w:rFonts w:hint="eastAsia" w:hAnsi="Times New Roman" w:cs="Times New Roman"/>
                <w:bCs/>
                <w:color w:val="auto"/>
                <w:lang w:val="en-US" w:eastAsia="zh-CN"/>
              </w:rPr>
              <w:t>以及平顶山市发布的</w:t>
            </w:r>
            <w:r>
              <w:rPr>
                <w:rFonts w:hint="eastAsia" w:cs="Times New Roman"/>
                <w:b w:val="0"/>
                <w:bCs w:val="0"/>
                <w:color w:val="000000"/>
                <w:sz w:val="24"/>
                <w:szCs w:val="24"/>
                <w:highlight w:val="none"/>
                <w:lang w:eastAsia="zh-CN"/>
              </w:rPr>
              <w:t>《</w:t>
            </w:r>
            <w:r>
              <w:rPr>
                <w:rFonts w:hint="eastAsia" w:cs="Times New Roman"/>
                <w:bCs/>
                <w:color w:val="000000"/>
                <w:sz w:val="24"/>
                <w:szCs w:val="24"/>
                <w:highlight w:val="none"/>
                <w:lang w:val="en-US" w:eastAsia="zh-CN"/>
              </w:rPr>
              <w:t>平顶山市2024年蓝天保卫站实施方案的通知</w:t>
            </w:r>
            <w:r>
              <w:rPr>
                <w:rFonts w:hint="eastAsia" w:cs="Times New Roman"/>
                <w:bCs/>
                <w:color w:val="000000"/>
                <w:sz w:val="24"/>
                <w:szCs w:val="24"/>
                <w:highlight w:val="none"/>
                <w:lang w:eastAsia="zh-CN"/>
              </w:rPr>
              <w:t>》</w:t>
            </w:r>
            <w:r>
              <w:rPr>
                <w:rFonts w:hint="default" w:ascii="Times New Roman" w:hAnsi="Times New Roman" w:cs="Times New Roman"/>
                <w:bCs/>
                <w:color w:val="auto"/>
              </w:rPr>
              <w:t>文件中的相关规定，采取如下扬尘防治措施，以防治施工扬尘，减小对周围环境空气的影响。</w:t>
            </w:r>
          </w:p>
          <w:p w14:paraId="042E8308">
            <w:pPr>
              <w:pStyle w:val="35"/>
              <w:keepNext w:val="0"/>
              <w:keepLines w:val="0"/>
              <w:pageBreakBefore w:val="0"/>
              <w:widowControl w:val="0"/>
              <w:numPr>
                <w:ilvl w:val="0"/>
                <w:numId w:val="2"/>
              </w:numPr>
              <w:kinsoku/>
              <w:wordWrap/>
              <w:overflowPunct/>
              <w:topLinePunct w:val="0"/>
              <w:autoSpaceDE/>
              <w:autoSpaceDN/>
              <w:bidi w:val="0"/>
              <w:spacing w:line="500" w:lineRule="exact"/>
              <w:textAlignment w:val="auto"/>
              <w:rPr>
                <w:rFonts w:hint="eastAsia" w:hAnsi="Times New Roman" w:cs="Times New Roman"/>
                <w:kern w:val="0"/>
                <w:lang w:val="en-US" w:eastAsia="zh-CN"/>
              </w:rPr>
            </w:pPr>
            <w:r>
              <w:rPr>
                <w:rFonts w:hint="default" w:ascii="Times New Roman" w:hAnsi="Times New Roman" w:cs="Times New Roman"/>
                <w:bCs/>
                <w:color w:val="auto"/>
              </w:rPr>
              <w:t>建筑施工现场</w:t>
            </w:r>
            <w:r>
              <w:rPr>
                <w:rFonts w:hint="eastAsia" w:hAnsi="Times New Roman" w:cs="Times New Roman"/>
                <w:bCs/>
                <w:color w:val="auto"/>
                <w:lang w:val="en-US" w:eastAsia="zh-CN"/>
              </w:rPr>
              <w:t>进行挖掘期间，产生的表层土以及挖掘出的土方，要进行重新利用，表层土利于耕种使用，</w:t>
            </w:r>
            <w:r>
              <w:rPr>
                <w:rFonts w:hint="eastAsia" w:hAnsi="Times New Roman" w:cs="Times New Roman"/>
                <w:kern w:val="0"/>
                <w:u w:val="none"/>
                <w:lang w:val="en-US" w:eastAsia="zh-CN"/>
              </w:rPr>
              <w:t>可以让附近村民拉走，用于田地耕种，节约土地资源</w:t>
            </w:r>
            <w:r>
              <w:rPr>
                <w:rFonts w:hint="default" w:ascii="Times New Roman" w:hAnsi="Times New Roman" w:cs="Times New Roman"/>
                <w:kern w:val="0"/>
                <w:u w:val="none"/>
              </w:rPr>
              <w:t>。</w:t>
            </w:r>
            <w:r>
              <w:rPr>
                <w:rFonts w:hint="eastAsia" w:hAnsi="Times New Roman" w:cs="Times New Roman"/>
                <w:kern w:val="0"/>
                <w:u w:val="none"/>
                <w:lang w:val="en-US" w:eastAsia="zh-CN"/>
              </w:rPr>
              <w:t>挖掘土方用于回填土地，</w:t>
            </w:r>
            <w:r>
              <w:rPr>
                <w:rFonts w:hint="default" w:ascii="Times New Roman" w:hAnsi="Times New Roman" w:cs="Times New Roman"/>
                <w:bCs/>
                <w:color w:val="auto"/>
                <w:sz w:val="24"/>
              </w:rPr>
              <w:t>开挖的土方应及时回填</w:t>
            </w:r>
            <w:r>
              <w:rPr>
                <w:rFonts w:hint="eastAsia" w:hAnsi="Times New Roman" w:cs="Times New Roman"/>
                <w:bCs/>
                <w:color w:val="auto"/>
                <w:sz w:val="24"/>
                <w:lang w:eastAsia="zh-CN"/>
              </w:rPr>
              <w:t>、</w:t>
            </w:r>
            <w:r>
              <w:rPr>
                <w:rFonts w:hint="default" w:ascii="Times New Roman" w:hAnsi="Times New Roman" w:cs="Times New Roman"/>
                <w:bCs/>
                <w:color w:val="auto"/>
                <w:sz w:val="24"/>
              </w:rPr>
              <w:t>压实</w:t>
            </w:r>
            <w:r>
              <w:rPr>
                <w:rFonts w:hint="eastAsia" w:hAnsi="Times New Roman" w:cs="Times New Roman"/>
                <w:bCs/>
                <w:color w:val="auto"/>
                <w:sz w:val="24"/>
                <w:lang w:eastAsia="zh-CN"/>
              </w:rPr>
              <w:t>，</w:t>
            </w:r>
            <w:r>
              <w:rPr>
                <w:rFonts w:hint="eastAsia" w:hAnsi="Times New Roman" w:cs="Times New Roman"/>
                <w:kern w:val="0"/>
                <w:u w:val="none"/>
                <w:lang w:val="en-US" w:eastAsia="zh-CN"/>
              </w:rPr>
              <w:t>保持</w:t>
            </w:r>
            <w:r>
              <w:rPr>
                <w:rFonts w:hint="eastAsia" w:hAnsi="Times New Roman" w:cs="Times New Roman"/>
                <w:kern w:val="0"/>
                <w:lang w:val="en-US" w:eastAsia="zh-CN"/>
              </w:rPr>
              <w:t>土地表面平整和完整，施工对土地造成的影响积极进行恢复。</w:t>
            </w:r>
          </w:p>
          <w:p w14:paraId="38AAEBC6">
            <w:pPr>
              <w:pStyle w:val="35"/>
              <w:keepNext w:val="0"/>
              <w:keepLines w:val="0"/>
              <w:pageBreakBefore w:val="0"/>
              <w:widowControl w:val="0"/>
              <w:numPr>
                <w:ilvl w:val="0"/>
                <w:numId w:val="0"/>
              </w:numPr>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hAnsi="Times New Roman" w:cs="Times New Roman"/>
                <w:bCs/>
                <w:color w:val="auto"/>
                <w:lang w:val="en-US" w:eastAsia="zh-CN"/>
              </w:rPr>
              <w:t>2</w:t>
            </w:r>
            <w:r>
              <w:rPr>
                <w:rFonts w:hint="default" w:ascii="Times New Roman" w:hAnsi="Times New Roman" w:cs="Times New Roman"/>
                <w:bCs/>
                <w:color w:val="auto"/>
              </w:rPr>
              <w:t>）建筑施工现场施工扬尘防治工作坚持“属地管理、分级负责”和“谁主管、谁负责”的原则。建设单位应当将施工</w:t>
            </w:r>
            <w:r>
              <w:rPr>
                <w:rFonts w:hint="eastAsia" w:hAnsi="Times New Roman" w:cs="Times New Roman"/>
                <w:bCs/>
                <w:color w:val="auto"/>
                <w:lang w:val="en-US" w:eastAsia="zh-CN"/>
              </w:rPr>
              <w:t>期</w:t>
            </w:r>
            <w:r>
              <w:rPr>
                <w:rFonts w:hint="default" w:ascii="Times New Roman" w:hAnsi="Times New Roman" w:cs="Times New Roman"/>
                <w:bCs/>
                <w:color w:val="auto"/>
              </w:rPr>
              <w:t>扬尘防治费用列</w:t>
            </w:r>
            <w:r>
              <w:rPr>
                <w:rFonts w:hint="eastAsia" w:hAnsi="Times New Roman" w:cs="Times New Roman"/>
                <w:bCs/>
                <w:color w:val="auto"/>
                <w:lang w:val="en-US" w:eastAsia="zh-CN"/>
              </w:rPr>
              <w:t>出清单记录</w:t>
            </w:r>
            <w:r>
              <w:rPr>
                <w:rFonts w:hint="default" w:ascii="Times New Roman" w:hAnsi="Times New Roman" w:cs="Times New Roman"/>
                <w:bCs/>
                <w:color w:val="auto"/>
              </w:rPr>
              <w:t>，在工程施工中明确施工现场扬尘防治的具体要求，在施工</w:t>
            </w:r>
            <w:r>
              <w:rPr>
                <w:rFonts w:hint="eastAsia" w:hAnsi="Times New Roman" w:cs="Times New Roman"/>
                <w:bCs/>
                <w:color w:val="auto"/>
                <w:lang w:val="en-US" w:eastAsia="zh-CN"/>
              </w:rPr>
              <w:t>建设过程</w:t>
            </w:r>
            <w:r>
              <w:rPr>
                <w:rFonts w:hint="default" w:ascii="Times New Roman" w:hAnsi="Times New Roman" w:cs="Times New Roman"/>
                <w:bCs/>
                <w:color w:val="auto"/>
              </w:rPr>
              <w:t>中明确施工现场扬尘防治的内容。</w:t>
            </w:r>
          </w:p>
          <w:p w14:paraId="3261DB05">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hAnsi="Times New Roman" w:cs="Times New Roman"/>
                <w:bCs/>
                <w:color w:val="auto"/>
                <w:lang w:val="en-US" w:eastAsia="zh-CN"/>
              </w:rPr>
              <w:t>3</w:t>
            </w:r>
            <w:r>
              <w:rPr>
                <w:rFonts w:hint="default" w:ascii="Times New Roman" w:hAnsi="Times New Roman" w:cs="Times New Roman"/>
                <w:bCs/>
                <w:color w:val="auto"/>
              </w:rPr>
              <w:t>）</w:t>
            </w:r>
            <w:r>
              <w:rPr>
                <w:rFonts w:hint="default" w:ascii="Times New Roman" w:hAnsi="Times New Roman" w:cs="Times New Roman"/>
                <w:bCs/>
                <w:color w:val="000000"/>
                <w:sz w:val="24"/>
                <w:szCs w:val="24"/>
              </w:rPr>
              <w:t>施工现场做到八个“100%”，即施工现场100%封闭管理，施工现场100%湿法作业，场区道路100%硬化，渣土物料100％覆盖，物料100％密闭运输，出入车辆100％清洗，远程视频监控100％安装，工地内非道路移动机械100％达标。</w:t>
            </w:r>
          </w:p>
          <w:p w14:paraId="56C2D328">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hAnsi="Times New Roman" w:cs="Times New Roman"/>
                <w:bCs/>
                <w:color w:val="auto"/>
                <w:lang w:val="en-US" w:eastAsia="zh-CN"/>
              </w:rPr>
              <w:t>4</w:t>
            </w:r>
            <w:r>
              <w:rPr>
                <w:rFonts w:hint="default" w:ascii="Times New Roman" w:hAnsi="Times New Roman" w:cs="Times New Roman"/>
                <w:bCs/>
                <w:color w:val="auto"/>
              </w:rPr>
              <w:t>）施工期在建筑工地必须做到“两个禁止”，即禁止现场搅拌混凝土、禁止现场配制砂浆。</w:t>
            </w:r>
          </w:p>
          <w:p w14:paraId="58EE1198">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hAnsi="Times New Roman" w:cs="Times New Roman"/>
                <w:bCs/>
                <w:color w:val="auto"/>
                <w:lang w:val="en-US" w:eastAsia="zh-CN"/>
              </w:rPr>
              <w:t>5</w:t>
            </w:r>
            <w:r>
              <w:rPr>
                <w:rFonts w:hint="default" w:ascii="Times New Roman" w:hAnsi="Times New Roman" w:cs="Times New Roman"/>
                <w:bCs/>
                <w:color w:val="auto"/>
              </w:rPr>
              <w:t>）施工工地开工前必须做到“六个到位”，即“审批到位、报备到位、治理方案到位、配套措施到位、监控到位、人员（施工单位管理人员、责任部门监管人员）到位”。</w:t>
            </w:r>
          </w:p>
          <w:p w14:paraId="6A229FCA">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hAnsi="Times New Roman" w:cs="Times New Roman"/>
                <w:color w:val="auto"/>
                <w:lang w:val="en-US" w:eastAsia="zh-CN"/>
              </w:rPr>
              <w:t>6</w:t>
            </w:r>
            <w:r>
              <w:rPr>
                <w:rFonts w:hint="default" w:ascii="Times New Roman" w:hAnsi="Times New Roman" w:cs="Times New Roman"/>
                <w:color w:val="auto"/>
              </w:rPr>
              <w:t>）封闭式施工及洒水抑尘</w:t>
            </w:r>
          </w:p>
          <w:p w14:paraId="4997BCD3">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黑体" w:cs="Times New Roman"/>
                <w:b/>
                <w:color w:val="auto"/>
                <w:u w:val="single"/>
              </w:rPr>
            </w:pPr>
            <w:r>
              <w:rPr>
                <w:rFonts w:hint="default" w:ascii="Times New Roman" w:hAnsi="Times New Roman" w:cs="Times New Roman"/>
                <w:color w:val="auto"/>
              </w:rPr>
              <w:t>工程施工时，施工工地周边设置1.8m的硬质围墙，围挡下方设置不低于20cm高的防溢座以防止粉尘流失；任意两块围挡以及围挡与防溢座的拼接处都不能有大于0.5cm的缝隙，围挡不得有明显破损的漏洞。</w:t>
            </w:r>
            <w:r>
              <w:rPr>
                <w:rFonts w:hint="default" w:ascii="Times New Roman" w:hAnsi="Times New Roman" w:cs="Times New Roman"/>
                <w:bCs/>
                <w:color w:val="auto"/>
              </w:rPr>
              <w:t>此外，不得对围挡从事喷漆等作业。</w:t>
            </w:r>
            <w:r>
              <w:rPr>
                <w:rFonts w:hint="default" w:ascii="Times New Roman" w:hAnsi="Times New Roman" w:cs="Times New Roman"/>
                <w:color w:val="auto"/>
              </w:rPr>
              <w:t>施工期间对围挡落尘当定期进行了清洗，保证施工工地周围环境整洁。保证项目在施工场地“湿身”作业，道路及施工场地要每天定期洒水，抑制扬尘产生，在大风日加大洒水量及洒水次数或停止施工。</w:t>
            </w:r>
          </w:p>
          <w:p w14:paraId="33018C2A">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hAnsi="Times New Roman" w:cs="Times New Roman"/>
                <w:bCs/>
                <w:color w:val="auto"/>
                <w:lang w:val="en-US" w:eastAsia="zh-CN"/>
              </w:rPr>
              <w:t>7</w:t>
            </w:r>
            <w:r>
              <w:rPr>
                <w:rFonts w:hint="default" w:ascii="Times New Roman" w:hAnsi="Times New Roman" w:cs="Times New Roman"/>
                <w:bCs/>
                <w:color w:val="auto"/>
              </w:rPr>
              <w:t>）限制车速、保持路面清洁</w:t>
            </w:r>
          </w:p>
          <w:p w14:paraId="5BD8BCE3">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施工场地的扬尘大部分来自施工车辆，在同样路面清洁程度条件下，车速越快，扬尘量越大；而在同样车速情况下，路面越脏，则扬尘量越大。因此，通过限速行驶，及定时清扫路面，保持路面的清洁是减少汽车扬尘的有效手段。</w:t>
            </w:r>
          </w:p>
          <w:p w14:paraId="5236C712">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hAnsi="Times New Roman" w:cs="Times New Roman"/>
                <w:bCs/>
                <w:color w:val="auto"/>
                <w:lang w:val="en-US" w:eastAsia="zh-CN"/>
              </w:rPr>
              <w:t>8</w:t>
            </w:r>
            <w:r>
              <w:rPr>
                <w:rFonts w:hint="default" w:ascii="Times New Roman" w:hAnsi="Times New Roman" w:cs="Times New Roman"/>
                <w:bCs/>
                <w:color w:val="auto"/>
              </w:rPr>
              <w:t>）避免大风天气作业</w:t>
            </w:r>
          </w:p>
          <w:p w14:paraId="5ABC8385">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在遇有4级以上大风天气，不再进行土方回填、转运以及其他可能产生扬尘污染的施工。避免露天堆放起尘物（如回填用土、建筑砂石等），即使必须露天堆放，也要加盖苫布，减少大风造成的施工扬尘。</w:t>
            </w:r>
          </w:p>
          <w:p w14:paraId="68BDA568">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hAnsi="Times New Roman" w:cs="Times New Roman"/>
                <w:bCs/>
                <w:color w:val="auto"/>
                <w:lang w:val="en-US" w:eastAsia="zh-CN"/>
              </w:rPr>
              <w:t>9</w:t>
            </w:r>
            <w:r>
              <w:rPr>
                <w:rFonts w:hint="default" w:ascii="Times New Roman" w:hAnsi="Times New Roman" w:cs="Times New Roman"/>
                <w:bCs/>
                <w:color w:val="auto"/>
              </w:rPr>
              <w:t>）采用商品混凝土浆</w:t>
            </w:r>
          </w:p>
          <w:p w14:paraId="6C56ED6F">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项目施工期采用商品混凝土浆，大大减少了水泥、黄砂、石子等建筑材料在运输、装卸、堆放过程中产生的扬尘影响，同时还可减轻水泥搅拌机的噪声影响。</w:t>
            </w:r>
          </w:p>
          <w:p w14:paraId="7C5EC55E">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hAnsi="Times New Roman" w:cs="Times New Roman"/>
                <w:bCs/>
                <w:color w:val="auto"/>
                <w:lang w:val="en-US" w:eastAsia="zh-CN"/>
              </w:rPr>
              <w:t>10</w:t>
            </w:r>
            <w:r>
              <w:rPr>
                <w:rFonts w:hint="default" w:ascii="Times New Roman" w:hAnsi="Times New Roman" w:cs="Times New Roman"/>
                <w:bCs/>
                <w:color w:val="auto"/>
              </w:rPr>
              <w:t>）及时绿化及覆盖</w:t>
            </w:r>
          </w:p>
          <w:p w14:paraId="187AD9C7">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对工程施工造成的裸露地面进行绿化，短时间裸露的地面要进行苫盖，至项目施工期结束时，实现绿化或苫盖，达到“黄土不露天”，防止地面扬尘对周围大气环境产生影响。对施工临时占地的暂存土方进行了遮盖处理或喷洒抑尘剂。从事散装货物运输的车辆，特别是运输建筑垃圾、建筑材料等易产生扬尘物料的车辆，必须封盖严密，不得撒漏。</w:t>
            </w:r>
          </w:p>
          <w:p w14:paraId="49D08F1F">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（1</w:t>
            </w:r>
            <w:r>
              <w:rPr>
                <w:rFonts w:hint="eastAsia" w:hAnsi="Times New Roman" w:cs="Times New Roman"/>
                <w:color w:val="auto"/>
                <w:lang w:val="en-US" w:eastAsia="zh-CN"/>
              </w:rPr>
              <w:t>1</w:t>
            </w:r>
            <w:r>
              <w:rPr>
                <w:rFonts w:hint="default" w:ascii="Times New Roman" w:hAnsi="Times New Roman" w:cs="Times New Roman"/>
                <w:color w:val="auto"/>
              </w:rPr>
              <w:t>）及时清运垃圾、渣土</w:t>
            </w:r>
          </w:p>
          <w:p w14:paraId="7D37CFED">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建筑垃圾、工程渣土在48小时内不能完成清运的，在施工工地内设置临时堆放场，临时堆放场采取围挡、遮盖等防尘措施。渣土、建筑垃圾、拆除垃圾等运输过程中应当选择车况良好的密闭式车辆，以避免因车辆本身振动而造成土方或物料散落地面，从而产生扬尘污染。运输过程中限制车速，施工场地道路及时清扫，经常洒水，最大限度减轻道路运输扬尘的产生。</w:t>
            </w:r>
          </w:p>
          <w:p w14:paraId="66B860D6">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4"/>
                <w:u w:val="none"/>
              </w:rPr>
            </w:pPr>
            <w:r>
              <w:rPr>
                <w:rFonts w:hint="default" w:ascii="Times New Roman" w:hAnsi="Times New Roman" w:cs="Times New Roman"/>
                <w:sz w:val="24"/>
                <w:szCs w:val="24"/>
                <w:u w:val="none"/>
                <w:lang w:val="en-US" w:eastAsia="zh-CN"/>
              </w:rPr>
              <w:t>1.2、</w:t>
            </w:r>
            <w:r>
              <w:rPr>
                <w:rFonts w:hint="default" w:ascii="Times New Roman" w:hAnsi="Times New Roman" w:eastAsia="宋体" w:cs="Times New Roman"/>
                <w:sz w:val="24"/>
                <w:szCs w:val="24"/>
                <w:u w:val="none"/>
              </w:rPr>
              <w:t>施工运输车辆和作业机械产生的废气</w:t>
            </w:r>
          </w:p>
          <w:p w14:paraId="284B37AF">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施工阶段用到的施工机械主要包括挖掘机、铲车、物料运输车辆等，本项目燃油机械所使用的燃料为0#轻质柴油，均从加油站处购买。根据《车用柴油》（GB/T 19147-2003）标准规定，轻柴油中S含量＜0.05%，灰分＜0.01%。 因此，燃油机械在使用轻质柴油时，燃烧废气中SO</w:t>
            </w:r>
            <w:r>
              <w:rPr>
                <w:rFonts w:hint="default" w:ascii="Times New Roman" w:hAnsi="Times New Roman" w:eastAsia="宋体" w:cs="Times New Roman"/>
                <w:sz w:val="24"/>
                <w:szCs w:val="24"/>
                <w:u w:val="none"/>
                <w:vertAlign w:val="subscript"/>
              </w:rPr>
              <w:t>2</w:t>
            </w:r>
            <w:r>
              <w:rPr>
                <w:rFonts w:hint="default" w:ascii="Times New Roman" w:hAnsi="Times New Roman" w:eastAsia="宋体" w:cs="Times New Roman"/>
                <w:sz w:val="24"/>
                <w:szCs w:val="24"/>
                <w:u w:val="none"/>
              </w:rPr>
              <w:t>和颗粒物排放量较少，对周边环境影响不大。根据</w:t>
            </w:r>
            <w:r>
              <w:rPr>
                <w:rFonts w:hint="default" w:ascii="Times New Roman" w:hAnsi="Times New Roman" w:cs="Times New Roman"/>
                <w:sz w:val="24"/>
                <w:szCs w:val="24"/>
                <w:u w:val="none"/>
                <w:lang w:val="en-US" w:eastAsia="zh-CN"/>
              </w:rPr>
              <w:t>河南省生态环境厅</w:t>
            </w:r>
            <w:r>
              <w:rPr>
                <w:rFonts w:hint="default" w:ascii="Times New Roman" w:hAnsi="Times New Roman" w:eastAsia="宋体" w:cs="Times New Roman"/>
                <w:sz w:val="24"/>
                <w:szCs w:val="24"/>
                <w:u w:val="none"/>
              </w:rPr>
              <w:t>印发</w:t>
            </w:r>
            <w:r>
              <w:rPr>
                <w:rFonts w:hint="default" w:ascii="Times New Roman" w:hAnsi="Times New Roman" w:cs="Times New Roman"/>
                <w:sz w:val="24"/>
                <w:szCs w:val="24"/>
                <w:u w:val="none"/>
                <w:lang w:eastAsia="zh-CN"/>
              </w:rPr>
              <w:t>《河南省重污染天气</w:t>
            </w:r>
            <w:r>
              <w:rPr>
                <w:rFonts w:hint="eastAsia" w:cs="Times New Roman"/>
                <w:sz w:val="24"/>
                <w:szCs w:val="24"/>
                <w:u w:val="none"/>
                <w:lang w:val="en-US" w:eastAsia="zh-CN"/>
              </w:rPr>
              <w:t>重点</w:t>
            </w:r>
            <w:r>
              <w:rPr>
                <w:rFonts w:hint="default" w:ascii="Times New Roman" w:hAnsi="Times New Roman" w:cs="Times New Roman"/>
                <w:sz w:val="24"/>
                <w:szCs w:val="24"/>
                <w:u w:val="none"/>
                <w:lang w:eastAsia="zh-CN"/>
              </w:rPr>
              <w:t>行业应急减排措施制定技术指南（202</w:t>
            </w:r>
            <w:r>
              <w:rPr>
                <w:rFonts w:hint="eastAsia" w:cs="Times New Roman"/>
                <w:sz w:val="24"/>
                <w:szCs w:val="24"/>
                <w:u w:val="none"/>
                <w:lang w:val="en-US" w:eastAsia="zh-CN"/>
              </w:rPr>
              <w:t>4</w:t>
            </w:r>
            <w:r>
              <w:rPr>
                <w:rFonts w:hint="default" w:ascii="Times New Roman" w:hAnsi="Times New Roman" w:cs="Times New Roman"/>
                <w:sz w:val="24"/>
                <w:szCs w:val="24"/>
                <w:u w:val="none"/>
                <w:lang w:eastAsia="zh-CN"/>
              </w:rPr>
              <w:t>年修订版）》</w:t>
            </w:r>
            <w:r>
              <w:rPr>
                <w:rFonts w:hint="default" w:ascii="Times New Roman" w:hAnsi="Times New Roman" w:cs="Times New Roman"/>
                <w:sz w:val="24"/>
                <w:szCs w:val="24"/>
                <w:u w:val="none"/>
                <w:lang w:val="en-US" w:eastAsia="zh-CN"/>
              </w:rPr>
              <w:t>中对于运输方式的要求，</w:t>
            </w:r>
            <w:r>
              <w:rPr>
                <w:rFonts w:hint="default" w:ascii="Times New Roman" w:hAnsi="Times New Roman" w:cs="Times New Roman"/>
                <w:sz w:val="24"/>
                <w:szCs w:val="24"/>
                <w:highlight w:val="none"/>
                <w:u w:val="none"/>
                <w:lang w:val="en-US" w:eastAsia="zh-CN"/>
              </w:rPr>
              <w:t>厂内</w:t>
            </w:r>
            <w:r>
              <w:rPr>
                <w:rFonts w:hint="default" w:ascii="Times New Roman" w:hAnsi="Times New Roman" w:eastAsia="宋体" w:cs="Times New Roman"/>
                <w:sz w:val="24"/>
                <w:szCs w:val="24"/>
                <w:highlight w:val="none"/>
                <w:u w:val="none"/>
              </w:rPr>
              <w:t>非道路移动机械均采用国</w:t>
            </w:r>
            <w:r>
              <w:rPr>
                <w:rFonts w:hint="eastAsia" w:cs="Times New Roman"/>
                <w:sz w:val="24"/>
                <w:szCs w:val="24"/>
                <w:highlight w:val="none"/>
                <w:u w:val="none"/>
                <w:lang w:val="en-US" w:eastAsia="zh-CN"/>
              </w:rPr>
              <w:t>三</w:t>
            </w:r>
            <w:r>
              <w:rPr>
                <w:rFonts w:hint="default" w:ascii="Times New Roman" w:hAnsi="Times New Roman" w:eastAsia="宋体" w:cs="Times New Roman"/>
                <w:sz w:val="24"/>
                <w:szCs w:val="24"/>
                <w:highlight w:val="none"/>
                <w:u w:val="none"/>
              </w:rPr>
              <w:t>及以上</w:t>
            </w:r>
            <w:r>
              <w:rPr>
                <w:rFonts w:hint="default" w:ascii="Times New Roman" w:hAnsi="Times New Roman" w:cs="Times New Roman"/>
                <w:sz w:val="24"/>
                <w:szCs w:val="24"/>
                <w:highlight w:val="none"/>
                <w:u w:val="none"/>
                <w:lang w:val="en-US" w:eastAsia="zh-CN"/>
              </w:rPr>
              <w:t>排放标准，厂内运输车辆要达到达到国五及以上排放标准（重型燃气车辆达到国六排放标准）或使用新能源车辆来</w:t>
            </w:r>
            <w:r>
              <w:rPr>
                <w:rFonts w:hint="default" w:ascii="Times New Roman" w:hAnsi="Times New Roman" w:eastAsia="宋体" w:cs="Times New Roman"/>
                <w:sz w:val="24"/>
                <w:szCs w:val="24"/>
                <w:highlight w:val="none"/>
                <w:u w:val="none"/>
              </w:rPr>
              <w:t>运输物料。</w:t>
            </w:r>
            <w:r>
              <w:rPr>
                <w:rFonts w:hint="default" w:ascii="Times New Roman" w:hAnsi="Times New Roman" w:eastAsia="宋体" w:cs="Times New Roman"/>
                <w:sz w:val="24"/>
                <w:szCs w:val="24"/>
                <w:u w:val="none"/>
              </w:rPr>
              <w:t>此外，运输车辆禁止超载，不得使用劣质燃料；对车辆尾气的排放应进行监督管理，严格执行汽车排污监管办法相关规定，避免排放黑烟。经采取上述措施后对周围环境的影响较小。</w:t>
            </w:r>
          </w:p>
          <w:p w14:paraId="58713CE4">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实际的施工经验表明，</w:t>
            </w:r>
            <w:r>
              <w:rPr>
                <w:rFonts w:hint="default" w:ascii="Times New Roman" w:hAnsi="Times New Roman" w:cs="Times New Roman"/>
                <w:bCs/>
                <w:color w:val="auto"/>
                <w:sz w:val="24"/>
                <w:lang w:val="en-US" w:eastAsia="zh-CN"/>
              </w:rPr>
              <w:t>施工期</w:t>
            </w:r>
            <w:r>
              <w:rPr>
                <w:rFonts w:hint="default" w:ascii="Times New Roman" w:hAnsi="Times New Roman" w:cs="Times New Roman"/>
                <w:bCs/>
                <w:color w:val="auto"/>
                <w:sz w:val="24"/>
              </w:rPr>
              <w:t>污染</w:t>
            </w:r>
            <w:r>
              <w:rPr>
                <w:rFonts w:hint="default" w:ascii="Times New Roman" w:hAnsi="Times New Roman" w:cs="Times New Roman"/>
                <w:bCs/>
                <w:color w:val="auto"/>
                <w:sz w:val="24"/>
                <w:lang w:val="en-US" w:eastAsia="zh-CN"/>
              </w:rPr>
              <w:t>物</w:t>
            </w:r>
            <w:r>
              <w:rPr>
                <w:rFonts w:hint="default" w:ascii="Times New Roman" w:hAnsi="Times New Roman" w:cs="Times New Roman"/>
                <w:bCs/>
                <w:color w:val="auto"/>
                <w:sz w:val="24"/>
              </w:rPr>
              <w:t>的严重程度还和施工队作业的文明程度有关，施工单位还应该加强管理，严格约束施工行为，禁止乱挖多挖</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经采取上述措施后，施工期扬尘能得到有效控制，因此，扬尘污染控制措施可行。</w:t>
            </w:r>
          </w:p>
          <w:p w14:paraId="420E29EA">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kern w:val="0"/>
              </w:rPr>
            </w:pPr>
            <w:r>
              <w:rPr>
                <w:rFonts w:hint="default" w:ascii="Times New Roman" w:hAnsi="Times New Roman" w:cs="Times New Roman"/>
                <w:b/>
                <w:kern w:val="0"/>
              </w:rPr>
              <w:t>2、水污染防治措施</w:t>
            </w:r>
          </w:p>
          <w:p w14:paraId="5A5979F5">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施工期废水主要为施工</w:t>
            </w:r>
            <w:r>
              <w:rPr>
                <w:rFonts w:hint="default" w:ascii="Times New Roman" w:hAnsi="Times New Roman" w:cs="Times New Roman"/>
                <w:bCs/>
                <w:color w:val="auto"/>
                <w:sz w:val="24"/>
                <w:highlight w:val="none"/>
              </w:rPr>
              <w:t>生产废水和施工人员的生活污水</w:t>
            </w:r>
            <w:r>
              <w:rPr>
                <w:rFonts w:hint="default" w:ascii="Times New Roman" w:hAnsi="Times New Roman" w:cs="Times New Roman"/>
                <w:bCs/>
                <w:color w:val="auto"/>
                <w:sz w:val="24"/>
              </w:rPr>
              <w:t>，施工单位应采取合理的减缓措施，使施工活动对水环境的影响减少到最小限度。</w:t>
            </w:r>
          </w:p>
          <w:p w14:paraId="59A14B0A">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val="0"/>
                <w:bCs/>
                <w:color w:val="auto"/>
              </w:rPr>
            </w:pPr>
            <w:r>
              <w:rPr>
                <w:rFonts w:hint="default" w:ascii="Times New Roman" w:hAnsi="Times New Roman" w:cs="Times New Roman"/>
                <w:b w:val="0"/>
                <w:bCs/>
                <w:color w:val="auto"/>
                <w:lang w:eastAsia="zh-CN"/>
              </w:rPr>
              <w:t>（</w:t>
            </w:r>
            <w:r>
              <w:rPr>
                <w:rFonts w:hint="default" w:ascii="Times New Roman" w:hAnsi="Times New Roman" w:cs="Times New Roman"/>
                <w:b w:val="0"/>
                <w:bCs/>
                <w:color w:val="auto"/>
                <w:lang w:val="en-US" w:eastAsia="zh-CN"/>
              </w:rPr>
              <w:t>1</w:t>
            </w:r>
            <w:r>
              <w:rPr>
                <w:rFonts w:hint="default" w:ascii="Times New Roman" w:hAnsi="Times New Roman" w:cs="Times New Roman"/>
                <w:b w:val="0"/>
                <w:bCs/>
                <w:color w:val="auto"/>
                <w:lang w:eastAsia="zh-CN"/>
              </w:rPr>
              <w:t>）</w:t>
            </w:r>
            <w:r>
              <w:rPr>
                <w:rFonts w:hint="default" w:ascii="Times New Roman" w:hAnsi="Times New Roman" w:cs="Times New Roman"/>
                <w:b w:val="0"/>
                <w:bCs/>
                <w:color w:val="auto"/>
              </w:rPr>
              <w:t>生活污水</w:t>
            </w:r>
          </w:p>
          <w:p w14:paraId="0B86D0F5">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施工人员</w:t>
            </w:r>
            <w:r>
              <w:rPr>
                <w:rFonts w:hint="default" w:ascii="Times New Roman" w:hAnsi="Times New Roman" w:cs="Times New Roman"/>
                <w:bCs/>
                <w:color w:val="auto"/>
                <w:sz w:val="24"/>
                <w:lang w:val="en-US" w:eastAsia="zh-CN"/>
              </w:rPr>
              <w:t>为1</w:t>
            </w:r>
            <w:r>
              <w:rPr>
                <w:rFonts w:hint="eastAsia" w:cs="Times New Roman"/>
                <w:bCs/>
                <w:color w:val="auto"/>
                <w:sz w:val="24"/>
                <w:lang w:val="en-US" w:eastAsia="zh-CN"/>
              </w:rPr>
              <w:t>0</w:t>
            </w:r>
            <w:r>
              <w:rPr>
                <w:rFonts w:hint="default" w:ascii="Times New Roman" w:hAnsi="Times New Roman" w:cs="Times New Roman"/>
                <w:bCs/>
                <w:color w:val="auto"/>
                <w:sz w:val="24"/>
                <w:lang w:val="en-US" w:eastAsia="zh-CN"/>
              </w:rPr>
              <w:t>人，</w:t>
            </w:r>
            <w:r>
              <w:rPr>
                <w:rFonts w:hint="default" w:ascii="Times New Roman" w:hAnsi="Times New Roman" w:cs="Times New Roman"/>
                <w:bCs/>
                <w:color w:val="auto"/>
                <w:sz w:val="24"/>
              </w:rPr>
              <w:t>生活污水产生量较小，因水质污染因子较简单，施工场地设置化粪池，厕所污水由专门清污车辆定期清理，做农田肥料使用，综合利用，不外排</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对周围地表水环境影响</w:t>
            </w:r>
            <w:r>
              <w:rPr>
                <w:rFonts w:hint="default" w:ascii="Times New Roman" w:hAnsi="Times New Roman" w:cs="Times New Roman"/>
                <w:bCs/>
                <w:color w:val="auto"/>
                <w:sz w:val="24"/>
                <w:lang w:val="en-US" w:eastAsia="zh-CN"/>
              </w:rPr>
              <w:t>较小</w:t>
            </w:r>
            <w:r>
              <w:rPr>
                <w:rFonts w:hint="default" w:ascii="Times New Roman" w:hAnsi="Times New Roman" w:cs="Times New Roman"/>
                <w:bCs/>
                <w:color w:val="auto"/>
                <w:sz w:val="24"/>
              </w:rPr>
              <w:t>。</w:t>
            </w:r>
          </w:p>
          <w:p w14:paraId="0CD242B7">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val="0"/>
                <w:bCs/>
                <w:color w:val="auto"/>
              </w:rPr>
            </w:pPr>
            <w:r>
              <w:rPr>
                <w:rFonts w:hint="default" w:ascii="Times New Roman" w:hAnsi="Times New Roman" w:cs="Times New Roman"/>
                <w:b w:val="0"/>
                <w:bCs/>
                <w:color w:val="auto"/>
                <w:lang w:eastAsia="zh-CN"/>
              </w:rPr>
              <w:t>（</w:t>
            </w:r>
            <w:r>
              <w:rPr>
                <w:rFonts w:hint="default" w:ascii="Times New Roman" w:hAnsi="Times New Roman" w:cs="Times New Roman"/>
                <w:b w:val="0"/>
                <w:bCs/>
                <w:color w:val="auto"/>
                <w:lang w:val="en-US" w:eastAsia="zh-CN"/>
              </w:rPr>
              <w:t>2</w:t>
            </w:r>
            <w:r>
              <w:rPr>
                <w:rFonts w:hint="default" w:ascii="Times New Roman" w:hAnsi="Times New Roman" w:cs="Times New Roman"/>
                <w:b w:val="0"/>
                <w:bCs/>
                <w:color w:val="auto"/>
                <w:lang w:eastAsia="zh-CN"/>
              </w:rPr>
              <w:t>）</w:t>
            </w:r>
            <w:r>
              <w:rPr>
                <w:rFonts w:hint="default" w:ascii="Times New Roman" w:hAnsi="Times New Roman" w:cs="Times New Roman"/>
                <w:b w:val="0"/>
                <w:bCs/>
                <w:color w:val="auto"/>
              </w:rPr>
              <w:t>施工废水</w:t>
            </w:r>
          </w:p>
          <w:p w14:paraId="4C00ADD4">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rPr>
              <w:t>施工期生产废水主要是施工过程中混凝土</w:t>
            </w:r>
            <w:r>
              <w:rPr>
                <w:rFonts w:hint="default" w:ascii="Times New Roman" w:hAnsi="Times New Roman" w:cs="Times New Roman"/>
                <w:color w:val="auto"/>
                <w:sz w:val="24"/>
                <w:lang w:val="en-US" w:eastAsia="zh-CN"/>
              </w:rPr>
              <w:t>喷洒</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车辆冲洗废水、</w:t>
            </w:r>
            <w:r>
              <w:rPr>
                <w:rFonts w:hint="default" w:ascii="Times New Roman" w:hAnsi="Times New Roman" w:cs="Times New Roman"/>
                <w:color w:val="auto"/>
                <w:sz w:val="24"/>
              </w:rPr>
              <w:t>冲洗骨料等过程产生的冲洗</w:t>
            </w:r>
            <w:r>
              <w:rPr>
                <w:rFonts w:hint="default" w:ascii="Times New Roman" w:hAnsi="Times New Roman" w:cs="Times New Roman"/>
                <w:color w:val="auto"/>
                <w:sz w:val="24"/>
                <w:lang w:val="en-US" w:eastAsia="zh-CN"/>
              </w:rPr>
              <w:t>废</w:t>
            </w:r>
            <w:r>
              <w:rPr>
                <w:rFonts w:hint="default" w:ascii="Times New Roman" w:hAnsi="Times New Roman" w:cs="Times New Roman"/>
                <w:color w:val="auto"/>
                <w:sz w:val="24"/>
              </w:rPr>
              <w:t>水，施工单位应做好以下防治措施：</w:t>
            </w:r>
          </w:p>
          <w:p w14:paraId="48796311">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①</w:t>
            </w:r>
            <w:r>
              <w:rPr>
                <w:rFonts w:hint="default" w:ascii="Times New Roman" w:hAnsi="Times New Roman" w:cs="Times New Roman"/>
                <w:color w:val="auto"/>
                <w:sz w:val="24"/>
              </w:rPr>
              <w:t>严禁施工废水乱排、乱流，不</w:t>
            </w:r>
            <w:r>
              <w:rPr>
                <w:rFonts w:hint="default" w:ascii="Times New Roman" w:hAnsi="Times New Roman" w:cs="Times New Roman"/>
                <w:color w:val="auto"/>
                <w:sz w:val="24"/>
                <w:lang w:val="en-US" w:eastAsia="zh-CN"/>
              </w:rPr>
              <w:t>能</w:t>
            </w:r>
            <w:r>
              <w:rPr>
                <w:rFonts w:hint="default" w:ascii="Times New Roman" w:hAnsi="Times New Roman" w:cs="Times New Roman"/>
                <w:color w:val="auto"/>
                <w:sz w:val="24"/>
              </w:rPr>
              <w:t>随意排放</w:t>
            </w:r>
            <w:r>
              <w:rPr>
                <w:rFonts w:hint="default" w:ascii="Times New Roman" w:hAnsi="Times New Roman" w:cs="Times New Roman"/>
                <w:color w:val="auto"/>
                <w:sz w:val="24"/>
                <w:lang w:val="en-US" w:eastAsia="zh-CN"/>
              </w:rPr>
              <w:t>而</w:t>
            </w:r>
            <w:r>
              <w:rPr>
                <w:rFonts w:hint="default" w:ascii="Times New Roman" w:hAnsi="Times New Roman" w:cs="Times New Roman"/>
                <w:color w:val="auto"/>
                <w:sz w:val="24"/>
              </w:rPr>
              <w:t>对周围地表水体造成影响。</w:t>
            </w:r>
          </w:p>
          <w:p w14:paraId="015F269D">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②</w:t>
            </w:r>
            <w:r>
              <w:rPr>
                <w:rFonts w:hint="default" w:ascii="Times New Roman" w:hAnsi="Times New Roman" w:cs="Times New Roman"/>
                <w:color w:val="auto"/>
                <w:sz w:val="24"/>
              </w:rPr>
              <w:t>施工场地应及时清理，施工废水由于SS含量较高，</w:t>
            </w:r>
            <w:r>
              <w:rPr>
                <w:rFonts w:hint="default" w:ascii="Times New Roman" w:hAnsi="Times New Roman" w:cs="Times New Roman"/>
                <w:color w:val="auto"/>
                <w:sz w:val="24"/>
                <w:lang w:val="en-US" w:eastAsia="zh-CN"/>
              </w:rPr>
              <w:t>水质污染因子较为简单，施工场地建设临时沉淀池，</w:t>
            </w:r>
            <w:r>
              <w:rPr>
                <w:rFonts w:hint="default" w:ascii="Times New Roman" w:hAnsi="Times New Roman" w:eastAsia="宋体" w:cs="Times New Roman"/>
                <w:sz w:val="24"/>
                <w:szCs w:val="24"/>
                <w:u w:val="none"/>
              </w:rPr>
              <w:t>施工废水</w:t>
            </w:r>
            <w:r>
              <w:rPr>
                <w:rFonts w:hint="default" w:ascii="Times New Roman" w:hAnsi="Times New Roman" w:cs="Times New Roman"/>
                <w:sz w:val="24"/>
                <w:szCs w:val="24"/>
                <w:u w:val="none"/>
                <w:lang w:val="en-US" w:eastAsia="zh-CN"/>
              </w:rPr>
              <w:t>经过</w:t>
            </w:r>
            <w:r>
              <w:rPr>
                <w:rFonts w:hint="default" w:ascii="Times New Roman" w:hAnsi="Times New Roman" w:eastAsia="宋体" w:cs="Times New Roman"/>
                <w:sz w:val="24"/>
                <w:szCs w:val="24"/>
                <w:u w:val="none"/>
              </w:rPr>
              <w:t>收集、沉淀处理后回用或用于施工场地及道路洒水抑尘，不外排。</w:t>
            </w:r>
          </w:p>
          <w:p w14:paraId="7A601F3A">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③</w:t>
            </w:r>
            <w:r>
              <w:rPr>
                <w:rFonts w:hint="default" w:ascii="Times New Roman" w:hAnsi="Times New Roman" w:cs="Times New Roman"/>
                <w:color w:val="auto"/>
                <w:sz w:val="24"/>
              </w:rPr>
              <w:t>加强</w:t>
            </w:r>
            <w:r>
              <w:rPr>
                <w:rFonts w:hint="default" w:ascii="Times New Roman" w:hAnsi="Times New Roman" w:cs="Times New Roman"/>
                <w:color w:val="auto"/>
                <w:sz w:val="24"/>
                <w:lang w:val="en-US" w:eastAsia="zh-CN"/>
              </w:rPr>
              <w:t>施工期</w:t>
            </w:r>
            <w:r>
              <w:rPr>
                <w:rFonts w:hint="default" w:ascii="Times New Roman" w:hAnsi="Times New Roman" w:cs="Times New Roman"/>
                <w:color w:val="auto"/>
                <w:sz w:val="24"/>
              </w:rPr>
              <w:t>管理，节约用水，提高施工人员的环保意识，</w:t>
            </w:r>
            <w:r>
              <w:rPr>
                <w:rFonts w:hint="default" w:ascii="Times New Roman" w:hAnsi="Times New Roman" w:cs="Times New Roman"/>
                <w:color w:val="auto"/>
                <w:sz w:val="24"/>
                <w:lang w:val="en-US" w:eastAsia="zh-CN"/>
              </w:rPr>
              <w:t>减少</w:t>
            </w:r>
            <w:r>
              <w:rPr>
                <w:rFonts w:hint="default" w:ascii="Times New Roman" w:hAnsi="Times New Roman" w:cs="Times New Roman"/>
                <w:color w:val="auto"/>
                <w:sz w:val="24"/>
              </w:rPr>
              <w:t>对周围环境造成影响。</w:t>
            </w:r>
          </w:p>
          <w:p w14:paraId="56D7BE30">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rPr>
            </w:pPr>
            <w:r>
              <w:rPr>
                <w:rFonts w:hint="default" w:ascii="Times New Roman" w:hAnsi="Times New Roman" w:cs="Times New Roman"/>
                <w:color w:val="auto"/>
                <w:sz w:val="24"/>
              </w:rPr>
              <w:t>综上所述，本评价认为上述施工期废水污染防治措施有效可行，采取上述防治措施后，可以有效地减小施工期废水对周围地表水体的影响。</w:t>
            </w:r>
          </w:p>
          <w:p w14:paraId="1DA7ADF4">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kern w:val="0"/>
              </w:rPr>
            </w:pPr>
            <w:r>
              <w:rPr>
                <w:rFonts w:hint="default" w:ascii="Times New Roman" w:hAnsi="Times New Roman" w:cs="Times New Roman"/>
                <w:b/>
                <w:kern w:val="0"/>
              </w:rPr>
              <w:t>3、噪声污染防治措施</w:t>
            </w:r>
          </w:p>
          <w:p w14:paraId="44160B99">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施工期噪声主要可分为机械噪声、施工作业噪声和施工车辆噪声</w:t>
            </w:r>
            <w:r>
              <w:rPr>
                <w:rFonts w:hint="default" w:ascii="Times New Roman" w:hAnsi="Times New Roman" w:cs="Times New Roman"/>
                <w:sz w:val="24"/>
                <w:szCs w:val="24"/>
                <w:u w:val="none"/>
                <w:lang w:eastAsia="zh-CN"/>
              </w:rPr>
              <w:t>。</w:t>
            </w:r>
            <w:r>
              <w:rPr>
                <w:rFonts w:hint="default" w:ascii="Times New Roman" w:hAnsi="Times New Roman" w:eastAsia="宋体" w:cs="Times New Roman"/>
                <w:sz w:val="24"/>
                <w:szCs w:val="24"/>
                <w:u w:val="none"/>
              </w:rPr>
              <w:t>本项目使用的施工机械主要有如挖土机、</w:t>
            </w:r>
            <w:r>
              <w:rPr>
                <w:rFonts w:hint="default" w:ascii="Times New Roman" w:hAnsi="Times New Roman" w:cs="Times New Roman"/>
                <w:sz w:val="24"/>
                <w:szCs w:val="24"/>
                <w:u w:val="none"/>
                <w:lang w:val="en-US" w:eastAsia="zh-CN"/>
              </w:rPr>
              <w:t>铲车</w:t>
            </w:r>
            <w:r>
              <w:rPr>
                <w:rFonts w:hint="default" w:ascii="Times New Roman" w:hAnsi="Times New Roman" w:eastAsia="宋体" w:cs="Times New Roman"/>
                <w:sz w:val="24"/>
                <w:szCs w:val="24"/>
                <w:u w:val="none"/>
              </w:rPr>
              <w:t>等，多为点声源；施工作业噪声主要指一些零星的敲打声、装卸车辆的撞击声、拆卸模板的撞击声等，多为瞬时噪声；施工车辆的噪声属于交通噪声，为减轻施工期噪声对周围敏感点的影响，评价建议施工作业时应采取以下措施：</w:t>
            </w:r>
          </w:p>
          <w:p w14:paraId="25AF9A5A">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①选用低噪声设备和工艺；加强检查、维护和保养机械设备，保持润滑，紧固各部件，减少运行震动噪声。整体设备应安放稳固，并于地面保持良好接触，有条件的应使用减振机座，降低噪声。</w:t>
            </w:r>
            <w:r>
              <w:rPr>
                <w:rFonts w:hint="default" w:ascii="Times New Roman" w:hAnsi="Times New Roman" w:cs="Times New Roman"/>
                <w:bCs/>
                <w:color w:val="000000"/>
                <w:sz w:val="24"/>
                <w:szCs w:val="24"/>
                <w:u w:val="none"/>
              </w:rPr>
              <w:t>控制施工场界噪声不超过《建筑施工场界环境噪声排放标准》（GB12523-2011）。</w:t>
            </w:r>
          </w:p>
          <w:p w14:paraId="454E6FD1">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②合理布局施工现场，避免在同一地点安排大量动力机械设备，以避免局部声级过高；固定施工设备安置过程中尽量远离敏感点，运输路线的设置亦尽量避免对敏感目标造成影响，本项目高噪声设备应尽量远离敏感点；</w:t>
            </w:r>
          </w:p>
          <w:p w14:paraId="5E7D87B8">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③合理安排施工时间，</w:t>
            </w:r>
            <w:r>
              <w:rPr>
                <w:rFonts w:hint="default" w:ascii="Times New Roman" w:hAnsi="Times New Roman" w:cs="Times New Roman"/>
                <w:bCs/>
                <w:color w:val="000000"/>
                <w:sz w:val="24"/>
                <w:szCs w:val="24"/>
                <w:u w:val="none"/>
                <w:lang w:val="en-US" w:eastAsia="zh-CN"/>
              </w:rPr>
              <w:t>严禁夜间进行高噪声施工，</w:t>
            </w:r>
            <w:r>
              <w:rPr>
                <w:rFonts w:hint="default" w:ascii="Times New Roman" w:hAnsi="Times New Roman" w:eastAsia="宋体" w:cs="Times New Roman"/>
                <w:sz w:val="24"/>
                <w:szCs w:val="24"/>
                <w:u w:val="none"/>
              </w:rPr>
              <w:t>尽可能避免大量搅拌机等高噪声设备同时施工；</w:t>
            </w:r>
          </w:p>
          <w:p w14:paraId="5D6BFC83">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④合理划定运输路线，尽量避开敏感点，适当限制大型载重车的车速，车辆进入施工场地时应限速禁鸣；定期对运输车辆维修、养护；</w:t>
            </w:r>
          </w:p>
          <w:p w14:paraId="093B5996">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⑤加强管理，防止因工作失当或措施未落实到位造成噪声扰民；</w:t>
            </w:r>
          </w:p>
          <w:p w14:paraId="6FC9E14C">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u w:val="none"/>
              </w:rPr>
            </w:pPr>
            <w:r>
              <w:rPr>
                <w:rFonts w:hint="default" w:ascii="Times New Roman" w:hAnsi="Times New Roman" w:eastAsia="宋体" w:cs="Times New Roman"/>
                <w:sz w:val="24"/>
                <w:szCs w:val="24"/>
                <w:u w:val="none"/>
              </w:rPr>
              <w:t>由于施工噪声为临时影响，项目施工期在认真落实上述环保措施后，能够有效降低噪声对周围环境敏感点的影响。另外，项目施工期噪声对环境影响是暂时的，随着施工期的结束，该影响随之消失。</w:t>
            </w:r>
          </w:p>
          <w:p w14:paraId="0968AF7B">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kern w:val="0"/>
              </w:rPr>
            </w:pPr>
            <w:r>
              <w:rPr>
                <w:rFonts w:hint="default" w:ascii="Times New Roman" w:hAnsi="Times New Roman" w:cs="Times New Roman"/>
                <w:b/>
                <w:kern w:val="0"/>
              </w:rPr>
              <w:t>4、固废污染防治措施</w:t>
            </w:r>
          </w:p>
          <w:p w14:paraId="6671FF14">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kern w:val="0"/>
                <w:lang w:eastAsia="zh-CN"/>
              </w:rPr>
            </w:pPr>
            <w:r>
              <w:rPr>
                <w:rFonts w:hint="default" w:ascii="Times New Roman" w:hAnsi="Times New Roman" w:cs="Times New Roman"/>
                <w:kern w:val="0"/>
              </w:rPr>
              <w:t>（1）</w:t>
            </w:r>
            <w:r>
              <w:rPr>
                <w:rFonts w:hint="default" w:ascii="Times New Roman" w:hAnsi="Times New Roman" w:cs="Times New Roman"/>
                <w:kern w:val="0"/>
                <w:lang w:eastAsia="zh-CN"/>
              </w:rPr>
              <w:t>建筑垃圾</w:t>
            </w:r>
          </w:p>
          <w:p w14:paraId="1D12F1BF">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rPr>
            </w:pPr>
            <w:r>
              <w:rPr>
                <w:rFonts w:hint="default" w:ascii="Times New Roman" w:hAnsi="Times New Roman" w:cs="Times New Roman"/>
                <w:kern w:val="0"/>
              </w:rPr>
              <w:t>建筑垃圾主要是一些包装袋、</w:t>
            </w:r>
            <w:r>
              <w:rPr>
                <w:rFonts w:hint="eastAsia" w:hAnsi="Times New Roman" w:cs="Times New Roman"/>
                <w:kern w:val="0"/>
                <w:lang w:val="en-US" w:eastAsia="zh-CN"/>
              </w:rPr>
              <w:t>废石块</w:t>
            </w:r>
            <w:r>
              <w:rPr>
                <w:rFonts w:hint="default" w:ascii="Times New Roman" w:hAnsi="Times New Roman" w:cs="Times New Roman"/>
                <w:kern w:val="0"/>
                <w:lang w:val="en-US" w:eastAsia="zh-CN"/>
              </w:rPr>
              <w:t>和废金属垃圾</w:t>
            </w:r>
            <w:r>
              <w:rPr>
                <w:rFonts w:hint="default" w:ascii="Times New Roman" w:hAnsi="Times New Roman" w:cs="Times New Roman"/>
                <w:kern w:val="0"/>
              </w:rPr>
              <w:t>等，首先应对其中可回收利用部分进行回收</w:t>
            </w:r>
            <w:r>
              <w:rPr>
                <w:rFonts w:hint="eastAsia" w:hAnsi="Times New Roman" w:cs="Times New Roman"/>
                <w:kern w:val="0"/>
                <w:lang w:eastAsia="zh-CN"/>
              </w:rPr>
              <w:t>，</w:t>
            </w:r>
            <w:r>
              <w:rPr>
                <w:rFonts w:hint="eastAsia" w:hAnsi="Times New Roman" w:cs="Times New Roman"/>
                <w:kern w:val="0"/>
                <w:lang w:val="en-US" w:eastAsia="zh-CN"/>
              </w:rPr>
              <w:t>不能回收的部分进行</w:t>
            </w:r>
            <w:r>
              <w:rPr>
                <w:rFonts w:hint="default" w:ascii="Times New Roman" w:hAnsi="Times New Roman" w:cs="Times New Roman"/>
                <w:kern w:val="0"/>
                <w:lang w:val="en-US" w:eastAsia="zh-CN"/>
              </w:rPr>
              <w:t>收集外售</w:t>
            </w:r>
            <w:r>
              <w:rPr>
                <w:rFonts w:hint="default" w:ascii="Times New Roman" w:hAnsi="Times New Roman" w:cs="Times New Roman"/>
                <w:kern w:val="0"/>
              </w:rPr>
              <w:t>，</w:t>
            </w:r>
            <w:r>
              <w:rPr>
                <w:rFonts w:hint="eastAsia" w:hAnsi="Times New Roman" w:cs="Times New Roman"/>
                <w:kern w:val="0"/>
                <w:lang w:val="en-US" w:eastAsia="zh-CN"/>
              </w:rPr>
              <w:t>无法外售的</w:t>
            </w:r>
            <w:r>
              <w:rPr>
                <w:rFonts w:hint="default" w:ascii="Times New Roman" w:hAnsi="Times New Roman" w:cs="Times New Roman"/>
                <w:kern w:val="0"/>
                <w:lang w:val="en-US" w:eastAsia="zh-CN"/>
              </w:rPr>
              <w:t>的</w:t>
            </w:r>
            <w:r>
              <w:rPr>
                <w:rFonts w:hint="default" w:ascii="Times New Roman" w:hAnsi="Times New Roman" w:cs="Times New Roman"/>
                <w:kern w:val="0"/>
              </w:rPr>
              <w:t>建筑垃圾要定点堆放，及时送往当地指定的建筑垃圾堆场，运输过程中加盖篷布，以降低对周围环境的影响。为进一步降低建筑垃圾对周围环境的影响，要求施工单位应同时做好以下防治措施：</w:t>
            </w:r>
          </w:p>
          <w:p w14:paraId="7B54E5D2">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rPr>
            </w:pPr>
            <w:r>
              <w:rPr>
                <w:rFonts w:hint="default" w:ascii="Times New Roman" w:hAnsi="Times New Roman" w:cs="Times New Roman"/>
                <w:kern w:val="0"/>
                <w:lang w:eastAsia="zh-CN"/>
              </w:rPr>
              <w:t>①</w:t>
            </w:r>
            <w:r>
              <w:rPr>
                <w:rFonts w:hint="default" w:ascii="Times New Roman" w:hAnsi="Times New Roman" w:cs="Times New Roman"/>
                <w:kern w:val="0"/>
              </w:rPr>
              <w:t>建设单位应加强施工现场的施工管理工作，施工前材料选购应精确计量，避免材料浪费；应尽量控制工程的变更，产生不必要的施工建筑垃圾。</w:t>
            </w:r>
          </w:p>
          <w:p w14:paraId="14616A58">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rPr>
            </w:pPr>
            <w:r>
              <w:rPr>
                <w:rFonts w:hint="default" w:ascii="Times New Roman" w:hAnsi="Times New Roman" w:cs="Times New Roman"/>
                <w:kern w:val="0"/>
                <w:lang w:eastAsia="zh-CN"/>
              </w:rPr>
              <w:t>②</w:t>
            </w:r>
            <w:r>
              <w:rPr>
                <w:rFonts w:hint="default" w:ascii="Times New Roman" w:hAnsi="Times New Roman" w:cs="Times New Roman"/>
                <w:kern w:val="0"/>
              </w:rPr>
              <w:t>施工现场禁止焚烧废弃物；施工垃圾不得随意丢弃，应分类集中堆放。</w:t>
            </w:r>
          </w:p>
          <w:p w14:paraId="464B6845">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rPr>
            </w:pPr>
            <w:r>
              <w:rPr>
                <w:rFonts w:hint="default" w:ascii="Times New Roman" w:hAnsi="Times New Roman" w:cs="Times New Roman"/>
                <w:kern w:val="0"/>
                <w:lang w:eastAsia="zh-CN"/>
              </w:rPr>
              <w:t>③</w:t>
            </w:r>
            <w:r>
              <w:rPr>
                <w:rFonts w:hint="default" w:ascii="Times New Roman" w:hAnsi="Times New Roman" w:cs="Times New Roman"/>
                <w:kern w:val="0"/>
              </w:rPr>
              <w:t>作好土石方平衡，对于不可回填的土石方、不可回用的建筑垃圾，施工单位在处理时应严格执行《城市建筑垃圾管理规定》中的相关要求合理处置，运送至当地指定的垃圾堆放场地，不得随意外排。</w:t>
            </w:r>
          </w:p>
          <w:p w14:paraId="46940192">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rPr>
            </w:pPr>
            <w:r>
              <w:rPr>
                <w:rFonts w:hint="default" w:ascii="Times New Roman" w:hAnsi="Times New Roman" w:cs="Times New Roman"/>
                <w:kern w:val="0"/>
                <w:lang w:val="en-US" w:eastAsia="zh-CN"/>
              </w:rPr>
              <w:t>④</w:t>
            </w:r>
            <w:r>
              <w:rPr>
                <w:rFonts w:hint="default" w:ascii="Times New Roman" w:hAnsi="Times New Roman" w:cs="Times New Roman"/>
                <w:kern w:val="0"/>
              </w:rPr>
              <w:t>建筑施工垃圾在运输时应选择合适的车辆运输路线，避开沿线居民区、学校，运输车辆四周封闭，车顶应加盖逢布，保证有一定的含水率，避免风力起尘，避免对运输道路两侧敏感点造成大的影响。场地内运输道路应每天定时洒水，保证地面整洁。</w:t>
            </w:r>
          </w:p>
          <w:p w14:paraId="7B77B300">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rPr>
            </w:pPr>
            <w:r>
              <w:rPr>
                <w:rFonts w:hint="default" w:ascii="Times New Roman" w:hAnsi="Times New Roman" w:cs="Times New Roman"/>
                <w:kern w:val="0"/>
                <w:lang w:eastAsia="zh-CN"/>
              </w:rPr>
              <w:t>（</w:t>
            </w:r>
            <w:r>
              <w:rPr>
                <w:rFonts w:hint="eastAsia" w:hAnsi="Times New Roman" w:cs="Times New Roman"/>
                <w:kern w:val="0"/>
                <w:lang w:val="en-US" w:eastAsia="zh-CN"/>
              </w:rPr>
              <w:t>2</w:t>
            </w:r>
            <w:r>
              <w:rPr>
                <w:rFonts w:hint="default" w:ascii="Times New Roman" w:hAnsi="Times New Roman" w:cs="Times New Roman"/>
                <w:kern w:val="0"/>
                <w:lang w:eastAsia="zh-CN"/>
              </w:rPr>
              <w:t>）</w:t>
            </w:r>
            <w:r>
              <w:rPr>
                <w:rFonts w:hint="default" w:ascii="Times New Roman" w:hAnsi="Times New Roman" w:cs="Times New Roman"/>
                <w:kern w:val="0"/>
              </w:rPr>
              <w:t>生活垃圾</w:t>
            </w:r>
          </w:p>
          <w:p w14:paraId="4F9840B0">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kern w:val="0"/>
              </w:rPr>
            </w:pPr>
            <w:r>
              <w:rPr>
                <w:rFonts w:hint="default" w:ascii="Times New Roman" w:hAnsi="Times New Roman" w:cs="Times New Roman"/>
                <w:kern w:val="0"/>
              </w:rPr>
              <w:t>本项目施工人员产生的生活垃圾要收集到指定的垃圾箱内，</w:t>
            </w:r>
            <w:r>
              <w:rPr>
                <w:rFonts w:hint="default" w:ascii="Times New Roman" w:hAnsi="Times New Roman" w:cs="Times New Roman"/>
                <w:bCs/>
                <w:color w:val="auto"/>
                <w:sz w:val="24"/>
              </w:rPr>
              <w:t>集中收集后及时送集聚区垃圾中转站，由环卫部门集中清运并合理处置</w:t>
            </w:r>
            <w:r>
              <w:rPr>
                <w:rFonts w:hint="default" w:ascii="Times New Roman" w:hAnsi="Times New Roman" w:cs="Times New Roman"/>
                <w:kern w:val="0"/>
              </w:rPr>
              <w:t>，</w:t>
            </w:r>
            <w:r>
              <w:rPr>
                <w:rFonts w:hint="default" w:ascii="Times New Roman" w:hAnsi="Times New Roman" w:cs="Times New Roman"/>
                <w:kern w:val="0"/>
                <w:lang w:val="en-US" w:eastAsia="zh-CN"/>
              </w:rPr>
              <w:t>生活垃圾</w:t>
            </w:r>
            <w:r>
              <w:rPr>
                <w:rFonts w:hint="default" w:ascii="Times New Roman" w:hAnsi="Times New Roman" w:cs="Times New Roman"/>
                <w:kern w:val="0"/>
              </w:rPr>
              <w:t>对周围环境影响</w:t>
            </w:r>
            <w:r>
              <w:rPr>
                <w:rFonts w:hint="default" w:ascii="Times New Roman" w:hAnsi="Times New Roman" w:cs="Times New Roman"/>
                <w:kern w:val="0"/>
                <w:lang w:val="en-US" w:eastAsia="zh-CN"/>
              </w:rPr>
              <w:t>较少</w:t>
            </w:r>
            <w:r>
              <w:rPr>
                <w:rFonts w:hint="default" w:ascii="Times New Roman" w:hAnsi="Times New Roman" w:cs="Times New Roman"/>
                <w:kern w:val="0"/>
              </w:rPr>
              <w:t>。</w:t>
            </w:r>
          </w:p>
          <w:p w14:paraId="00794172">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000000"/>
                <w:sz w:val="24"/>
                <w:szCs w:val="24"/>
                <w:u w:val="none"/>
                <w:lang w:val="en-US" w:eastAsia="zh-CN"/>
              </w:rPr>
            </w:pPr>
            <w:r>
              <w:rPr>
                <w:rFonts w:hint="default" w:ascii="Times New Roman" w:hAnsi="Times New Roman" w:cs="Times New Roman"/>
                <w:b/>
                <w:bCs/>
                <w:color w:val="000000"/>
                <w:sz w:val="24"/>
                <w:szCs w:val="24"/>
                <w:u w:val="none"/>
              </w:rPr>
              <w:t>5、施工期生态影响</w:t>
            </w:r>
            <w:r>
              <w:rPr>
                <w:rFonts w:hint="default" w:ascii="Times New Roman" w:hAnsi="Times New Roman" w:cs="Times New Roman"/>
                <w:b/>
                <w:bCs/>
                <w:color w:val="000000"/>
                <w:sz w:val="24"/>
                <w:szCs w:val="24"/>
                <w:u w:val="none"/>
                <w:lang w:val="en-US" w:eastAsia="zh-CN"/>
              </w:rPr>
              <w:t>防治措施</w:t>
            </w:r>
          </w:p>
          <w:p w14:paraId="7804E36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 w:val="0"/>
                <w:bCs w:val="0"/>
                <w:color w:val="000000"/>
                <w:sz w:val="24"/>
                <w:szCs w:val="24"/>
                <w:highlight w:val="none"/>
                <w:u w:val="none"/>
              </w:rPr>
            </w:pPr>
            <w:r>
              <w:rPr>
                <w:rFonts w:hint="default" w:ascii="Times New Roman" w:hAnsi="Times New Roman" w:cs="Times New Roman"/>
                <w:b w:val="0"/>
                <w:bCs w:val="0"/>
                <w:color w:val="000000"/>
                <w:sz w:val="24"/>
                <w:szCs w:val="24"/>
                <w:highlight w:val="none"/>
                <w:u w:val="none"/>
              </w:rPr>
              <w:t>工程施工期间对生态的影响主要体现在施工过程</w:t>
            </w:r>
            <w:r>
              <w:rPr>
                <w:rFonts w:hint="default" w:ascii="Times New Roman" w:hAnsi="Times New Roman" w:cs="Times New Roman"/>
                <w:b w:val="0"/>
                <w:bCs w:val="0"/>
                <w:color w:val="000000"/>
                <w:sz w:val="24"/>
                <w:szCs w:val="24"/>
                <w:highlight w:val="none"/>
                <w:u w:val="none"/>
                <w:lang w:eastAsia="zh-CN"/>
              </w:rPr>
              <w:t>土地平整、</w:t>
            </w:r>
            <w:r>
              <w:rPr>
                <w:rFonts w:hint="default" w:ascii="Times New Roman" w:hAnsi="Times New Roman" w:cs="Times New Roman"/>
                <w:b w:val="0"/>
                <w:bCs w:val="0"/>
                <w:color w:val="000000"/>
                <w:sz w:val="24"/>
                <w:szCs w:val="24"/>
                <w:highlight w:val="none"/>
                <w:u w:val="none"/>
              </w:rPr>
              <w:t>挖填方、拆迁扰动地表，临时堆土区、施工生活区的占地。将造成地表裸露、土地被侵占，工程在填土裸露表面被雨水冲刷后将造成水土流失现象，影响陆地生态系统及其稳定性</w:t>
            </w:r>
            <w:r>
              <w:rPr>
                <w:rFonts w:hint="default" w:ascii="Times New Roman" w:hAnsi="Times New Roman" w:cs="Times New Roman"/>
                <w:b w:val="0"/>
                <w:bCs w:val="0"/>
                <w:color w:val="000000"/>
                <w:sz w:val="24"/>
                <w:szCs w:val="24"/>
                <w:highlight w:val="none"/>
                <w:u w:val="none"/>
                <w:lang w:eastAsia="zh-CN"/>
              </w:rPr>
              <w:t>，</w:t>
            </w:r>
            <w:r>
              <w:rPr>
                <w:rFonts w:hint="default" w:ascii="Times New Roman" w:hAnsi="Times New Roman" w:cs="Times New Roman"/>
                <w:b w:val="0"/>
                <w:bCs w:val="0"/>
                <w:color w:val="000000"/>
                <w:sz w:val="24"/>
                <w:szCs w:val="24"/>
                <w:highlight w:val="none"/>
                <w:u w:val="none"/>
              </w:rPr>
              <w:t>影响景观。</w:t>
            </w:r>
          </w:p>
          <w:p w14:paraId="67AA5066">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eastAsia="宋体" w:cs="Times New Roman"/>
                <w:b w:val="0"/>
                <w:bCs w:val="0"/>
                <w:sz w:val="24"/>
                <w:szCs w:val="24"/>
                <w:u w:val="none"/>
              </w:rPr>
              <w:t>项目在保证建设质量的同时，要尽可能加快施工进展，减少地面裸露期并在施工完成后及时进行绿化；施工过程中可采取隔离、防风、防水土流失的措施，减少扬尘量，避免水土流失以及对区域地表水域的污染。建设期内可能产生水土流失的原因主要有以下两个方面：</w:t>
            </w:r>
          </w:p>
          <w:p w14:paraId="21651405">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cs="Times New Roman"/>
                <w:b w:val="0"/>
                <w:bCs w:val="0"/>
                <w:sz w:val="24"/>
                <w:szCs w:val="24"/>
                <w:u w:val="none"/>
                <w:lang w:val="en-US" w:eastAsia="zh-CN"/>
              </w:rPr>
              <w:t>①</w:t>
            </w:r>
            <w:r>
              <w:rPr>
                <w:rFonts w:hint="default" w:ascii="Times New Roman" w:hAnsi="Times New Roman" w:eastAsia="宋体" w:cs="Times New Roman"/>
                <w:b w:val="0"/>
                <w:bCs w:val="0"/>
                <w:sz w:val="24"/>
                <w:szCs w:val="24"/>
                <w:u w:val="none"/>
              </w:rPr>
              <w:t>在土石方阶段，土石方的开挖，使表土层扰动松散，抗蚀能力减弱，降低地表涵养水源能力，从而加剧水土流失，尤其在处于雨季时，大量的雨水冲刷会使水土流失更加严重。</w:t>
            </w:r>
          </w:p>
          <w:p w14:paraId="385A6CC2">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cs="Times New Roman"/>
                <w:b w:val="0"/>
                <w:bCs w:val="0"/>
                <w:sz w:val="24"/>
                <w:szCs w:val="24"/>
                <w:u w:val="none"/>
                <w:lang w:val="en-US" w:eastAsia="zh-CN"/>
              </w:rPr>
              <w:t>②</w:t>
            </w:r>
            <w:r>
              <w:rPr>
                <w:rFonts w:hint="default" w:ascii="Times New Roman" w:hAnsi="Times New Roman" w:eastAsia="宋体" w:cs="Times New Roman"/>
                <w:b w:val="0"/>
                <w:bCs w:val="0"/>
                <w:sz w:val="24"/>
                <w:szCs w:val="24"/>
                <w:u w:val="none"/>
              </w:rPr>
              <w:t>施工过程中开挖的大量土、石料堆放场在受到雨水的冲刷时也会造成一定水土流失。</w:t>
            </w:r>
          </w:p>
          <w:p w14:paraId="0E0FE5A2">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eastAsia="宋体" w:cs="Times New Roman"/>
                <w:b w:val="0"/>
                <w:bCs w:val="0"/>
                <w:sz w:val="24"/>
                <w:szCs w:val="24"/>
                <w:u w:val="none"/>
              </w:rPr>
              <w:t>针对以上水土流失的情况，要求建设方严格落实环评单位提出的下列各项措施，将建设过程中造成水土流失影响减轻到最小。</w:t>
            </w:r>
          </w:p>
          <w:p w14:paraId="1BE4DA1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cs="Times New Roman"/>
                <w:b w:val="0"/>
                <w:bCs w:val="0"/>
                <w:sz w:val="24"/>
                <w:szCs w:val="24"/>
                <w:u w:val="none"/>
                <w:lang w:val="en-US" w:eastAsia="zh-CN"/>
              </w:rPr>
              <w:t>①</w:t>
            </w:r>
            <w:r>
              <w:rPr>
                <w:rFonts w:hint="default" w:ascii="Times New Roman" w:hAnsi="Times New Roman" w:eastAsia="宋体" w:cs="Times New Roman"/>
                <w:b w:val="0"/>
                <w:bCs w:val="0"/>
                <w:sz w:val="24"/>
                <w:szCs w:val="24"/>
                <w:u w:val="none"/>
              </w:rPr>
              <w:t>施工前应作详细计划，合理安排施工计划，施工时尽量按设计要求进行开挖，尽量减少开挖面；平整场地和道路时尽量做到挖填方平衡，对于多余土</w:t>
            </w:r>
            <w:r>
              <w:rPr>
                <w:rFonts w:hint="default" w:ascii="Times New Roman" w:hAnsi="Times New Roman" w:cs="Times New Roman"/>
                <w:b w:val="0"/>
                <w:bCs w:val="0"/>
                <w:sz w:val="24"/>
                <w:szCs w:val="24"/>
                <w:u w:val="none"/>
                <w:lang w:eastAsia="zh-CN"/>
              </w:rPr>
              <w:t>石方</w:t>
            </w:r>
            <w:r>
              <w:rPr>
                <w:rFonts w:hint="default" w:ascii="Times New Roman" w:hAnsi="Times New Roman" w:eastAsia="宋体" w:cs="Times New Roman"/>
                <w:b w:val="0"/>
                <w:bCs w:val="0"/>
                <w:sz w:val="24"/>
                <w:szCs w:val="24"/>
                <w:u w:val="none"/>
              </w:rPr>
              <w:t>应合理布置堆放场地。避免不必要的水土流失和生态变化。</w:t>
            </w:r>
          </w:p>
          <w:p w14:paraId="6141AF8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cs="Times New Roman"/>
                <w:b w:val="0"/>
                <w:bCs w:val="0"/>
                <w:sz w:val="24"/>
                <w:szCs w:val="24"/>
                <w:u w:val="none"/>
                <w:lang w:val="en-US" w:eastAsia="zh-CN"/>
              </w:rPr>
              <w:t>②</w:t>
            </w:r>
            <w:r>
              <w:rPr>
                <w:rFonts w:hint="default" w:ascii="Times New Roman" w:hAnsi="Times New Roman" w:eastAsia="宋体" w:cs="Times New Roman"/>
                <w:b w:val="0"/>
                <w:bCs w:val="0"/>
                <w:sz w:val="24"/>
                <w:szCs w:val="24"/>
                <w:u w:val="none"/>
              </w:rPr>
              <w:t>工程施工过程中特别注意做好生态环境的保护工作，如基坑开挖弃方的合理处置、对于落差较大的土石方开挖要设置必要的挡土墙对裸露的土壤进行围挡。对于开挖出来的表层覆土，回填时要尽量作为植树种草时的表层恢复土壤，同时设置必要的导流渠以疏导雨水，避免造成严重的水土流失。</w:t>
            </w:r>
          </w:p>
          <w:p w14:paraId="786E9E75">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cs="Times New Roman"/>
                <w:b w:val="0"/>
                <w:bCs w:val="0"/>
                <w:sz w:val="24"/>
                <w:szCs w:val="24"/>
                <w:u w:val="none"/>
                <w:lang w:val="en-US" w:eastAsia="zh-CN"/>
              </w:rPr>
              <w:t>③</w:t>
            </w:r>
            <w:r>
              <w:rPr>
                <w:rFonts w:hint="default" w:ascii="Times New Roman" w:hAnsi="Times New Roman" w:eastAsia="宋体" w:cs="Times New Roman"/>
                <w:b w:val="0"/>
                <w:bCs w:val="0"/>
                <w:sz w:val="24"/>
                <w:szCs w:val="24"/>
                <w:u w:val="none"/>
              </w:rPr>
              <w:t>应尽量避开雨季施工，并及时夯实地面。</w:t>
            </w:r>
          </w:p>
          <w:p w14:paraId="12C48499">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cs="Times New Roman"/>
                <w:b w:val="0"/>
                <w:bCs w:val="0"/>
                <w:sz w:val="24"/>
                <w:szCs w:val="24"/>
                <w:u w:val="none"/>
                <w:lang w:val="en-US" w:eastAsia="zh-CN"/>
              </w:rPr>
              <w:t>④</w:t>
            </w:r>
            <w:r>
              <w:rPr>
                <w:rFonts w:hint="default" w:ascii="Times New Roman" w:hAnsi="Times New Roman" w:eastAsia="宋体" w:cs="Times New Roman"/>
                <w:b w:val="0"/>
                <w:bCs w:val="0"/>
                <w:sz w:val="24"/>
                <w:szCs w:val="24"/>
                <w:u w:val="none"/>
              </w:rPr>
              <w:t>各种防护措施与主体工程同步实施，以预防雨季路面迳流直接冲刷坡面而造成水土流失。若遇下雨，可用沙袋或草席压住坡面进行暂时防护，以减少水土流失。</w:t>
            </w:r>
          </w:p>
          <w:p w14:paraId="5D00CBB8">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sz w:val="24"/>
                <w:szCs w:val="24"/>
                <w:u w:val="none"/>
              </w:rPr>
            </w:pPr>
            <w:r>
              <w:rPr>
                <w:rFonts w:hint="default" w:ascii="Times New Roman" w:hAnsi="Times New Roman" w:cs="Times New Roman"/>
                <w:b w:val="0"/>
                <w:bCs w:val="0"/>
                <w:sz w:val="24"/>
                <w:szCs w:val="24"/>
                <w:u w:val="none"/>
                <w:lang w:val="en-US" w:eastAsia="zh-CN"/>
              </w:rPr>
              <w:t>⑤</w:t>
            </w:r>
            <w:r>
              <w:rPr>
                <w:rFonts w:hint="default" w:ascii="Times New Roman" w:hAnsi="Times New Roman" w:eastAsia="宋体" w:cs="Times New Roman"/>
                <w:b w:val="0"/>
                <w:bCs w:val="0"/>
                <w:sz w:val="24"/>
                <w:szCs w:val="24"/>
                <w:u w:val="none"/>
              </w:rPr>
              <w:t>加强对施工现场的环境管理，必要时进行环境监测，以控制工程涉及区的环境污染。对工程涉及区域内的施工人员，应加强宣传、教育，强化其保护环境的意识，文明施工，达到工程建设和环境保护的同步发展。</w:t>
            </w:r>
          </w:p>
          <w:p w14:paraId="55D4A93A">
            <w:pPr>
              <w:pStyle w:val="35"/>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spacing w:val="-10"/>
              </w:rPr>
            </w:pPr>
            <w:r>
              <w:rPr>
                <w:rFonts w:hint="default" w:ascii="Times New Roman" w:hAnsi="Times New Roman" w:eastAsia="宋体" w:cs="Times New Roman"/>
                <w:b w:val="0"/>
                <w:bCs w:val="0"/>
                <w:sz w:val="24"/>
                <w:szCs w:val="24"/>
                <w:u w:val="none"/>
              </w:rPr>
              <w:t>一般来说，施工期间对环境的影响是暂时的，施工结束后受影响的环境要素大多可以恢复到现状水平。</w:t>
            </w:r>
          </w:p>
          <w:p w14:paraId="5D94FB85">
            <w:pPr>
              <w:pStyle w:val="35"/>
              <w:ind w:left="0" w:leftChars="0" w:firstLine="0" w:firstLineChars="0"/>
              <w:rPr>
                <w:rFonts w:ascii="宋体" w:cs="宋体"/>
                <w:bCs/>
                <w:spacing w:val="-10"/>
              </w:rPr>
            </w:pPr>
          </w:p>
        </w:tc>
      </w:tr>
      <w:tr w14:paraId="6E75D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82" w:hRule="atLeast"/>
          <w:jc w:val="center"/>
        </w:trPr>
        <w:tc>
          <w:tcPr>
            <w:tcW w:w="746" w:type="dxa"/>
            <w:noWrap w:val="0"/>
            <w:tcMar>
              <w:left w:w="28" w:type="dxa"/>
              <w:right w:w="28" w:type="dxa"/>
            </w:tcMar>
            <w:vAlign w:val="center"/>
          </w:tcPr>
          <w:p w14:paraId="313ECCF3">
            <w:pPr>
              <w:adjustRightInd w:val="0"/>
              <w:snapToGrid w:val="0"/>
              <w:jc w:val="center"/>
              <w:rPr>
                <w:rFonts w:hint="eastAsia" w:ascii="宋体" w:hAnsi="宋体" w:cs="宋体"/>
                <w:b/>
                <w:bCs/>
                <w:sz w:val="24"/>
              </w:rPr>
            </w:pPr>
            <w:r>
              <w:rPr>
                <w:rFonts w:hint="eastAsia" w:ascii="宋体" w:hAnsi="宋体" w:cs="宋体"/>
                <w:b/>
                <w:bCs/>
                <w:sz w:val="24"/>
              </w:rPr>
              <w:t>运营</w:t>
            </w:r>
          </w:p>
          <w:p w14:paraId="7216BCEE">
            <w:pPr>
              <w:adjustRightInd w:val="0"/>
              <w:snapToGrid w:val="0"/>
              <w:jc w:val="center"/>
              <w:rPr>
                <w:rFonts w:hint="eastAsia" w:ascii="宋体" w:hAnsi="宋体" w:cs="宋体"/>
                <w:b/>
                <w:bCs/>
                <w:sz w:val="24"/>
              </w:rPr>
            </w:pPr>
            <w:r>
              <w:rPr>
                <w:rFonts w:hint="eastAsia" w:ascii="宋体" w:hAnsi="宋体" w:cs="宋体"/>
                <w:b/>
                <w:bCs/>
                <w:sz w:val="24"/>
              </w:rPr>
              <w:t>期环</w:t>
            </w:r>
          </w:p>
          <w:p w14:paraId="3D0D9A28">
            <w:pPr>
              <w:adjustRightInd w:val="0"/>
              <w:snapToGrid w:val="0"/>
              <w:jc w:val="center"/>
              <w:rPr>
                <w:rFonts w:hint="eastAsia" w:ascii="宋体" w:hAnsi="宋体" w:cs="宋体"/>
                <w:b/>
                <w:bCs/>
                <w:sz w:val="24"/>
              </w:rPr>
            </w:pPr>
            <w:r>
              <w:rPr>
                <w:rFonts w:hint="eastAsia" w:ascii="宋体" w:hAnsi="宋体" w:cs="宋体"/>
                <w:b/>
                <w:bCs/>
                <w:sz w:val="24"/>
              </w:rPr>
              <w:t>境影</w:t>
            </w:r>
          </w:p>
          <w:p w14:paraId="441FA9EC">
            <w:pPr>
              <w:adjustRightInd w:val="0"/>
              <w:snapToGrid w:val="0"/>
              <w:jc w:val="center"/>
              <w:rPr>
                <w:rFonts w:hint="eastAsia" w:ascii="宋体" w:hAnsi="宋体" w:cs="宋体"/>
                <w:b/>
                <w:bCs/>
                <w:sz w:val="24"/>
              </w:rPr>
            </w:pPr>
            <w:r>
              <w:rPr>
                <w:rFonts w:hint="eastAsia" w:ascii="宋体" w:hAnsi="宋体" w:cs="宋体"/>
                <w:b/>
                <w:bCs/>
                <w:sz w:val="24"/>
              </w:rPr>
              <w:t>响和</w:t>
            </w:r>
          </w:p>
          <w:p w14:paraId="0F51DFD9">
            <w:pPr>
              <w:adjustRightInd w:val="0"/>
              <w:snapToGrid w:val="0"/>
              <w:jc w:val="center"/>
              <w:rPr>
                <w:rFonts w:hint="eastAsia" w:ascii="宋体" w:hAnsi="宋体" w:cs="宋体"/>
                <w:b/>
                <w:bCs/>
                <w:sz w:val="24"/>
              </w:rPr>
            </w:pPr>
            <w:r>
              <w:rPr>
                <w:rFonts w:hint="eastAsia" w:ascii="宋体" w:hAnsi="宋体" w:cs="宋体"/>
                <w:b/>
                <w:bCs/>
                <w:sz w:val="24"/>
              </w:rPr>
              <w:t>保护</w:t>
            </w:r>
          </w:p>
          <w:p w14:paraId="38B432CE">
            <w:pPr>
              <w:adjustRightInd w:val="0"/>
              <w:snapToGrid w:val="0"/>
              <w:jc w:val="center"/>
              <w:rPr>
                <w:rFonts w:ascii="宋体" w:hAnsi="宋体" w:cs="宋体"/>
                <w:b/>
                <w:bCs/>
              </w:rPr>
            </w:pPr>
            <w:r>
              <w:rPr>
                <w:rFonts w:hint="eastAsia" w:ascii="宋体" w:hAnsi="宋体" w:cs="宋体"/>
                <w:b/>
                <w:bCs/>
                <w:sz w:val="24"/>
              </w:rPr>
              <w:t>措施</w:t>
            </w:r>
          </w:p>
        </w:tc>
        <w:tc>
          <w:tcPr>
            <w:tcW w:w="8162" w:type="dxa"/>
            <w:noWrap w:val="0"/>
            <w:vAlign w:val="center"/>
          </w:tcPr>
          <w:p w14:paraId="0A3E797E">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2" w:firstLineChars="200"/>
              <w:jc w:val="left"/>
              <w:textAlignment w:val="auto"/>
              <w:rPr>
                <w:rFonts w:hint="eastAsia" w:ascii="宋体" w:hAnsi="宋体" w:eastAsia="宋体" w:cs="宋体"/>
                <w:b/>
                <w:bCs w:val="0"/>
                <w:sz w:val="24"/>
                <w:highlight w:val="none"/>
              </w:rPr>
            </w:pPr>
            <w:r>
              <w:rPr>
                <w:rFonts w:hint="eastAsia" w:ascii="宋体" w:hAnsi="宋体" w:eastAsia="宋体" w:cs="宋体"/>
                <w:b/>
                <w:bCs w:val="0"/>
                <w:sz w:val="24"/>
                <w:highlight w:val="none"/>
              </w:rPr>
              <w:t>1废气</w:t>
            </w:r>
            <w:r>
              <w:rPr>
                <w:rFonts w:hint="default" w:ascii="Times New Roman" w:hAnsi="Times New Roman" w:cs="Times New Roman"/>
                <w:b/>
                <w:kern w:val="0"/>
                <w:sz w:val="24"/>
                <w:szCs w:val="24"/>
                <w:highlight w:val="none"/>
                <w:lang w:val="en-US" w:eastAsia="zh-CN"/>
              </w:rPr>
              <w:t>环境影响分析</w:t>
            </w:r>
          </w:p>
          <w:p w14:paraId="727C7FAF">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0" w:firstLineChars="200"/>
              <w:jc w:val="left"/>
              <w:textAlignment w:val="auto"/>
              <w:rPr>
                <w:bCs/>
                <w:sz w:val="24"/>
                <w:highlight w:val="none"/>
              </w:rPr>
            </w:pPr>
            <w:r>
              <w:rPr>
                <w:bCs/>
                <w:sz w:val="24"/>
                <w:highlight w:val="none"/>
              </w:rPr>
              <w:t>1.1污染物产排环节及污染物种类</w:t>
            </w:r>
          </w:p>
          <w:p w14:paraId="204F135F">
            <w:pPr>
              <w:keepNext w:val="0"/>
              <w:keepLines w:val="0"/>
              <w:pageBreakBefore w:val="0"/>
              <w:widowControl w:val="0"/>
              <w:kinsoku/>
              <w:wordWrap/>
              <w:overflowPunct/>
              <w:topLinePunct w:val="0"/>
              <w:autoSpaceDE/>
              <w:autoSpaceDN/>
              <w:bidi w:val="0"/>
              <w:spacing w:line="500" w:lineRule="exact"/>
              <w:ind w:firstLine="480" w:firstLineChars="200"/>
              <w:textAlignment w:val="auto"/>
              <w:rPr>
                <w:sz w:val="24"/>
              </w:rPr>
            </w:pPr>
            <w:r>
              <w:rPr>
                <w:sz w:val="24"/>
                <w:highlight w:val="none"/>
              </w:rPr>
              <w:t>项目</w:t>
            </w:r>
            <w:r>
              <w:rPr>
                <w:rFonts w:hint="eastAsia"/>
                <w:sz w:val="24"/>
                <w:highlight w:val="none"/>
                <w:lang w:val="en-US" w:eastAsia="zh-CN"/>
              </w:rPr>
              <w:t>砂石生产</w:t>
            </w:r>
            <w:r>
              <w:rPr>
                <w:sz w:val="24"/>
                <w:highlight w:val="none"/>
              </w:rPr>
              <w:t>废气主要包括</w:t>
            </w:r>
            <w:r>
              <w:rPr>
                <w:rFonts w:hint="eastAsia"/>
                <w:sz w:val="24"/>
                <w:highlight w:val="none"/>
                <w:lang w:val="en-US" w:eastAsia="zh-CN"/>
              </w:rPr>
              <w:t>给料工序颗粒物</w:t>
            </w:r>
            <w:r>
              <w:rPr>
                <w:rFonts w:hint="eastAsia"/>
                <w:sz w:val="24"/>
                <w:lang w:val="en-US" w:eastAsia="zh-CN"/>
              </w:rPr>
              <w:t>、颚破工序颗粒物</w:t>
            </w:r>
            <w:r>
              <w:rPr>
                <w:sz w:val="24"/>
              </w:rPr>
              <w:t>。</w:t>
            </w:r>
          </w:p>
          <w:p w14:paraId="704BC87D">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bCs/>
                <w:color w:val="000000"/>
                <w:sz w:val="24"/>
                <w:u w:val="none"/>
              </w:rPr>
            </w:pPr>
            <w:r>
              <w:rPr>
                <w:rFonts w:hint="eastAsia"/>
                <w:bCs/>
                <w:color w:val="000000"/>
                <w:sz w:val="24"/>
                <w:u w:val="none"/>
              </w:rPr>
              <w:t>（</w:t>
            </w:r>
            <w:r>
              <w:rPr>
                <w:rFonts w:hint="eastAsia"/>
                <w:bCs/>
                <w:color w:val="000000"/>
                <w:sz w:val="24"/>
                <w:u w:val="none"/>
                <w:lang w:val="en-US" w:eastAsia="zh-CN"/>
              </w:rPr>
              <w:t>1</w:t>
            </w:r>
            <w:r>
              <w:rPr>
                <w:rFonts w:hint="eastAsia"/>
                <w:bCs/>
                <w:color w:val="000000"/>
                <w:sz w:val="24"/>
                <w:u w:val="none"/>
              </w:rPr>
              <w:t>）</w:t>
            </w:r>
            <w:r>
              <w:rPr>
                <w:rFonts w:hint="eastAsia"/>
                <w:bCs/>
                <w:color w:val="000000"/>
                <w:sz w:val="24"/>
                <w:u w:val="none"/>
                <w:lang w:val="en-US" w:eastAsia="zh-CN"/>
              </w:rPr>
              <w:t>给料</w:t>
            </w:r>
            <w:r>
              <w:rPr>
                <w:rFonts w:hint="eastAsia"/>
                <w:bCs/>
                <w:color w:val="000000"/>
                <w:sz w:val="24"/>
                <w:u w:val="none"/>
              </w:rPr>
              <w:t>工序</w:t>
            </w:r>
            <w:r>
              <w:rPr>
                <w:rFonts w:hint="eastAsia"/>
                <w:bCs/>
                <w:color w:val="000000"/>
                <w:sz w:val="24"/>
                <w:u w:val="none"/>
                <w:lang w:val="en-US" w:eastAsia="zh-CN"/>
              </w:rPr>
              <w:t>颗粒物</w:t>
            </w:r>
            <w:r>
              <w:rPr>
                <w:rFonts w:hint="eastAsia" w:cs="宋体"/>
                <w:bCs/>
                <w:color w:val="000000"/>
                <w:kern w:val="0"/>
                <w:sz w:val="24"/>
                <w:lang w:val="en-US" w:eastAsia="zh-CN"/>
              </w:rPr>
              <w:t>产污情况分析</w:t>
            </w:r>
          </w:p>
          <w:p w14:paraId="400F2D75">
            <w:pPr>
              <w:keepNext w:val="0"/>
              <w:keepLines w:val="0"/>
              <w:pageBreakBefore w:val="0"/>
              <w:widowControl w:val="0"/>
              <w:kinsoku/>
              <w:wordWrap/>
              <w:overflowPunct/>
              <w:topLinePunct w:val="0"/>
              <w:autoSpaceDE/>
              <w:autoSpaceDN/>
              <w:bidi w:val="0"/>
              <w:snapToGrid/>
              <w:spacing w:line="500" w:lineRule="exact"/>
              <w:ind w:firstLine="480" w:firstLineChars="200"/>
              <w:textAlignment w:val="auto"/>
              <w:rPr>
                <w:color w:val="000000"/>
                <w:kern w:val="0"/>
                <w:sz w:val="24"/>
                <w:u w:val="none"/>
                <w:lang w:val="zh-CN"/>
              </w:rPr>
            </w:pPr>
            <w:r>
              <w:rPr>
                <w:rFonts w:hint="eastAsia"/>
                <w:color w:val="000000"/>
                <w:sz w:val="24"/>
                <w:u w:val="none"/>
                <w:lang w:val="en-US" w:eastAsia="zh-CN"/>
              </w:rPr>
              <w:t>铲车将原材料运入振动喂料机内，在喂料机进料口周围会产生颗粒物，需要给料原材料</w:t>
            </w:r>
            <w:r>
              <w:rPr>
                <w:rFonts w:hint="eastAsia"/>
                <w:color w:val="000000"/>
                <w:sz w:val="24"/>
                <w:highlight w:val="none"/>
                <w:u w:val="none"/>
                <w:lang w:val="en-US" w:eastAsia="zh-CN"/>
              </w:rPr>
              <w:t>的</w:t>
            </w:r>
            <w:r>
              <w:rPr>
                <w:rFonts w:hint="eastAsia"/>
                <w:color w:val="000000"/>
                <w:sz w:val="24"/>
                <w:highlight w:val="none"/>
                <w:u w:val="none"/>
                <w:lang w:eastAsia="zh-CN"/>
              </w:rPr>
              <w:t>量约</w:t>
            </w:r>
            <w:r>
              <w:rPr>
                <w:rFonts w:hint="eastAsia"/>
                <w:color w:val="000000"/>
                <w:sz w:val="24"/>
                <w:highlight w:val="none"/>
                <w:u w:val="none"/>
                <w:lang w:val="en-US" w:eastAsia="zh-CN"/>
              </w:rPr>
              <w:t>10万t/a，在给料工序产尘点处</w:t>
            </w:r>
            <w:r>
              <w:rPr>
                <w:rFonts w:hint="eastAsia"/>
                <w:bCs/>
                <w:color w:val="000000"/>
                <w:sz w:val="24"/>
                <w:highlight w:val="none"/>
                <w:u w:val="none"/>
                <w:lang w:val="en-US" w:eastAsia="zh-CN"/>
              </w:rPr>
              <w:t>设置集气罩，给料</w:t>
            </w:r>
            <w:r>
              <w:rPr>
                <w:rFonts w:hint="eastAsia"/>
                <w:sz w:val="24"/>
                <w:highlight w:val="none"/>
                <w:lang w:val="en-US" w:eastAsia="zh-CN"/>
              </w:rPr>
              <w:t>工序产生的废气</w:t>
            </w:r>
            <w:r>
              <w:rPr>
                <w:bCs/>
                <w:color w:val="000000"/>
                <w:sz w:val="24"/>
                <w:highlight w:val="none"/>
                <w:u w:val="none"/>
              </w:rPr>
              <w:t>经集气罩</w:t>
            </w:r>
            <w:r>
              <w:rPr>
                <w:rFonts w:hint="eastAsia"/>
                <w:bCs/>
                <w:color w:val="000000"/>
                <w:sz w:val="24"/>
                <w:highlight w:val="none"/>
                <w:u w:val="none"/>
              </w:rPr>
              <w:t>收集</w:t>
            </w:r>
            <w:r>
              <w:rPr>
                <w:rFonts w:hint="eastAsia"/>
                <w:bCs/>
                <w:color w:val="000000"/>
                <w:sz w:val="24"/>
                <w:highlight w:val="none"/>
                <w:u w:val="none"/>
                <w:lang w:val="en-US" w:eastAsia="zh-CN"/>
              </w:rPr>
              <w:t>再进入</w:t>
            </w:r>
            <w:r>
              <w:rPr>
                <w:rFonts w:hint="eastAsia"/>
                <w:bCs/>
                <w:color w:val="000000"/>
                <w:sz w:val="24"/>
                <w:highlight w:val="none"/>
                <w:u w:val="none"/>
              </w:rPr>
              <w:t>袋式除尘器进行处理，处理后通过15m高的排气筒排放</w:t>
            </w:r>
            <w:r>
              <w:rPr>
                <w:rFonts w:hint="eastAsia"/>
                <w:bCs/>
                <w:color w:val="000000"/>
                <w:sz w:val="24"/>
                <w:highlight w:val="none"/>
                <w:u w:val="none"/>
                <w:lang w:eastAsia="zh-CN"/>
              </w:rPr>
              <w:t>（</w:t>
            </w:r>
            <w:r>
              <w:rPr>
                <w:rFonts w:hint="eastAsia"/>
                <w:bCs/>
                <w:color w:val="000000"/>
                <w:sz w:val="24"/>
                <w:highlight w:val="none"/>
                <w:u w:val="none"/>
                <w:lang w:val="en-US" w:eastAsia="zh-CN"/>
              </w:rPr>
              <w:t>DA001</w:t>
            </w:r>
            <w:r>
              <w:rPr>
                <w:rFonts w:hint="eastAsia"/>
                <w:bCs/>
                <w:color w:val="000000"/>
                <w:sz w:val="24"/>
                <w:highlight w:val="none"/>
                <w:u w:val="none"/>
                <w:lang w:eastAsia="zh-CN"/>
              </w:rPr>
              <w:t>）</w:t>
            </w:r>
            <w:r>
              <w:rPr>
                <w:rFonts w:hint="eastAsia"/>
                <w:bCs/>
                <w:color w:val="000000"/>
                <w:sz w:val="24"/>
                <w:highlight w:val="none"/>
                <w:u w:val="none"/>
              </w:rPr>
              <w:t>。</w:t>
            </w:r>
            <w:r>
              <w:rPr>
                <w:color w:val="000000"/>
                <w:sz w:val="24"/>
                <w:highlight w:val="none"/>
                <w:u w:val="none"/>
              </w:rPr>
              <w:t>废气集气效率按9</w:t>
            </w:r>
            <w:r>
              <w:rPr>
                <w:rFonts w:hint="eastAsia"/>
                <w:color w:val="000000"/>
                <w:sz w:val="24"/>
                <w:highlight w:val="none"/>
                <w:u w:val="none"/>
                <w:lang w:val="en-US" w:eastAsia="zh-CN"/>
              </w:rPr>
              <w:t>5</w:t>
            </w:r>
            <w:r>
              <w:rPr>
                <w:color w:val="000000"/>
                <w:sz w:val="24"/>
                <w:highlight w:val="none"/>
                <w:u w:val="none"/>
              </w:rPr>
              <w:t>%计，</w:t>
            </w:r>
            <w:r>
              <w:rPr>
                <w:rFonts w:hint="eastAsia"/>
                <w:color w:val="000000"/>
                <w:sz w:val="24"/>
                <w:highlight w:val="none"/>
                <w:u w:val="none"/>
                <w:lang w:val="en-US" w:eastAsia="zh-CN"/>
              </w:rPr>
              <w:t>工作时间为4800h/a，</w:t>
            </w:r>
            <w:r>
              <w:rPr>
                <w:color w:val="000000"/>
                <w:sz w:val="24"/>
                <w:highlight w:val="none"/>
                <w:u w:val="none"/>
              </w:rPr>
              <w:t>除尘效率按99</w:t>
            </w:r>
            <w:r>
              <w:rPr>
                <w:rFonts w:hint="eastAsia"/>
                <w:color w:val="000000"/>
                <w:sz w:val="24"/>
                <w:highlight w:val="none"/>
                <w:u w:val="none"/>
                <w:lang w:val="en-US" w:eastAsia="zh-CN"/>
              </w:rPr>
              <w:t>.9</w:t>
            </w:r>
            <w:r>
              <w:rPr>
                <w:color w:val="000000"/>
                <w:sz w:val="24"/>
                <w:highlight w:val="none"/>
                <w:u w:val="none"/>
              </w:rPr>
              <w:t>%计，风机风量为</w:t>
            </w:r>
            <w:r>
              <w:rPr>
                <w:rFonts w:hint="eastAsia"/>
                <w:color w:val="000000"/>
                <w:sz w:val="24"/>
                <w:highlight w:val="none"/>
                <w:u w:val="none"/>
                <w:lang w:val="en-US" w:eastAsia="zh-CN"/>
              </w:rPr>
              <w:t>5000</w:t>
            </w:r>
            <w:r>
              <w:rPr>
                <w:color w:val="000000"/>
                <w:sz w:val="24"/>
                <w:highlight w:val="none"/>
                <w:u w:val="none"/>
              </w:rPr>
              <w:t>m</w:t>
            </w:r>
            <w:r>
              <w:rPr>
                <w:color w:val="000000"/>
                <w:sz w:val="24"/>
                <w:highlight w:val="none"/>
                <w:u w:val="none"/>
                <w:vertAlign w:val="superscript"/>
              </w:rPr>
              <w:t>3</w:t>
            </w:r>
            <w:r>
              <w:rPr>
                <w:color w:val="000000"/>
                <w:sz w:val="24"/>
                <w:highlight w:val="none"/>
                <w:u w:val="none"/>
              </w:rPr>
              <w:t>/h。根据</w:t>
            </w:r>
            <w:r>
              <w:rPr>
                <w:color w:val="000000"/>
                <w:kern w:val="0"/>
                <w:sz w:val="24"/>
                <w:highlight w:val="none"/>
                <w:u w:val="none"/>
                <w:lang w:val="zh-CN"/>
              </w:rPr>
              <w:t>《逸散性工业粉尘控制技术》（出版日期1989年）及《工业污染核算》（出版日期</w:t>
            </w:r>
            <w:r>
              <w:rPr>
                <w:color w:val="000000"/>
                <w:kern w:val="0"/>
                <w:sz w:val="24"/>
                <w:u w:val="none"/>
                <w:lang w:val="zh-CN"/>
              </w:rPr>
              <w:t>2007年）中</w:t>
            </w:r>
            <w:r>
              <w:rPr>
                <w:rFonts w:hint="eastAsia"/>
                <w:color w:val="000000"/>
                <w:kern w:val="0"/>
                <w:sz w:val="24"/>
                <w:u w:val="none"/>
                <w:lang w:val="en-US" w:eastAsia="zh-CN"/>
              </w:rPr>
              <w:t>提供的“石块和砾石”上料过程中排放因子为0.05</w:t>
            </w:r>
            <w:r>
              <w:rPr>
                <w:b w:val="0"/>
                <w:bCs w:val="0"/>
                <w:color w:val="000000"/>
                <w:sz w:val="24"/>
                <w:szCs w:val="24"/>
                <w:u w:val="none"/>
              </w:rPr>
              <w:t>kg/t</w:t>
            </w:r>
            <w:r>
              <w:rPr>
                <w:rFonts w:hint="eastAsia"/>
                <w:b w:val="0"/>
                <w:bCs w:val="0"/>
                <w:color w:val="000000"/>
                <w:sz w:val="24"/>
                <w:szCs w:val="24"/>
                <w:u w:val="none"/>
                <w:lang w:eastAsia="zh-CN"/>
              </w:rPr>
              <w:t>（</w:t>
            </w:r>
            <w:r>
              <w:rPr>
                <w:rFonts w:hint="eastAsia"/>
                <w:b w:val="0"/>
                <w:bCs w:val="0"/>
                <w:color w:val="000000"/>
                <w:sz w:val="24"/>
                <w:szCs w:val="24"/>
                <w:u w:val="none"/>
                <w:lang w:val="en-US" w:eastAsia="zh-CN"/>
              </w:rPr>
              <w:t>卸料</w:t>
            </w:r>
            <w:r>
              <w:rPr>
                <w:rFonts w:hint="eastAsia"/>
                <w:b w:val="0"/>
                <w:bCs w:val="0"/>
                <w:color w:val="000000"/>
                <w:sz w:val="24"/>
                <w:szCs w:val="24"/>
                <w:u w:val="none"/>
                <w:lang w:eastAsia="zh-CN"/>
              </w:rPr>
              <w:t>）</w:t>
            </w:r>
            <w:r>
              <w:rPr>
                <w:color w:val="000000"/>
                <w:kern w:val="0"/>
                <w:sz w:val="24"/>
                <w:u w:val="none"/>
                <w:lang w:val="zh-CN"/>
              </w:rPr>
              <w:t>。</w:t>
            </w:r>
          </w:p>
          <w:p w14:paraId="6724DB27">
            <w:pPr>
              <w:pStyle w:val="11"/>
              <w:keepNext w:val="0"/>
              <w:keepLines w:val="0"/>
              <w:pageBreakBefore w:val="0"/>
              <w:widowControl w:val="0"/>
              <w:kinsoku/>
              <w:wordWrap/>
              <w:overflowPunct/>
              <w:topLinePunct w:val="0"/>
              <w:autoSpaceDE/>
              <w:autoSpaceDN/>
              <w:bidi w:val="0"/>
              <w:spacing w:after="0" w:line="500" w:lineRule="exact"/>
              <w:jc w:val="center"/>
              <w:textAlignment w:val="auto"/>
              <w:rPr>
                <w:rFonts w:eastAsia="黑体"/>
                <w:b w:val="0"/>
                <w:bCs w:val="0"/>
                <w:color w:val="000000"/>
                <w:sz w:val="24"/>
                <w:u w:val="none"/>
                <w:lang w:val="en-US" w:eastAsia="zh-CN"/>
              </w:rPr>
            </w:pPr>
            <w:r>
              <w:rPr>
                <w:rFonts w:eastAsia="黑体"/>
                <w:b w:val="0"/>
                <w:bCs w:val="0"/>
                <w:color w:val="000000"/>
                <w:sz w:val="24"/>
                <w:highlight w:val="none"/>
                <w:u w:val="none"/>
                <w:lang w:val="en-US" w:eastAsia="zh-CN"/>
              </w:rPr>
              <w:t>表</w:t>
            </w:r>
            <w:r>
              <w:rPr>
                <w:rFonts w:hint="eastAsia" w:eastAsia="黑体"/>
                <w:b w:val="0"/>
                <w:bCs w:val="0"/>
                <w:color w:val="000000"/>
                <w:sz w:val="24"/>
                <w:highlight w:val="none"/>
                <w:u w:val="none"/>
                <w:lang w:val="en-US" w:eastAsia="zh-CN"/>
              </w:rPr>
              <w:t>4-1</w:t>
            </w:r>
            <w:r>
              <w:rPr>
                <w:rFonts w:eastAsia="黑体"/>
                <w:b w:val="0"/>
                <w:bCs w:val="0"/>
                <w:color w:val="000000"/>
                <w:sz w:val="24"/>
                <w:highlight w:val="none"/>
                <w:u w:val="none"/>
                <w:lang w:val="en-US" w:eastAsia="zh-CN"/>
              </w:rPr>
              <w:t xml:space="preserve"> </w:t>
            </w:r>
            <w:r>
              <w:rPr>
                <w:rFonts w:hint="eastAsia" w:eastAsia="黑体"/>
                <w:b w:val="0"/>
                <w:bCs w:val="0"/>
                <w:color w:val="000000"/>
                <w:sz w:val="24"/>
                <w:highlight w:val="none"/>
                <w:u w:val="none"/>
                <w:lang w:val="en-US" w:eastAsia="zh-CN"/>
              </w:rPr>
              <w:t>给料工序</w:t>
            </w:r>
            <w:r>
              <w:rPr>
                <w:rFonts w:eastAsia="黑体"/>
                <w:b w:val="0"/>
                <w:bCs w:val="0"/>
                <w:color w:val="000000"/>
                <w:sz w:val="24"/>
                <w:highlight w:val="none"/>
                <w:u w:val="none"/>
                <w:lang w:val="en-US" w:eastAsia="zh-CN"/>
              </w:rPr>
              <w:t>颗粒物产生量情况</w:t>
            </w:r>
            <w:r>
              <w:rPr>
                <w:rFonts w:eastAsia="黑体"/>
                <w:b w:val="0"/>
                <w:bCs w:val="0"/>
                <w:color w:val="000000"/>
                <w:sz w:val="24"/>
                <w:u w:val="none"/>
                <w:lang w:val="en-US" w:eastAsia="zh-CN"/>
              </w:rPr>
              <w:t>一览表</w:t>
            </w:r>
          </w:p>
          <w:tbl>
            <w:tblPr>
              <w:tblStyle w:val="23"/>
              <w:tblW w:w="78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Layout w:type="fixed"/>
              <w:tblCellMar>
                <w:top w:w="0" w:type="dxa"/>
                <w:left w:w="108" w:type="dxa"/>
                <w:bottom w:w="0" w:type="dxa"/>
                <w:right w:w="108" w:type="dxa"/>
              </w:tblCellMar>
            </w:tblPr>
            <w:tblGrid>
              <w:gridCol w:w="680"/>
              <w:gridCol w:w="900"/>
              <w:gridCol w:w="1161"/>
              <w:gridCol w:w="1598"/>
              <w:gridCol w:w="1788"/>
              <w:gridCol w:w="1750"/>
            </w:tblGrid>
            <w:tr w14:paraId="53311E97">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529" w:hRule="atLeast"/>
                <w:jc w:val="center"/>
              </w:trPr>
              <w:tc>
                <w:tcPr>
                  <w:tcW w:w="431" w:type="pct"/>
                  <w:tcBorders>
                    <w:tl2br w:val="nil"/>
                    <w:tr2bl w:val="nil"/>
                  </w:tcBorders>
                  <w:noWrap w:val="0"/>
                  <w:vAlign w:val="center"/>
                </w:tcPr>
                <w:p w14:paraId="423876CB">
                  <w:pPr>
                    <w:adjustRightInd w:val="0"/>
                    <w:snapToGrid w:val="0"/>
                    <w:jc w:val="center"/>
                    <w:rPr>
                      <w:b w:val="0"/>
                      <w:bCs w:val="0"/>
                      <w:color w:val="000000"/>
                      <w:szCs w:val="21"/>
                      <w:u w:val="none"/>
                    </w:rPr>
                  </w:pPr>
                  <w:r>
                    <w:rPr>
                      <w:b w:val="0"/>
                      <w:bCs w:val="0"/>
                      <w:color w:val="000000"/>
                      <w:szCs w:val="21"/>
                      <w:u w:val="none"/>
                    </w:rPr>
                    <w:t>序号</w:t>
                  </w:r>
                </w:p>
              </w:tc>
              <w:tc>
                <w:tcPr>
                  <w:tcW w:w="571" w:type="pct"/>
                  <w:tcBorders>
                    <w:tl2br w:val="nil"/>
                    <w:tr2bl w:val="nil"/>
                  </w:tcBorders>
                  <w:noWrap w:val="0"/>
                  <w:vAlign w:val="center"/>
                </w:tcPr>
                <w:p w14:paraId="70FCDD76">
                  <w:pPr>
                    <w:adjustRightInd w:val="0"/>
                    <w:snapToGrid w:val="0"/>
                    <w:jc w:val="center"/>
                    <w:rPr>
                      <w:b w:val="0"/>
                      <w:bCs w:val="0"/>
                      <w:color w:val="000000"/>
                      <w:szCs w:val="21"/>
                      <w:u w:val="none"/>
                    </w:rPr>
                  </w:pPr>
                  <w:r>
                    <w:rPr>
                      <w:b w:val="0"/>
                      <w:bCs w:val="0"/>
                      <w:color w:val="000000"/>
                      <w:szCs w:val="21"/>
                      <w:u w:val="none"/>
                    </w:rPr>
                    <w:t>设备</w:t>
                  </w:r>
                </w:p>
              </w:tc>
              <w:tc>
                <w:tcPr>
                  <w:tcW w:w="736" w:type="pct"/>
                  <w:tcBorders>
                    <w:tl2br w:val="nil"/>
                    <w:tr2bl w:val="nil"/>
                  </w:tcBorders>
                  <w:noWrap w:val="0"/>
                  <w:vAlign w:val="center"/>
                </w:tcPr>
                <w:p w14:paraId="750DCA3C">
                  <w:pPr>
                    <w:adjustRightInd w:val="0"/>
                    <w:snapToGrid w:val="0"/>
                    <w:jc w:val="center"/>
                    <w:rPr>
                      <w:b w:val="0"/>
                      <w:bCs w:val="0"/>
                      <w:color w:val="000000"/>
                      <w:szCs w:val="21"/>
                      <w:u w:val="none"/>
                    </w:rPr>
                  </w:pPr>
                  <w:r>
                    <w:rPr>
                      <w:b w:val="0"/>
                      <w:bCs w:val="0"/>
                      <w:color w:val="000000"/>
                      <w:szCs w:val="21"/>
                      <w:u w:val="none"/>
                    </w:rPr>
                    <w:t>产污工段</w:t>
                  </w:r>
                </w:p>
              </w:tc>
              <w:tc>
                <w:tcPr>
                  <w:tcW w:w="1014" w:type="pct"/>
                  <w:tcBorders>
                    <w:tl2br w:val="nil"/>
                    <w:tr2bl w:val="nil"/>
                  </w:tcBorders>
                  <w:noWrap w:val="0"/>
                  <w:vAlign w:val="center"/>
                </w:tcPr>
                <w:p w14:paraId="73FB3F71">
                  <w:pPr>
                    <w:adjustRightInd w:val="0"/>
                    <w:snapToGrid w:val="0"/>
                    <w:jc w:val="center"/>
                    <w:rPr>
                      <w:b w:val="0"/>
                      <w:bCs w:val="0"/>
                      <w:color w:val="000000"/>
                      <w:szCs w:val="21"/>
                      <w:u w:val="none"/>
                    </w:rPr>
                  </w:pPr>
                  <w:r>
                    <w:rPr>
                      <w:b w:val="0"/>
                      <w:bCs w:val="0"/>
                      <w:color w:val="000000"/>
                      <w:szCs w:val="21"/>
                      <w:u w:val="none"/>
                    </w:rPr>
                    <w:t>产生系数</w:t>
                  </w:r>
                </w:p>
              </w:tc>
              <w:tc>
                <w:tcPr>
                  <w:tcW w:w="1134" w:type="pct"/>
                  <w:tcBorders>
                    <w:tl2br w:val="nil"/>
                    <w:tr2bl w:val="nil"/>
                  </w:tcBorders>
                  <w:noWrap w:val="0"/>
                  <w:vAlign w:val="center"/>
                </w:tcPr>
                <w:p w14:paraId="167C0BFF">
                  <w:pPr>
                    <w:adjustRightInd w:val="0"/>
                    <w:snapToGrid w:val="0"/>
                    <w:jc w:val="center"/>
                    <w:rPr>
                      <w:b w:val="0"/>
                      <w:bCs w:val="0"/>
                      <w:color w:val="000000"/>
                      <w:szCs w:val="21"/>
                      <w:highlight w:val="none"/>
                      <w:u w:val="none"/>
                    </w:rPr>
                  </w:pPr>
                  <w:r>
                    <w:rPr>
                      <w:b w:val="0"/>
                      <w:bCs w:val="0"/>
                      <w:color w:val="000000"/>
                      <w:szCs w:val="21"/>
                      <w:highlight w:val="none"/>
                      <w:u w:val="none"/>
                    </w:rPr>
                    <w:t>物料加工量（t/a）</w:t>
                  </w:r>
                </w:p>
              </w:tc>
              <w:tc>
                <w:tcPr>
                  <w:tcW w:w="1110" w:type="pct"/>
                  <w:tcBorders>
                    <w:tl2br w:val="nil"/>
                    <w:tr2bl w:val="nil"/>
                  </w:tcBorders>
                  <w:noWrap w:val="0"/>
                  <w:vAlign w:val="center"/>
                </w:tcPr>
                <w:p w14:paraId="7FB5FEB6">
                  <w:pPr>
                    <w:adjustRightInd w:val="0"/>
                    <w:snapToGrid w:val="0"/>
                    <w:jc w:val="center"/>
                    <w:rPr>
                      <w:b w:val="0"/>
                      <w:bCs w:val="0"/>
                      <w:color w:val="000000"/>
                      <w:szCs w:val="21"/>
                      <w:u w:val="none"/>
                    </w:rPr>
                  </w:pPr>
                  <w:r>
                    <w:rPr>
                      <w:b w:val="0"/>
                      <w:bCs w:val="0"/>
                      <w:color w:val="000000"/>
                      <w:szCs w:val="21"/>
                      <w:u w:val="none"/>
                    </w:rPr>
                    <w:t>颗粒物产生量（t/a）</w:t>
                  </w:r>
                </w:p>
              </w:tc>
            </w:tr>
            <w:tr w14:paraId="7F8B90B3">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538" w:hRule="atLeast"/>
                <w:jc w:val="center"/>
              </w:trPr>
              <w:tc>
                <w:tcPr>
                  <w:tcW w:w="431" w:type="pct"/>
                  <w:tcBorders>
                    <w:tl2br w:val="nil"/>
                    <w:tr2bl w:val="nil"/>
                  </w:tcBorders>
                  <w:noWrap w:val="0"/>
                  <w:vAlign w:val="center"/>
                </w:tcPr>
                <w:p w14:paraId="27A0C9CF">
                  <w:pPr>
                    <w:adjustRightInd w:val="0"/>
                    <w:snapToGrid w:val="0"/>
                    <w:jc w:val="center"/>
                    <w:rPr>
                      <w:b w:val="0"/>
                      <w:bCs w:val="0"/>
                      <w:color w:val="000000"/>
                      <w:szCs w:val="21"/>
                      <w:u w:val="none"/>
                    </w:rPr>
                  </w:pPr>
                  <w:r>
                    <w:rPr>
                      <w:b w:val="0"/>
                      <w:bCs w:val="0"/>
                      <w:color w:val="000000"/>
                      <w:szCs w:val="21"/>
                      <w:u w:val="none"/>
                    </w:rPr>
                    <w:t>1</w:t>
                  </w:r>
                </w:p>
              </w:tc>
              <w:tc>
                <w:tcPr>
                  <w:tcW w:w="571" w:type="pct"/>
                  <w:tcBorders>
                    <w:tl2br w:val="nil"/>
                    <w:tr2bl w:val="nil"/>
                  </w:tcBorders>
                  <w:noWrap w:val="0"/>
                  <w:vAlign w:val="center"/>
                </w:tcPr>
                <w:p w14:paraId="71642FF6">
                  <w:pPr>
                    <w:snapToGrid w:val="0"/>
                    <w:jc w:val="center"/>
                    <w:rPr>
                      <w:rFonts w:hint="default" w:eastAsia="宋体"/>
                      <w:b w:val="0"/>
                      <w:bCs w:val="0"/>
                      <w:color w:val="000000"/>
                      <w:szCs w:val="21"/>
                      <w:u w:val="none"/>
                      <w:lang w:val="en-US" w:eastAsia="zh-CN"/>
                    </w:rPr>
                  </w:pPr>
                  <w:r>
                    <w:rPr>
                      <w:rFonts w:hint="eastAsia" w:eastAsia="宋体"/>
                      <w:b w:val="0"/>
                      <w:bCs w:val="0"/>
                      <w:color w:val="000000"/>
                      <w:szCs w:val="21"/>
                      <w:u w:val="none"/>
                      <w:lang w:val="en-US" w:eastAsia="zh-CN"/>
                    </w:rPr>
                    <w:t>振动喂料机</w:t>
                  </w:r>
                </w:p>
              </w:tc>
              <w:tc>
                <w:tcPr>
                  <w:tcW w:w="736" w:type="pct"/>
                  <w:tcBorders>
                    <w:tl2br w:val="nil"/>
                    <w:tr2bl w:val="nil"/>
                  </w:tcBorders>
                  <w:noWrap w:val="0"/>
                  <w:vAlign w:val="center"/>
                </w:tcPr>
                <w:p w14:paraId="55C1A2D5">
                  <w:pPr>
                    <w:snapToGrid w:val="0"/>
                    <w:jc w:val="center"/>
                    <w:rPr>
                      <w:rFonts w:hint="default" w:eastAsia="宋体"/>
                      <w:b w:val="0"/>
                      <w:bCs w:val="0"/>
                      <w:color w:val="000000"/>
                      <w:szCs w:val="21"/>
                      <w:u w:val="none"/>
                      <w:lang w:val="en-US" w:eastAsia="zh-CN"/>
                    </w:rPr>
                  </w:pPr>
                  <w:r>
                    <w:rPr>
                      <w:rFonts w:hint="eastAsia"/>
                      <w:b w:val="0"/>
                      <w:bCs w:val="0"/>
                      <w:color w:val="000000"/>
                      <w:szCs w:val="21"/>
                      <w:u w:val="none"/>
                      <w:lang w:val="en-US" w:eastAsia="zh-CN"/>
                    </w:rPr>
                    <w:t>给料工序</w:t>
                  </w:r>
                </w:p>
              </w:tc>
              <w:tc>
                <w:tcPr>
                  <w:tcW w:w="1014" w:type="pct"/>
                  <w:tcBorders>
                    <w:tl2br w:val="nil"/>
                    <w:tr2bl w:val="nil"/>
                  </w:tcBorders>
                  <w:noWrap w:val="0"/>
                  <w:vAlign w:val="center"/>
                </w:tcPr>
                <w:p w14:paraId="25A0CBBB">
                  <w:pPr>
                    <w:adjustRightInd w:val="0"/>
                    <w:snapToGrid w:val="0"/>
                    <w:jc w:val="center"/>
                    <w:rPr>
                      <w:b w:val="0"/>
                      <w:bCs w:val="0"/>
                      <w:color w:val="000000"/>
                      <w:szCs w:val="21"/>
                      <w:u w:val="none"/>
                    </w:rPr>
                  </w:pPr>
                  <w:r>
                    <w:rPr>
                      <w:b w:val="0"/>
                      <w:bCs w:val="0"/>
                      <w:color w:val="000000"/>
                      <w:szCs w:val="21"/>
                      <w:u w:val="none"/>
                    </w:rPr>
                    <w:t>0.</w:t>
                  </w:r>
                  <w:r>
                    <w:rPr>
                      <w:rFonts w:hint="eastAsia"/>
                      <w:b w:val="0"/>
                      <w:bCs w:val="0"/>
                      <w:color w:val="000000"/>
                      <w:szCs w:val="21"/>
                      <w:u w:val="none"/>
                      <w:lang w:val="en-US" w:eastAsia="zh-CN"/>
                    </w:rPr>
                    <w:t>05</w:t>
                  </w:r>
                  <w:r>
                    <w:rPr>
                      <w:b w:val="0"/>
                      <w:bCs w:val="0"/>
                      <w:color w:val="000000"/>
                      <w:szCs w:val="21"/>
                      <w:u w:val="none"/>
                    </w:rPr>
                    <w:t>kg/t</w:t>
                  </w:r>
                  <w:r>
                    <w:rPr>
                      <w:rFonts w:hint="eastAsia"/>
                      <w:b w:val="0"/>
                      <w:bCs w:val="0"/>
                      <w:color w:val="000000"/>
                      <w:szCs w:val="21"/>
                      <w:u w:val="none"/>
                      <w:lang w:val="en-US" w:eastAsia="zh-CN"/>
                    </w:rPr>
                    <w:t>-</w:t>
                  </w:r>
                  <w:r>
                    <w:rPr>
                      <w:b w:val="0"/>
                      <w:bCs w:val="0"/>
                      <w:color w:val="000000"/>
                      <w:szCs w:val="21"/>
                      <w:u w:val="none"/>
                      <w:vertAlign w:val="baseline"/>
                    </w:rPr>
                    <w:t>原料</w:t>
                  </w:r>
                </w:p>
              </w:tc>
              <w:tc>
                <w:tcPr>
                  <w:tcW w:w="1134" w:type="pct"/>
                  <w:tcBorders>
                    <w:tl2br w:val="nil"/>
                    <w:tr2bl w:val="nil"/>
                  </w:tcBorders>
                  <w:noWrap w:val="0"/>
                  <w:vAlign w:val="center"/>
                </w:tcPr>
                <w:p w14:paraId="1EE65AEA">
                  <w:pPr>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10</w:t>
                  </w:r>
                  <w:r>
                    <w:rPr>
                      <w:rFonts w:hint="eastAsia"/>
                      <w:lang w:val="en-US" w:eastAsia="zh-CN"/>
                    </w:rPr>
                    <w:t>0000</w:t>
                  </w:r>
                </w:p>
              </w:tc>
              <w:tc>
                <w:tcPr>
                  <w:tcW w:w="1110" w:type="pct"/>
                  <w:tcBorders>
                    <w:tl2br w:val="nil"/>
                    <w:tr2bl w:val="nil"/>
                  </w:tcBorders>
                  <w:noWrap w:val="0"/>
                  <w:vAlign w:val="center"/>
                </w:tcPr>
                <w:p w14:paraId="49080629">
                  <w:pPr>
                    <w:adjustRightInd w:val="0"/>
                    <w:snapToGrid w:val="0"/>
                    <w:jc w:val="center"/>
                    <w:rPr>
                      <w:rFonts w:hint="default" w:eastAsia="宋体"/>
                      <w:b w:val="0"/>
                      <w:bCs w:val="0"/>
                      <w:color w:val="000000"/>
                      <w:szCs w:val="21"/>
                      <w:u w:val="none"/>
                      <w:lang w:val="en-US" w:eastAsia="zh-CN"/>
                    </w:rPr>
                  </w:pPr>
                  <w:r>
                    <w:rPr>
                      <w:rFonts w:hint="eastAsia"/>
                      <w:b w:val="0"/>
                      <w:bCs w:val="0"/>
                      <w:color w:val="000000"/>
                      <w:szCs w:val="21"/>
                      <w:u w:val="none"/>
                      <w:lang w:val="en-US" w:eastAsia="zh-CN"/>
                    </w:rPr>
                    <w:t>5</w:t>
                  </w:r>
                </w:p>
              </w:tc>
            </w:tr>
          </w:tbl>
          <w:p w14:paraId="3A7709F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000000"/>
                <w:sz w:val="24"/>
                <w:u w:val="none"/>
              </w:rPr>
            </w:pPr>
            <w:r>
              <w:rPr>
                <w:color w:val="000000"/>
                <w:sz w:val="24"/>
                <w:highlight w:val="none"/>
                <w:u w:val="none"/>
              </w:rPr>
              <w:t>经计算，</w:t>
            </w:r>
            <w:r>
              <w:rPr>
                <w:rFonts w:hint="eastAsia"/>
                <w:color w:val="000000"/>
                <w:sz w:val="24"/>
                <w:highlight w:val="none"/>
                <w:u w:val="none"/>
                <w:lang w:val="en-US" w:eastAsia="zh-CN"/>
              </w:rPr>
              <w:t>通过</w:t>
            </w:r>
            <w:r>
              <w:rPr>
                <w:rFonts w:hint="eastAsia"/>
                <w:color w:val="000000"/>
                <w:sz w:val="24"/>
                <w:highlight w:val="none"/>
                <w:u w:val="none"/>
              </w:rPr>
              <w:t>集气罩</w:t>
            </w:r>
            <w:r>
              <w:rPr>
                <w:color w:val="000000"/>
                <w:sz w:val="24"/>
                <w:highlight w:val="none"/>
                <w:u w:val="none"/>
              </w:rPr>
              <w:t>收集的</w:t>
            </w:r>
            <w:r>
              <w:rPr>
                <w:rFonts w:hint="eastAsia"/>
                <w:color w:val="000000"/>
                <w:sz w:val="24"/>
                <w:highlight w:val="none"/>
                <w:u w:val="none"/>
                <w:lang w:val="en-US" w:eastAsia="zh-CN"/>
              </w:rPr>
              <w:t>颗粒物</w:t>
            </w:r>
            <w:r>
              <w:rPr>
                <w:color w:val="000000"/>
                <w:sz w:val="24"/>
                <w:highlight w:val="none"/>
                <w:u w:val="none"/>
              </w:rPr>
              <w:t>量为</w:t>
            </w:r>
            <w:r>
              <w:rPr>
                <w:rFonts w:hint="eastAsia"/>
                <w:color w:val="000000"/>
                <w:sz w:val="24"/>
                <w:highlight w:val="none"/>
                <w:u w:val="none"/>
                <w:lang w:val="en-US" w:eastAsia="zh-CN"/>
              </w:rPr>
              <w:t>4.75</w:t>
            </w:r>
            <w:r>
              <w:rPr>
                <w:color w:val="000000"/>
                <w:sz w:val="24"/>
                <w:highlight w:val="none"/>
                <w:u w:val="none"/>
              </w:rPr>
              <w:t>t/a，</w:t>
            </w:r>
            <w:r>
              <w:rPr>
                <w:rFonts w:hint="eastAsia"/>
                <w:color w:val="000000"/>
                <w:sz w:val="24"/>
                <w:highlight w:val="none"/>
                <w:u w:val="none"/>
                <w:lang w:val="en-US" w:eastAsia="zh-CN"/>
              </w:rPr>
              <w:t>颗粒物</w:t>
            </w:r>
            <w:r>
              <w:rPr>
                <w:color w:val="000000"/>
                <w:sz w:val="24"/>
                <w:highlight w:val="none"/>
                <w:u w:val="none"/>
              </w:rPr>
              <w:t>产生速率为</w:t>
            </w:r>
            <w:r>
              <w:rPr>
                <w:rFonts w:hint="eastAsia"/>
                <w:color w:val="000000"/>
                <w:sz w:val="24"/>
                <w:highlight w:val="none"/>
                <w:u w:val="none"/>
                <w:lang w:val="en-US" w:eastAsia="zh-CN"/>
              </w:rPr>
              <w:t>0.99</w:t>
            </w:r>
            <w:r>
              <w:rPr>
                <w:color w:val="000000"/>
                <w:sz w:val="24"/>
                <w:highlight w:val="none"/>
                <w:u w:val="none"/>
              </w:rPr>
              <w:t>kg/h，产生浓度为</w:t>
            </w:r>
            <w:r>
              <w:rPr>
                <w:rFonts w:hint="eastAsia"/>
                <w:color w:val="000000"/>
                <w:sz w:val="24"/>
                <w:highlight w:val="none"/>
                <w:u w:val="none"/>
                <w:lang w:val="en-US" w:eastAsia="zh-CN"/>
              </w:rPr>
              <w:t>197.92</w:t>
            </w:r>
            <w:r>
              <w:rPr>
                <w:color w:val="000000"/>
                <w:sz w:val="24"/>
                <w:highlight w:val="none"/>
                <w:u w:val="none"/>
              </w:rPr>
              <w:t>mg/m</w:t>
            </w:r>
            <w:r>
              <w:rPr>
                <w:color w:val="000000"/>
                <w:sz w:val="24"/>
                <w:highlight w:val="none"/>
                <w:u w:val="none"/>
                <w:vertAlign w:val="superscript"/>
              </w:rPr>
              <w:t>3</w:t>
            </w:r>
            <w:r>
              <w:rPr>
                <w:rFonts w:hint="eastAsia"/>
                <w:color w:val="000000"/>
                <w:sz w:val="24"/>
                <w:highlight w:val="none"/>
                <w:u w:val="none"/>
                <w:vertAlign w:val="baseline"/>
                <w:lang w:eastAsia="zh-CN"/>
              </w:rPr>
              <w:t>，</w:t>
            </w:r>
            <w:r>
              <w:rPr>
                <w:color w:val="000000"/>
                <w:sz w:val="24"/>
                <w:highlight w:val="none"/>
                <w:u w:val="none"/>
              </w:rPr>
              <w:t>经</w:t>
            </w:r>
            <w:r>
              <w:rPr>
                <w:rFonts w:hint="eastAsia"/>
                <w:color w:val="000000"/>
                <w:sz w:val="24"/>
                <w:highlight w:val="none"/>
                <w:u w:val="none"/>
                <w:lang w:val="en-US" w:eastAsia="zh-CN"/>
              </w:rPr>
              <w:t>袋式</w:t>
            </w:r>
            <w:r>
              <w:rPr>
                <w:color w:val="000000"/>
                <w:sz w:val="24"/>
                <w:highlight w:val="none"/>
                <w:u w:val="none"/>
              </w:rPr>
              <w:t>除尘器处理后，</w:t>
            </w:r>
            <w:r>
              <w:rPr>
                <w:rFonts w:hint="eastAsia"/>
                <w:color w:val="000000"/>
                <w:sz w:val="24"/>
                <w:highlight w:val="none"/>
                <w:u w:val="none"/>
                <w:lang w:val="en-US" w:eastAsia="zh-CN"/>
              </w:rPr>
              <w:t>颗粒物</w:t>
            </w:r>
            <w:r>
              <w:rPr>
                <w:color w:val="000000"/>
                <w:sz w:val="24"/>
                <w:highlight w:val="none"/>
                <w:u w:val="none"/>
              </w:rPr>
              <w:t>排放量为</w:t>
            </w:r>
            <w:r>
              <w:rPr>
                <w:rFonts w:hint="eastAsia"/>
                <w:color w:val="000000"/>
                <w:sz w:val="24"/>
                <w:highlight w:val="none"/>
                <w:u w:val="none"/>
                <w:lang w:val="en-US" w:eastAsia="zh-CN"/>
              </w:rPr>
              <w:t>0.00475</w:t>
            </w:r>
            <w:r>
              <w:rPr>
                <w:color w:val="000000"/>
                <w:sz w:val="24"/>
                <w:highlight w:val="none"/>
                <w:u w:val="none"/>
              </w:rPr>
              <w:t>t/a，</w:t>
            </w:r>
            <w:r>
              <w:rPr>
                <w:rFonts w:hint="eastAsia"/>
                <w:color w:val="000000"/>
                <w:sz w:val="24"/>
                <w:highlight w:val="none"/>
                <w:u w:val="none"/>
                <w:lang w:val="en-US" w:eastAsia="zh-CN"/>
              </w:rPr>
              <w:t>颗粒物</w:t>
            </w:r>
            <w:r>
              <w:rPr>
                <w:color w:val="000000"/>
                <w:sz w:val="24"/>
                <w:highlight w:val="none"/>
                <w:u w:val="none"/>
              </w:rPr>
              <w:t>排放速率为</w:t>
            </w:r>
            <w:r>
              <w:rPr>
                <w:rFonts w:hint="eastAsia"/>
                <w:color w:val="000000"/>
                <w:sz w:val="24"/>
                <w:highlight w:val="none"/>
                <w:u w:val="none"/>
                <w:lang w:val="en-US" w:eastAsia="zh-CN"/>
              </w:rPr>
              <w:t>0.001</w:t>
            </w:r>
            <w:r>
              <w:rPr>
                <w:color w:val="000000"/>
                <w:sz w:val="24"/>
                <w:highlight w:val="none"/>
                <w:u w:val="none"/>
              </w:rPr>
              <w:t>kg/h，排放浓度为</w:t>
            </w:r>
            <w:r>
              <w:rPr>
                <w:rFonts w:hint="eastAsia"/>
                <w:color w:val="000000"/>
                <w:sz w:val="24"/>
                <w:highlight w:val="none"/>
                <w:u w:val="none"/>
                <w:lang w:val="en-US" w:eastAsia="zh-CN"/>
              </w:rPr>
              <w:t>0.1979</w:t>
            </w:r>
            <w:r>
              <w:rPr>
                <w:color w:val="000000"/>
                <w:sz w:val="24"/>
                <w:highlight w:val="none"/>
                <w:u w:val="none"/>
              </w:rPr>
              <w:t>mg/m</w:t>
            </w:r>
            <w:r>
              <w:rPr>
                <w:color w:val="000000"/>
                <w:sz w:val="24"/>
                <w:highlight w:val="none"/>
                <w:u w:val="none"/>
                <w:vertAlign w:val="superscript"/>
              </w:rPr>
              <w:t>3</w:t>
            </w:r>
            <w:r>
              <w:rPr>
                <w:color w:val="000000"/>
                <w:sz w:val="24"/>
                <w:highlight w:val="none"/>
                <w:u w:val="none"/>
              </w:rPr>
              <w:t>，满足</w:t>
            </w:r>
            <w:r>
              <w:rPr>
                <w:rFonts w:hint="eastAsia"/>
                <w:color w:val="000000"/>
                <w:sz w:val="24"/>
                <w:highlight w:val="none"/>
                <w:u w:val="none"/>
              </w:rPr>
              <w:t>《河南省重污染天气</w:t>
            </w:r>
            <w:r>
              <w:rPr>
                <w:rFonts w:hint="eastAsia"/>
                <w:color w:val="000000"/>
                <w:sz w:val="24"/>
                <w:highlight w:val="none"/>
                <w:u w:val="none"/>
                <w:lang w:val="en-US" w:eastAsia="zh-CN"/>
              </w:rPr>
              <w:t>重点</w:t>
            </w:r>
            <w:r>
              <w:rPr>
                <w:rFonts w:hint="eastAsia"/>
                <w:color w:val="000000"/>
                <w:sz w:val="24"/>
                <w:highlight w:val="none"/>
                <w:u w:val="none"/>
              </w:rPr>
              <w:t>行业应急减排措施制定技术指南》</w:t>
            </w:r>
            <w:r>
              <w:rPr>
                <w:rFonts w:hint="eastAsia"/>
                <w:sz w:val="24"/>
                <w:szCs w:val="24"/>
                <w:highlight w:val="none"/>
                <w:u w:val="none"/>
                <w:lang w:val="en-US" w:eastAsia="zh-CN"/>
              </w:rPr>
              <w:t>（2024年修订版）</w:t>
            </w:r>
            <w:r>
              <w:rPr>
                <w:rFonts w:hint="eastAsia"/>
                <w:sz w:val="24"/>
                <w:u w:val="none"/>
              </w:rPr>
              <w:t>中排放限值（</w:t>
            </w:r>
            <w:r>
              <w:rPr>
                <w:rFonts w:hint="eastAsia"/>
                <w:sz w:val="24"/>
                <w:u w:val="none"/>
                <w:lang w:val="en-US" w:eastAsia="zh-CN"/>
              </w:rPr>
              <w:t>颗粒物</w:t>
            </w:r>
            <w:r>
              <w:rPr>
                <w:rFonts w:hint="eastAsia"/>
                <w:sz w:val="24"/>
                <w:u w:val="none"/>
              </w:rPr>
              <w:t>有组织10mg/m</w:t>
            </w:r>
            <w:r>
              <w:rPr>
                <w:rFonts w:hint="eastAsia"/>
                <w:sz w:val="24"/>
                <w:u w:val="none"/>
                <w:vertAlign w:val="superscript"/>
              </w:rPr>
              <w:t>3</w:t>
            </w:r>
            <w:r>
              <w:rPr>
                <w:rFonts w:hint="eastAsia"/>
                <w:sz w:val="24"/>
                <w:u w:val="none"/>
              </w:rPr>
              <w:t>）要求</w:t>
            </w:r>
            <w:r>
              <w:rPr>
                <w:color w:val="000000"/>
                <w:sz w:val="24"/>
                <w:u w:val="none"/>
              </w:rPr>
              <w:t>。</w:t>
            </w:r>
          </w:p>
          <w:p w14:paraId="27B9667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bCs/>
                <w:color w:val="000000"/>
                <w:sz w:val="24"/>
                <w:u w:val="none"/>
              </w:rPr>
            </w:pPr>
            <w:r>
              <w:rPr>
                <w:color w:val="000000"/>
                <w:sz w:val="24"/>
                <w:u w:val="none"/>
              </w:rPr>
              <w:t>废气集气效率按9</w:t>
            </w:r>
            <w:r>
              <w:rPr>
                <w:rFonts w:hint="eastAsia"/>
                <w:color w:val="000000"/>
                <w:sz w:val="24"/>
                <w:u w:val="none"/>
                <w:lang w:val="en-US" w:eastAsia="zh-CN"/>
              </w:rPr>
              <w:t>5</w:t>
            </w:r>
            <w:r>
              <w:rPr>
                <w:color w:val="000000"/>
                <w:sz w:val="24"/>
                <w:u w:val="none"/>
              </w:rPr>
              <w:t>%计</w:t>
            </w:r>
            <w:r>
              <w:rPr>
                <w:rFonts w:hint="eastAsia"/>
                <w:color w:val="000000"/>
                <w:sz w:val="24"/>
                <w:u w:val="none"/>
                <w:lang w:eastAsia="zh-CN"/>
              </w:rPr>
              <w:t>，</w:t>
            </w:r>
            <w:r>
              <w:rPr>
                <w:rFonts w:hint="eastAsia"/>
                <w:color w:val="000000"/>
                <w:sz w:val="24"/>
                <w:u w:val="none"/>
                <w:lang w:val="en-US" w:eastAsia="zh-CN"/>
              </w:rPr>
              <w:t>则有5%的颗粒物无组织排放，给料</w:t>
            </w:r>
            <w:r>
              <w:rPr>
                <w:bCs/>
                <w:color w:val="000000"/>
                <w:sz w:val="24"/>
                <w:u w:val="none"/>
              </w:rPr>
              <w:t>工序在封闭车间内进行，</w:t>
            </w:r>
            <w:r>
              <w:rPr>
                <w:rFonts w:hint="eastAsia"/>
                <w:bCs/>
                <w:color w:val="000000"/>
                <w:sz w:val="24"/>
                <w:u w:val="none"/>
                <w:lang w:val="en-US" w:eastAsia="zh-CN"/>
              </w:rPr>
              <w:t>给料工序</w:t>
            </w:r>
            <w:r>
              <w:rPr>
                <w:bCs/>
                <w:color w:val="000000"/>
                <w:sz w:val="24"/>
                <w:u w:val="none"/>
              </w:rPr>
              <w:t>无组织</w:t>
            </w:r>
            <w:r>
              <w:rPr>
                <w:rFonts w:hint="eastAsia"/>
                <w:bCs/>
                <w:color w:val="000000"/>
                <w:sz w:val="24"/>
                <w:u w:val="none"/>
                <w:lang w:val="en-US" w:eastAsia="zh-CN"/>
              </w:rPr>
              <w:t>颗粒物</w:t>
            </w:r>
            <w:r>
              <w:rPr>
                <w:bCs/>
                <w:color w:val="000000"/>
                <w:sz w:val="24"/>
                <w:u w:val="none"/>
              </w:rPr>
              <w:t>的排放</w:t>
            </w:r>
            <w:r>
              <w:rPr>
                <w:bCs/>
                <w:color w:val="000000"/>
                <w:sz w:val="24"/>
                <w:highlight w:val="none"/>
                <w:u w:val="none"/>
              </w:rPr>
              <w:t>量为</w:t>
            </w:r>
            <w:r>
              <w:rPr>
                <w:rFonts w:hint="eastAsia"/>
                <w:bCs/>
                <w:color w:val="000000"/>
                <w:sz w:val="24"/>
                <w:highlight w:val="none"/>
                <w:u w:val="none"/>
                <w:lang w:val="en-US" w:eastAsia="zh-CN"/>
              </w:rPr>
              <w:t>0.25</w:t>
            </w:r>
            <w:r>
              <w:rPr>
                <w:bCs/>
                <w:color w:val="000000"/>
                <w:sz w:val="24"/>
                <w:highlight w:val="none"/>
                <w:u w:val="none"/>
              </w:rPr>
              <w:t>t/a</w:t>
            </w:r>
            <w:r>
              <w:rPr>
                <w:rFonts w:hint="eastAsia"/>
                <w:bCs/>
                <w:color w:val="000000"/>
                <w:sz w:val="24"/>
                <w:highlight w:val="none"/>
                <w:u w:val="none"/>
              </w:rPr>
              <w:t>、</w:t>
            </w:r>
            <w:r>
              <w:rPr>
                <w:rFonts w:hint="eastAsia"/>
                <w:color w:val="000000"/>
                <w:sz w:val="24"/>
                <w:highlight w:val="none"/>
                <w:u w:val="none"/>
                <w:lang w:val="en-US" w:eastAsia="zh-CN"/>
              </w:rPr>
              <w:t>0.0521</w:t>
            </w:r>
            <w:r>
              <w:rPr>
                <w:color w:val="000000"/>
                <w:sz w:val="24"/>
                <w:highlight w:val="none"/>
                <w:u w:val="none"/>
              </w:rPr>
              <w:t>kg/h</w:t>
            </w:r>
            <w:r>
              <w:rPr>
                <w:bCs/>
                <w:color w:val="000000"/>
                <w:sz w:val="24"/>
                <w:highlight w:val="none"/>
                <w:u w:val="none"/>
              </w:rPr>
              <w:t>。</w:t>
            </w:r>
          </w:p>
          <w:p w14:paraId="1E933EFC">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bCs/>
                <w:color w:val="000000"/>
                <w:sz w:val="24"/>
                <w:u w:val="none"/>
              </w:rPr>
            </w:pPr>
            <w:r>
              <w:rPr>
                <w:rFonts w:hint="eastAsia"/>
                <w:bCs/>
                <w:color w:val="000000"/>
                <w:sz w:val="24"/>
                <w:u w:val="none"/>
              </w:rPr>
              <w:t>（</w:t>
            </w:r>
            <w:r>
              <w:rPr>
                <w:rFonts w:hint="eastAsia"/>
                <w:bCs/>
                <w:color w:val="000000"/>
                <w:sz w:val="24"/>
                <w:u w:val="none"/>
                <w:lang w:val="en-US" w:eastAsia="zh-CN"/>
              </w:rPr>
              <w:t>2</w:t>
            </w:r>
            <w:r>
              <w:rPr>
                <w:rFonts w:hint="eastAsia"/>
                <w:bCs/>
                <w:color w:val="000000"/>
                <w:sz w:val="24"/>
                <w:u w:val="none"/>
              </w:rPr>
              <w:t>）</w:t>
            </w:r>
            <w:r>
              <w:rPr>
                <w:rFonts w:hint="eastAsia"/>
                <w:sz w:val="24"/>
                <w:lang w:val="en-US" w:eastAsia="zh-CN"/>
              </w:rPr>
              <w:t>颚破</w:t>
            </w:r>
            <w:r>
              <w:rPr>
                <w:rFonts w:hint="eastAsia"/>
                <w:bCs/>
                <w:color w:val="000000"/>
                <w:sz w:val="24"/>
                <w:u w:val="none"/>
              </w:rPr>
              <w:t>工序</w:t>
            </w:r>
            <w:r>
              <w:rPr>
                <w:rFonts w:hint="eastAsia"/>
                <w:bCs/>
                <w:color w:val="000000"/>
                <w:sz w:val="24"/>
                <w:u w:val="none"/>
                <w:lang w:val="en-US" w:eastAsia="zh-CN"/>
              </w:rPr>
              <w:t>颗粒物</w:t>
            </w:r>
            <w:r>
              <w:rPr>
                <w:rFonts w:hint="eastAsia" w:cs="宋体"/>
                <w:bCs/>
                <w:color w:val="000000"/>
                <w:kern w:val="0"/>
                <w:sz w:val="24"/>
                <w:lang w:val="en-US" w:eastAsia="zh-CN"/>
              </w:rPr>
              <w:t>产污情况分析</w:t>
            </w:r>
          </w:p>
          <w:p w14:paraId="2679CAD7">
            <w:pPr>
              <w:keepNext w:val="0"/>
              <w:keepLines w:val="0"/>
              <w:pageBreakBefore w:val="0"/>
              <w:widowControl w:val="0"/>
              <w:kinsoku/>
              <w:wordWrap/>
              <w:overflowPunct/>
              <w:topLinePunct w:val="0"/>
              <w:autoSpaceDE/>
              <w:autoSpaceDN/>
              <w:bidi w:val="0"/>
              <w:snapToGrid/>
              <w:spacing w:line="500" w:lineRule="exact"/>
              <w:ind w:firstLine="480" w:firstLineChars="200"/>
              <w:textAlignment w:val="auto"/>
              <w:rPr>
                <w:rFonts w:hint="default" w:ascii="Times New Roman" w:hAnsi="Times New Roman" w:cs="Times New Roman"/>
                <w:color w:val="000000"/>
                <w:kern w:val="0"/>
                <w:sz w:val="24"/>
                <w:highlight w:val="none"/>
                <w:u w:val="none"/>
                <w:lang w:val="zh-CN"/>
              </w:rPr>
            </w:pPr>
            <w:r>
              <w:rPr>
                <w:rFonts w:hint="eastAsia"/>
                <w:color w:val="000000"/>
                <w:sz w:val="24"/>
                <w:u w:val="none"/>
                <w:lang w:val="en-US" w:eastAsia="zh-CN"/>
              </w:rPr>
              <w:t>采购得来的原材料</w:t>
            </w:r>
            <w:r>
              <w:rPr>
                <w:rFonts w:hint="eastAsia"/>
                <w:color w:val="000000"/>
                <w:sz w:val="24"/>
                <w:u w:val="none"/>
                <w:lang w:eastAsia="zh-CN"/>
              </w:rPr>
              <w:t>粒径</w:t>
            </w:r>
            <w:r>
              <w:rPr>
                <w:rFonts w:hint="eastAsia"/>
                <w:color w:val="000000"/>
                <w:sz w:val="24"/>
                <w:u w:val="none"/>
                <w:lang w:val="en-US" w:eastAsia="zh-CN"/>
              </w:rPr>
              <w:t>较</w:t>
            </w:r>
            <w:r>
              <w:rPr>
                <w:rFonts w:hint="eastAsia"/>
                <w:color w:val="000000"/>
                <w:sz w:val="24"/>
                <w:u w:val="none"/>
                <w:lang w:eastAsia="zh-CN"/>
              </w:rPr>
              <w:t>大</w:t>
            </w:r>
            <w:r>
              <w:rPr>
                <w:rFonts w:hint="eastAsia"/>
                <w:color w:val="000000"/>
                <w:sz w:val="24"/>
                <w:u w:val="none"/>
                <w:lang w:val="en-US" w:eastAsia="zh-CN"/>
              </w:rPr>
              <w:t>需要利用颚式破碎机进行破碎，需要颚破物料的</w:t>
            </w:r>
            <w:r>
              <w:rPr>
                <w:rFonts w:hint="eastAsia"/>
                <w:color w:val="000000"/>
                <w:sz w:val="24"/>
                <w:u w:val="none"/>
                <w:lang w:eastAsia="zh-CN"/>
              </w:rPr>
              <w:t>量</w:t>
            </w:r>
            <w:r>
              <w:rPr>
                <w:rFonts w:hint="eastAsia"/>
                <w:color w:val="000000"/>
                <w:sz w:val="24"/>
                <w:u w:val="none"/>
                <w:lang w:val="en-US" w:eastAsia="zh-CN"/>
              </w:rPr>
              <w:t>10万t/a，在颚破工序产尘点处</w:t>
            </w:r>
            <w:r>
              <w:rPr>
                <w:rFonts w:hint="eastAsia"/>
                <w:bCs/>
                <w:color w:val="000000"/>
                <w:sz w:val="24"/>
                <w:u w:val="none"/>
                <w:lang w:val="en-US" w:eastAsia="zh-CN"/>
              </w:rPr>
              <w:t>设置集气罩，颚</w:t>
            </w:r>
            <w:r>
              <w:rPr>
                <w:rFonts w:hint="eastAsia"/>
                <w:sz w:val="24"/>
                <w:lang w:val="en-US" w:eastAsia="zh-CN"/>
              </w:rPr>
              <w:t>破工序产生的废气</w:t>
            </w:r>
            <w:r>
              <w:rPr>
                <w:bCs/>
                <w:color w:val="000000"/>
                <w:sz w:val="24"/>
                <w:u w:val="none"/>
              </w:rPr>
              <w:t>经集气罩</w:t>
            </w:r>
            <w:r>
              <w:rPr>
                <w:rFonts w:hint="eastAsia"/>
                <w:bCs/>
                <w:color w:val="000000"/>
                <w:sz w:val="24"/>
                <w:u w:val="none"/>
              </w:rPr>
              <w:t>收集</w:t>
            </w:r>
            <w:r>
              <w:rPr>
                <w:rFonts w:hint="eastAsia"/>
                <w:bCs/>
                <w:color w:val="000000"/>
                <w:sz w:val="24"/>
                <w:u w:val="none"/>
                <w:lang w:val="en-US" w:eastAsia="zh-CN"/>
              </w:rPr>
              <w:t>再进入</w:t>
            </w:r>
            <w:r>
              <w:rPr>
                <w:rFonts w:hint="eastAsia"/>
                <w:bCs/>
                <w:color w:val="000000"/>
                <w:sz w:val="24"/>
                <w:u w:val="none"/>
              </w:rPr>
              <w:t>袋式除尘器进行处理，处理后通过15m高的排气筒排放</w:t>
            </w:r>
            <w:r>
              <w:rPr>
                <w:rFonts w:hint="eastAsia"/>
                <w:bCs/>
                <w:color w:val="000000"/>
                <w:sz w:val="24"/>
                <w:u w:val="none"/>
                <w:lang w:eastAsia="zh-CN"/>
              </w:rPr>
              <w:t>（</w:t>
            </w:r>
            <w:r>
              <w:rPr>
                <w:rFonts w:hint="eastAsia"/>
                <w:bCs/>
                <w:color w:val="000000"/>
                <w:sz w:val="24"/>
                <w:u w:val="none"/>
                <w:lang w:val="en-US" w:eastAsia="zh-CN"/>
              </w:rPr>
              <w:t>DA001</w:t>
            </w:r>
            <w:r>
              <w:rPr>
                <w:rFonts w:hint="eastAsia"/>
                <w:bCs/>
                <w:color w:val="000000"/>
                <w:sz w:val="24"/>
                <w:u w:val="none"/>
                <w:lang w:eastAsia="zh-CN"/>
              </w:rPr>
              <w:t>）</w:t>
            </w:r>
            <w:r>
              <w:rPr>
                <w:rFonts w:hint="eastAsia"/>
                <w:bCs/>
                <w:color w:val="000000"/>
                <w:sz w:val="24"/>
                <w:u w:val="none"/>
              </w:rPr>
              <w:t>。</w:t>
            </w:r>
            <w:r>
              <w:rPr>
                <w:color w:val="000000"/>
                <w:sz w:val="24"/>
                <w:u w:val="none"/>
              </w:rPr>
              <w:t>废气集气效率按9</w:t>
            </w:r>
            <w:r>
              <w:rPr>
                <w:rFonts w:hint="eastAsia"/>
                <w:color w:val="000000"/>
                <w:sz w:val="24"/>
                <w:u w:val="none"/>
                <w:lang w:val="en-US" w:eastAsia="zh-CN"/>
              </w:rPr>
              <w:t>5</w:t>
            </w:r>
            <w:r>
              <w:rPr>
                <w:color w:val="000000"/>
                <w:sz w:val="24"/>
                <w:u w:val="none"/>
              </w:rPr>
              <w:t>%计，</w:t>
            </w:r>
            <w:r>
              <w:rPr>
                <w:rFonts w:hint="eastAsia"/>
                <w:color w:val="000000"/>
                <w:sz w:val="24"/>
                <w:u w:val="none"/>
                <w:lang w:val="en-US" w:eastAsia="zh-CN"/>
              </w:rPr>
              <w:t>工作时间为4800h/a，</w:t>
            </w:r>
            <w:r>
              <w:rPr>
                <w:color w:val="000000"/>
                <w:sz w:val="24"/>
                <w:u w:val="none"/>
              </w:rPr>
              <w:t>除尘效率按99</w:t>
            </w:r>
            <w:r>
              <w:rPr>
                <w:rFonts w:hint="eastAsia"/>
                <w:color w:val="000000"/>
                <w:sz w:val="24"/>
                <w:u w:val="none"/>
                <w:lang w:val="en-US" w:eastAsia="zh-CN"/>
              </w:rPr>
              <w:t>.9</w:t>
            </w:r>
            <w:r>
              <w:rPr>
                <w:color w:val="000000"/>
                <w:sz w:val="24"/>
                <w:u w:val="none"/>
              </w:rPr>
              <w:t>%计</w:t>
            </w:r>
            <w:r>
              <w:rPr>
                <w:color w:val="000000"/>
                <w:sz w:val="24"/>
                <w:highlight w:val="none"/>
                <w:u w:val="none"/>
              </w:rPr>
              <w:t>，风机风量为</w:t>
            </w:r>
            <w:r>
              <w:rPr>
                <w:rFonts w:hint="eastAsia"/>
                <w:color w:val="000000"/>
                <w:sz w:val="24"/>
                <w:highlight w:val="none"/>
                <w:u w:val="none"/>
                <w:lang w:val="en-US" w:eastAsia="zh-CN"/>
              </w:rPr>
              <w:t>5000</w:t>
            </w:r>
            <w:r>
              <w:rPr>
                <w:color w:val="000000"/>
                <w:sz w:val="24"/>
                <w:highlight w:val="none"/>
                <w:u w:val="none"/>
              </w:rPr>
              <w:t>m</w:t>
            </w:r>
            <w:r>
              <w:rPr>
                <w:color w:val="000000"/>
                <w:sz w:val="24"/>
                <w:highlight w:val="none"/>
                <w:u w:val="none"/>
                <w:vertAlign w:val="superscript"/>
              </w:rPr>
              <w:t>3</w:t>
            </w:r>
            <w:r>
              <w:rPr>
                <w:color w:val="000000"/>
                <w:sz w:val="24"/>
                <w:highlight w:val="none"/>
                <w:u w:val="none"/>
              </w:rPr>
              <w:t>/h。</w:t>
            </w:r>
            <w:r>
              <w:rPr>
                <w:rFonts w:hint="eastAsia"/>
                <w:color w:val="000000"/>
                <w:sz w:val="24"/>
                <w:highlight w:val="none"/>
                <w:u w:val="none"/>
                <w:lang w:val="en-US" w:eastAsia="zh-CN"/>
              </w:rPr>
              <w:t>破碎</w:t>
            </w:r>
            <w:r>
              <w:rPr>
                <w:rFonts w:hint="default" w:ascii="Times New Roman" w:hAnsi="Times New Roman" w:eastAsia="宋体" w:cs="Times New Roman"/>
                <w:sz w:val="24"/>
                <w:szCs w:val="24"/>
                <w:highlight w:val="none"/>
              </w:rPr>
              <w:t>工序参照《空气污染物排放和控制手册—美国环保局》P452 表8-27</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岩石处理过程的颗粒物排放因子</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中初级破碎产污系数，为0.25kg/t</w:t>
            </w: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rPr>
              <w:t>原料</w:t>
            </w:r>
            <w:r>
              <w:rPr>
                <w:rFonts w:hint="default" w:ascii="Times New Roman" w:hAnsi="Times New Roman" w:eastAsia="宋体" w:cs="Times New Roman"/>
                <w:sz w:val="24"/>
                <w:szCs w:val="24"/>
                <w:highlight w:val="none"/>
                <w:lang w:val="en-US" w:eastAsia="zh-CN"/>
              </w:rPr>
              <w:t>的</w:t>
            </w:r>
            <w:r>
              <w:rPr>
                <w:rFonts w:hint="default" w:ascii="Times New Roman" w:hAnsi="Times New Roman" w:cs="Times New Roman"/>
                <w:color w:val="000000"/>
                <w:kern w:val="0"/>
                <w:sz w:val="24"/>
                <w:highlight w:val="none"/>
                <w:u w:val="none"/>
                <w:lang w:val="zh-CN"/>
              </w:rPr>
              <w:t>相关参数。</w:t>
            </w:r>
          </w:p>
          <w:p w14:paraId="20455ABE">
            <w:pPr>
              <w:pStyle w:val="11"/>
              <w:keepNext w:val="0"/>
              <w:keepLines w:val="0"/>
              <w:pageBreakBefore w:val="0"/>
              <w:widowControl w:val="0"/>
              <w:kinsoku/>
              <w:wordWrap/>
              <w:overflowPunct/>
              <w:topLinePunct w:val="0"/>
              <w:autoSpaceDE/>
              <w:autoSpaceDN/>
              <w:bidi w:val="0"/>
              <w:spacing w:after="0" w:line="500" w:lineRule="exact"/>
              <w:jc w:val="center"/>
              <w:textAlignment w:val="auto"/>
              <w:rPr>
                <w:rFonts w:eastAsia="黑体"/>
                <w:b w:val="0"/>
                <w:bCs w:val="0"/>
                <w:color w:val="000000"/>
                <w:sz w:val="24"/>
                <w:highlight w:val="none"/>
                <w:u w:val="none"/>
                <w:lang w:val="en-US" w:eastAsia="zh-CN"/>
              </w:rPr>
            </w:pPr>
            <w:r>
              <w:rPr>
                <w:rFonts w:eastAsia="黑体"/>
                <w:b w:val="0"/>
                <w:bCs w:val="0"/>
                <w:color w:val="000000"/>
                <w:sz w:val="24"/>
                <w:highlight w:val="none"/>
                <w:u w:val="none"/>
                <w:lang w:val="en-US" w:eastAsia="zh-CN"/>
              </w:rPr>
              <w:t>表</w:t>
            </w:r>
            <w:r>
              <w:rPr>
                <w:rFonts w:hint="eastAsia" w:eastAsia="黑体"/>
                <w:b w:val="0"/>
                <w:bCs w:val="0"/>
                <w:color w:val="000000"/>
                <w:sz w:val="24"/>
                <w:highlight w:val="none"/>
                <w:u w:val="none"/>
                <w:lang w:val="en-US" w:eastAsia="zh-CN"/>
              </w:rPr>
              <w:t>4-2</w:t>
            </w:r>
            <w:r>
              <w:rPr>
                <w:rFonts w:eastAsia="黑体"/>
                <w:b w:val="0"/>
                <w:bCs w:val="0"/>
                <w:color w:val="000000"/>
                <w:sz w:val="24"/>
                <w:highlight w:val="none"/>
                <w:u w:val="none"/>
                <w:lang w:val="en-US" w:eastAsia="zh-CN"/>
              </w:rPr>
              <w:t xml:space="preserve"> </w:t>
            </w:r>
            <w:r>
              <w:rPr>
                <w:rFonts w:hint="eastAsia" w:eastAsia="黑体"/>
                <w:b w:val="0"/>
                <w:bCs w:val="0"/>
                <w:color w:val="000000"/>
                <w:sz w:val="24"/>
                <w:highlight w:val="none"/>
                <w:u w:val="none"/>
                <w:lang w:val="en-US" w:eastAsia="zh-CN"/>
              </w:rPr>
              <w:t>颚破工序</w:t>
            </w:r>
            <w:r>
              <w:rPr>
                <w:rFonts w:eastAsia="黑体"/>
                <w:b w:val="0"/>
                <w:bCs w:val="0"/>
                <w:color w:val="000000"/>
                <w:sz w:val="24"/>
                <w:highlight w:val="none"/>
                <w:u w:val="none"/>
                <w:lang w:val="en-US" w:eastAsia="zh-CN"/>
              </w:rPr>
              <w:t>颗粒物产生量情况一览表</w:t>
            </w:r>
          </w:p>
          <w:tbl>
            <w:tblPr>
              <w:tblStyle w:val="23"/>
              <w:tblW w:w="78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Layout w:type="fixed"/>
              <w:tblCellMar>
                <w:top w:w="0" w:type="dxa"/>
                <w:left w:w="108" w:type="dxa"/>
                <w:bottom w:w="0" w:type="dxa"/>
                <w:right w:w="108" w:type="dxa"/>
              </w:tblCellMar>
            </w:tblPr>
            <w:tblGrid>
              <w:gridCol w:w="680"/>
              <w:gridCol w:w="900"/>
              <w:gridCol w:w="1161"/>
              <w:gridCol w:w="1505"/>
              <w:gridCol w:w="1766"/>
              <w:gridCol w:w="1865"/>
            </w:tblGrid>
            <w:tr w14:paraId="7D9FE87F">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PrEx>
              <w:trPr>
                <w:trHeight w:val="529" w:hRule="atLeast"/>
                <w:jc w:val="center"/>
              </w:trPr>
              <w:tc>
                <w:tcPr>
                  <w:tcW w:w="431" w:type="pct"/>
                  <w:tcBorders>
                    <w:tl2br w:val="nil"/>
                    <w:tr2bl w:val="nil"/>
                  </w:tcBorders>
                  <w:noWrap w:val="0"/>
                  <w:vAlign w:val="center"/>
                </w:tcPr>
                <w:p w14:paraId="11E31BC2">
                  <w:pPr>
                    <w:adjustRightInd w:val="0"/>
                    <w:snapToGrid w:val="0"/>
                    <w:jc w:val="center"/>
                    <w:rPr>
                      <w:b w:val="0"/>
                      <w:bCs w:val="0"/>
                      <w:color w:val="000000"/>
                      <w:szCs w:val="21"/>
                      <w:highlight w:val="none"/>
                      <w:u w:val="none"/>
                    </w:rPr>
                  </w:pPr>
                  <w:r>
                    <w:rPr>
                      <w:b w:val="0"/>
                      <w:bCs w:val="0"/>
                      <w:color w:val="000000"/>
                      <w:szCs w:val="21"/>
                      <w:highlight w:val="none"/>
                      <w:u w:val="none"/>
                    </w:rPr>
                    <w:t>序号</w:t>
                  </w:r>
                </w:p>
              </w:tc>
              <w:tc>
                <w:tcPr>
                  <w:tcW w:w="571" w:type="pct"/>
                  <w:tcBorders>
                    <w:tl2br w:val="nil"/>
                    <w:tr2bl w:val="nil"/>
                  </w:tcBorders>
                  <w:noWrap w:val="0"/>
                  <w:vAlign w:val="center"/>
                </w:tcPr>
                <w:p w14:paraId="13A62362">
                  <w:pPr>
                    <w:adjustRightInd w:val="0"/>
                    <w:snapToGrid w:val="0"/>
                    <w:jc w:val="center"/>
                    <w:rPr>
                      <w:b w:val="0"/>
                      <w:bCs w:val="0"/>
                      <w:color w:val="000000"/>
                      <w:szCs w:val="21"/>
                      <w:highlight w:val="none"/>
                      <w:u w:val="none"/>
                    </w:rPr>
                  </w:pPr>
                  <w:r>
                    <w:rPr>
                      <w:b w:val="0"/>
                      <w:bCs w:val="0"/>
                      <w:color w:val="000000"/>
                      <w:szCs w:val="21"/>
                      <w:highlight w:val="none"/>
                      <w:u w:val="none"/>
                    </w:rPr>
                    <w:t>设备</w:t>
                  </w:r>
                </w:p>
              </w:tc>
              <w:tc>
                <w:tcPr>
                  <w:tcW w:w="736" w:type="pct"/>
                  <w:tcBorders>
                    <w:tl2br w:val="nil"/>
                    <w:tr2bl w:val="nil"/>
                  </w:tcBorders>
                  <w:noWrap w:val="0"/>
                  <w:vAlign w:val="center"/>
                </w:tcPr>
                <w:p w14:paraId="394C07F5">
                  <w:pPr>
                    <w:adjustRightInd w:val="0"/>
                    <w:snapToGrid w:val="0"/>
                    <w:jc w:val="center"/>
                    <w:rPr>
                      <w:b w:val="0"/>
                      <w:bCs w:val="0"/>
                      <w:color w:val="000000"/>
                      <w:szCs w:val="21"/>
                      <w:highlight w:val="none"/>
                      <w:u w:val="none"/>
                    </w:rPr>
                  </w:pPr>
                  <w:r>
                    <w:rPr>
                      <w:b w:val="0"/>
                      <w:bCs w:val="0"/>
                      <w:color w:val="000000"/>
                      <w:szCs w:val="21"/>
                      <w:highlight w:val="none"/>
                      <w:u w:val="none"/>
                    </w:rPr>
                    <w:t>产污工段</w:t>
                  </w:r>
                </w:p>
              </w:tc>
              <w:tc>
                <w:tcPr>
                  <w:tcW w:w="955" w:type="pct"/>
                  <w:tcBorders>
                    <w:tl2br w:val="nil"/>
                    <w:tr2bl w:val="nil"/>
                  </w:tcBorders>
                  <w:noWrap w:val="0"/>
                  <w:vAlign w:val="center"/>
                </w:tcPr>
                <w:p w14:paraId="7DE3DB5A">
                  <w:pPr>
                    <w:adjustRightInd w:val="0"/>
                    <w:snapToGrid w:val="0"/>
                    <w:jc w:val="center"/>
                    <w:rPr>
                      <w:b w:val="0"/>
                      <w:bCs w:val="0"/>
                      <w:color w:val="000000"/>
                      <w:szCs w:val="21"/>
                      <w:highlight w:val="none"/>
                      <w:u w:val="none"/>
                    </w:rPr>
                  </w:pPr>
                  <w:r>
                    <w:rPr>
                      <w:b w:val="0"/>
                      <w:bCs w:val="0"/>
                      <w:color w:val="000000"/>
                      <w:szCs w:val="21"/>
                      <w:highlight w:val="none"/>
                      <w:u w:val="none"/>
                    </w:rPr>
                    <w:t>产生系数</w:t>
                  </w:r>
                </w:p>
              </w:tc>
              <w:tc>
                <w:tcPr>
                  <w:tcW w:w="1120" w:type="pct"/>
                  <w:tcBorders>
                    <w:tl2br w:val="nil"/>
                    <w:tr2bl w:val="nil"/>
                  </w:tcBorders>
                  <w:noWrap w:val="0"/>
                  <w:vAlign w:val="center"/>
                </w:tcPr>
                <w:p w14:paraId="10394236">
                  <w:pPr>
                    <w:adjustRightInd w:val="0"/>
                    <w:snapToGrid w:val="0"/>
                    <w:jc w:val="center"/>
                    <w:rPr>
                      <w:b w:val="0"/>
                      <w:bCs w:val="0"/>
                      <w:color w:val="000000"/>
                      <w:szCs w:val="21"/>
                      <w:highlight w:val="none"/>
                      <w:u w:val="none"/>
                    </w:rPr>
                  </w:pPr>
                  <w:r>
                    <w:rPr>
                      <w:b w:val="0"/>
                      <w:bCs w:val="0"/>
                      <w:color w:val="000000"/>
                      <w:szCs w:val="21"/>
                      <w:highlight w:val="none"/>
                      <w:u w:val="none"/>
                    </w:rPr>
                    <w:t>物料加工量（t/a）</w:t>
                  </w:r>
                </w:p>
              </w:tc>
              <w:tc>
                <w:tcPr>
                  <w:tcW w:w="1183" w:type="pct"/>
                  <w:tcBorders>
                    <w:tl2br w:val="nil"/>
                    <w:tr2bl w:val="nil"/>
                  </w:tcBorders>
                  <w:noWrap w:val="0"/>
                  <w:vAlign w:val="center"/>
                </w:tcPr>
                <w:p w14:paraId="7E0548AE">
                  <w:pPr>
                    <w:adjustRightInd w:val="0"/>
                    <w:snapToGrid w:val="0"/>
                    <w:jc w:val="center"/>
                    <w:rPr>
                      <w:b w:val="0"/>
                      <w:bCs w:val="0"/>
                      <w:color w:val="000000"/>
                      <w:szCs w:val="21"/>
                      <w:highlight w:val="none"/>
                      <w:u w:val="none"/>
                    </w:rPr>
                  </w:pPr>
                  <w:r>
                    <w:rPr>
                      <w:b w:val="0"/>
                      <w:bCs w:val="0"/>
                      <w:color w:val="000000"/>
                      <w:szCs w:val="21"/>
                      <w:highlight w:val="none"/>
                      <w:u w:val="none"/>
                    </w:rPr>
                    <w:t>颗粒物产生量（t/a）</w:t>
                  </w:r>
                </w:p>
              </w:tc>
            </w:tr>
            <w:tr w14:paraId="00223318">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538" w:hRule="atLeast"/>
                <w:jc w:val="center"/>
              </w:trPr>
              <w:tc>
                <w:tcPr>
                  <w:tcW w:w="431" w:type="pct"/>
                  <w:tcBorders>
                    <w:tl2br w:val="nil"/>
                    <w:tr2bl w:val="nil"/>
                  </w:tcBorders>
                  <w:noWrap w:val="0"/>
                  <w:vAlign w:val="center"/>
                </w:tcPr>
                <w:p w14:paraId="11570C48">
                  <w:pPr>
                    <w:adjustRightInd w:val="0"/>
                    <w:snapToGrid w:val="0"/>
                    <w:jc w:val="center"/>
                    <w:rPr>
                      <w:b w:val="0"/>
                      <w:bCs w:val="0"/>
                      <w:color w:val="000000"/>
                      <w:szCs w:val="21"/>
                      <w:highlight w:val="none"/>
                      <w:u w:val="none"/>
                    </w:rPr>
                  </w:pPr>
                  <w:r>
                    <w:rPr>
                      <w:b w:val="0"/>
                      <w:bCs w:val="0"/>
                      <w:color w:val="000000"/>
                      <w:szCs w:val="21"/>
                      <w:highlight w:val="none"/>
                      <w:u w:val="none"/>
                    </w:rPr>
                    <w:t>1</w:t>
                  </w:r>
                </w:p>
              </w:tc>
              <w:tc>
                <w:tcPr>
                  <w:tcW w:w="571" w:type="pct"/>
                  <w:tcBorders>
                    <w:tl2br w:val="nil"/>
                    <w:tr2bl w:val="nil"/>
                  </w:tcBorders>
                  <w:noWrap w:val="0"/>
                  <w:vAlign w:val="center"/>
                </w:tcPr>
                <w:p w14:paraId="2AD9AEE5">
                  <w:pPr>
                    <w:snapToGrid w:val="0"/>
                    <w:jc w:val="center"/>
                    <w:rPr>
                      <w:rFonts w:hint="default" w:eastAsia="宋体"/>
                      <w:b w:val="0"/>
                      <w:bCs w:val="0"/>
                      <w:color w:val="000000"/>
                      <w:szCs w:val="21"/>
                      <w:highlight w:val="none"/>
                      <w:u w:val="none"/>
                      <w:lang w:val="en-US" w:eastAsia="zh-CN"/>
                    </w:rPr>
                  </w:pPr>
                  <w:r>
                    <w:rPr>
                      <w:rFonts w:hint="eastAsia"/>
                      <w:color w:val="000000"/>
                      <w:sz w:val="21"/>
                      <w:szCs w:val="21"/>
                      <w:highlight w:val="none"/>
                      <w:u w:val="none"/>
                      <w:lang w:val="en-US" w:eastAsia="zh-CN"/>
                    </w:rPr>
                    <w:t>颚式破碎机</w:t>
                  </w:r>
                </w:p>
              </w:tc>
              <w:tc>
                <w:tcPr>
                  <w:tcW w:w="736" w:type="pct"/>
                  <w:tcBorders>
                    <w:tl2br w:val="nil"/>
                    <w:tr2bl w:val="nil"/>
                  </w:tcBorders>
                  <w:noWrap w:val="0"/>
                  <w:vAlign w:val="center"/>
                </w:tcPr>
                <w:p w14:paraId="7CD6D1DC">
                  <w:pPr>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颚破工序</w:t>
                  </w:r>
                </w:p>
              </w:tc>
              <w:tc>
                <w:tcPr>
                  <w:tcW w:w="955" w:type="pct"/>
                  <w:tcBorders>
                    <w:tl2br w:val="nil"/>
                    <w:tr2bl w:val="nil"/>
                  </w:tcBorders>
                  <w:noWrap w:val="0"/>
                  <w:vAlign w:val="center"/>
                </w:tcPr>
                <w:p w14:paraId="4E52737A">
                  <w:pPr>
                    <w:adjustRightInd w:val="0"/>
                    <w:snapToGrid w:val="0"/>
                    <w:jc w:val="center"/>
                    <w:rPr>
                      <w:b w:val="0"/>
                      <w:bCs w:val="0"/>
                      <w:color w:val="000000"/>
                      <w:szCs w:val="21"/>
                      <w:highlight w:val="none"/>
                      <w:u w:val="none"/>
                    </w:rPr>
                  </w:pPr>
                  <w:r>
                    <w:rPr>
                      <w:b w:val="0"/>
                      <w:bCs w:val="0"/>
                      <w:color w:val="000000"/>
                      <w:szCs w:val="21"/>
                      <w:highlight w:val="none"/>
                      <w:u w:val="none"/>
                    </w:rPr>
                    <w:t>0.</w:t>
                  </w:r>
                  <w:r>
                    <w:rPr>
                      <w:rFonts w:hint="eastAsia"/>
                      <w:b w:val="0"/>
                      <w:bCs w:val="0"/>
                      <w:color w:val="000000"/>
                      <w:szCs w:val="21"/>
                      <w:highlight w:val="none"/>
                      <w:u w:val="none"/>
                      <w:lang w:val="en-US" w:eastAsia="zh-CN"/>
                    </w:rPr>
                    <w:t>25</w:t>
                  </w:r>
                  <w:r>
                    <w:rPr>
                      <w:b w:val="0"/>
                      <w:bCs w:val="0"/>
                      <w:color w:val="000000"/>
                      <w:szCs w:val="21"/>
                      <w:highlight w:val="none"/>
                      <w:u w:val="none"/>
                    </w:rPr>
                    <w:t>kg/t</w:t>
                  </w:r>
                  <w:r>
                    <w:rPr>
                      <w:rFonts w:hint="eastAsia"/>
                      <w:b w:val="0"/>
                      <w:bCs w:val="0"/>
                      <w:color w:val="000000"/>
                      <w:szCs w:val="21"/>
                      <w:highlight w:val="none"/>
                      <w:u w:val="none"/>
                      <w:lang w:val="en-US" w:eastAsia="zh-CN"/>
                    </w:rPr>
                    <w:t>-</w:t>
                  </w:r>
                  <w:r>
                    <w:rPr>
                      <w:b w:val="0"/>
                      <w:bCs w:val="0"/>
                      <w:color w:val="000000"/>
                      <w:szCs w:val="21"/>
                      <w:highlight w:val="none"/>
                      <w:u w:val="none"/>
                      <w:vertAlign w:val="baseline"/>
                    </w:rPr>
                    <w:t>原料</w:t>
                  </w:r>
                </w:p>
              </w:tc>
              <w:tc>
                <w:tcPr>
                  <w:tcW w:w="1120" w:type="pct"/>
                  <w:tcBorders>
                    <w:tl2br w:val="nil"/>
                    <w:tr2bl w:val="nil"/>
                  </w:tcBorders>
                  <w:noWrap w:val="0"/>
                  <w:vAlign w:val="center"/>
                </w:tcPr>
                <w:p w14:paraId="43341451">
                  <w:pPr>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10</w:t>
                  </w:r>
                  <w:r>
                    <w:rPr>
                      <w:rFonts w:hint="eastAsia"/>
                      <w:highlight w:val="none"/>
                      <w:lang w:val="en-US" w:eastAsia="zh-CN"/>
                    </w:rPr>
                    <w:t>0000</w:t>
                  </w:r>
                </w:p>
              </w:tc>
              <w:tc>
                <w:tcPr>
                  <w:tcW w:w="1183" w:type="pct"/>
                  <w:tcBorders>
                    <w:tl2br w:val="nil"/>
                    <w:tr2bl w:val="nil"/>
                  </w:tcBorders>
                  <w:noWrap w:val="0"/>
                  <w:vAlign w:val="center"/>
                </w:tcPr>
                <w:p w14:paraId="5244652F">
                  <w:pPr>
                    <w:adjustRightInd w:val="0"/>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25</w:t>
                  </w:r>
                </w:p>
              </w:tc>
            </w:tr>
          </w:tbl>
          <w:p w14:paraId="03DBB75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000000"/>
                <w:sz w:val="24"/>
                <w:u w:val="none"/>
              </w:rPr>
            </w:pPr>
            <w:r>
              <w:rPr>
                <w:color w:val="000000"/>
                <w:sz w:val="24"/>
                <w:highlight w:val="none"/>
                <w:u w:val="none"/>
              </w:rPr>
              <w:t>经计算，</w:t>
            </w:r>
            <w:r>
              <w:rPr>
                <w:rFonts w:hint="eastAsia"/>
                <w:color w:val="000000"/>
                <w:sz w:val="24"/>
                <w:highlight w:val="none"/>
                <w:u w:val="none"/>
                <w:lang w:val="en-US" w:eastAsia="zh-CN"/>
              </w:rPr>
              <w:t>通过</w:t>
            </w:r>
            <w:r>
              <w:rPr>
                <w:rFonts w:hint="eastAsia"/>
                <w:color w:val="000000"/>
                <w:sz w:val="24"/>
                <w:highlight w:val="none"/>
                <w:u w:val="none"/>
              </w:rPr>
              <w:t>集气罩</w:t>
            </w:r>
            <w:r>
              <w:rPr>
                <w:color w:val="000000"/>
                <w:sz w:val="24"/>
                <w:highlight w:val="none"/>
                <w:u w:val="none"/>
              </w:rPr>
              <w:t>收集的</w:t>
            </w:r>
            <w:r>
              <w:rPr>
                <w:rFonts w:hint="eastAsia"/>
                <w:color w:val="000000"/>
                <w:sz w:val="24"/>
                <w:highlight w:val="none"/>
                <w:u w:val="none"/>
                <w:lang w:val="en-US" w:eastAsia="zh-CN"/>
              </w:rPr>
              <w:t>颗粒物</w:t>
            </w:r>
            <w:r>
              <w:rPr>
                <w:color w:val="000000"/>
                <w:sz w:val="24"/>
                <w:highlight w:val="none"/>
                <w:u w:val="none"/>
              </w:rPr>
              <w:t>量为</w:t>
            </w:r>
            <w:r>
              <w:rPr>
                <w:rFonts w:hint="eastAsia"/>
                <w:color w:val="000000"/>
                <w:sz w:val="24"/>
                <w:highlight w:val="none"/>
                <w:u w:val="none"/>
                <w:lang w:val="en-US" w:eastAsia="zh-CN"/>
              </w:rPr>
              <w:t>23.75</w:t>
            </w:r>
            <w:r>
              <w:rPr>
                <w:color w:val="000000"/>
                <w:sz w:val="24"/>
                <w:highlight w:val="none"/>
                <w:u w:val="none"/>
              </w:rPr>
              <w:t>t/a，</w:t>
            </w:r>
            <w:r>
              <w:rPr>
                <w:rFonts w:hint="eastAsia"/>
                <w:color w:val="000000"/>
                <w:sz w:val="24"/>
                <w:highlight w:val="none"/>
                <w:u w:val="none"/>
                <w:lang w:val="en-US" w:eastAsia="zh-CN"/>
              </w:rPr>
              <w:t>颗粒物</w:t>
            </w:r>
            <w:r>
              <w:rPr>
                <w:color w:val="000000"/>
                <w:sz w:val="24"/>
                <w:highlight w:val="none"/>
                <w:u w:val="none"/>
              </w:rPr>
              <w:t>产生速率为</w:t>
            </w:r>
            <w:r>
              <w:rPr>
                <w:rFonts w:hint="eastAsia"/>
                <w:color w:val="000000"/>
                <w:sz w:val="24"/>
                <w:highlight w:val="none"/>
                <w:u w:val="none"/>
                <w:lang w:val="en-US" w:eastAsia="zh-CN"/>
              </w:rPr>
              <w:t>4.95</w:t>
            </w:r>
            <w:r>
              <w:rPr>
                <w:color w:val="000000"/>
                <w:sz w:val="24"/>
                <w:highlight w:val="none"/>
                <w:u w:val="none"/>
              </w:rPr>
              <w:t>kg/h，产生浓度为</w:t>
            </w:r>
            <w:r>
              <w:rPr>
                <w:rFonts w:hint="eastAsia"/>
                <w:color w:val="000000"/>
                <w:sz w:val="24"/>
                <w:highlight w:val="none"/>
                <w:u w:val="none"/>
                <w:lang w:val="en-US" w:eastAsia="zh-CN"/>
              </w:rPr>
              <w:t>989.58</w:t>
            </w:r>
            <w:r>
              <w:rPr>
                <w:color w:val="000000"/>
                <w:sz w:val="24"/>
                <w:highlight w:val="none"/>
                <w:u w:val="none"/>
              </w:rPr>
              <w:t>mg/m</w:t>
            </w:r>
            <w:r>
              <w:rPr>
                <w:color w:val="000000"/>
                <w:sz w:val="24"/>
                <w:highlight w:val="none"/>
                <w:u w:val="none"/>
                <w:vertAlign w:val="superscript"/>
              </w:rPr>
              <w:t>3</w:t>
            </w:r>
            <w:r>
              <w:rPr>
                <w:rFonts w:hint="eastAsia"/>
                <w:color w:val="000000"/>
                <w:sz w:val="24"/>
                <w:highlight w:val="none"/>
                <w:u w:val="none"/>
                <w:lang w:eastAsia="zh-CN"/>
              </w:rPr>
              <w:t>，</w:t>
            </w:r>
            <w:r>
              <w:rPr>
                <w:color w:val="000000"/>
                <w:sz w:val="24"/>
                <w:highlight w:val="none"/>
                <w:u w:val="none"/>
              </w:rPr>
              <w:t>经</w:t>
            </w:r>
            <w:r>
              <w:rPr>
                <w:rFonts w:hint="eastAsia"/>
                <w:color w:val="000000"/>
                <w:sz w:val="24"/>
                <w:highlight w:val="none"/>
                <w:u w:val="none"/>
                <w:lang w:val="en-US" w:eastAsia="zh-CN"/>
              </w:rPr>
              <w:t>袋式</w:t>
            </w:r>
            <w:r>
              <w:rPr>
                <w:color w:val="000000"/>
                <w:sz w:val="24"/>
                <w:highlight w:val="none"/>
                <w:u w:val="none"/>
              </w:rPr>
              <w:t>除尘器处理后，</w:t>
            </w:r>
            <w:r>
              <w:rPr>
                <w:rFonts w:hint="eastAsia"/>
                <w:color w:val="000000"/>
                <w:sz w:val="24"/>
                <w:highlight w:val="none"/>
                <w:u w:val="none"/>
                <w:lang w:val="en-US" w:eastAsia="zh-CN"/>
              </w:rPr>
              <w:t>颗粒物</w:t>
            </w:r>
            <w:r>
              <w:rPr>
                <w:color w:val="000000"/>
                <w:sz w:val="24"/>
                <w:highlight w:val="none"/>
                <w:u w:val="none"/>
              </w:rPr>
              <w:t>排放量为</w:t>
            </w:r>
            <w:r>
              <w:rPr>
                <w:rFonts w:hint="eastAsia"/>
                <w:color w:val="000000"/>
                <w:sz w:val="24"/>
                <w:highlight w:val="none"/>
                <w:u w:val="none"/>
                <w:lang w:val="en-US" w:eastAsia="zh-CN"/>
              </w:rPr>
              <w:t>0.02375</w:t>
            </w:r>
            <w:r>
              <w:rPr>
                <w:color w:val="000000"/>
                <w:sz w:val="24"/>
                <w:highlight w:val="none"/>
                <w:u w:val="none"/>
              </w:rPr>
              <w:t>t/a，</w:t>
            </w:r>
            <w:r>
              <w:rPr>
                <w:rFonts w:hint="eastAsia"/>
                <w:color w:val="000000"/>
                <w:sz w:val="24"/>
                <w:highlight w:val="none"/>
                <w:u w:val="none"/>
                <w:lang w:val="en-US" w:eastAsia="zh-CN"/>
              </w:rPr>
              <w:t>颗粒物</w:t>
            </w:r>
            <w:r>
              <w:rPr>
                <w:color w:val="000000"/>
                <w:sz w:val="24"/>
                <w:highlight w:val="none"/>
                <w:u w:val="none"/>
              </w:rPr>
              <w:t>排放速率为</w:t>
            </w:r>
            <w:r>
              <w:rPr>
                <w:rFonts w:hint="eastAsia"/>
                <w:color w:val="000000"/>
                <w:sz w:val="24"/>
                <w:highlight w:val="none"/>
                <w:u w:val="none"/>
                <w:lang w:val="en-US" w:eastAsia="zh-CN"/>
              </w:rPr>
              <w:t>0.0049</w:t>
            </w:r>
            <w:r>
              <w:rPr>
                <w:color w:val="000000"/>
                <w:sz w:val="24"/>
                <w:highlight w:val="none"/>
                <w:u w:val="none"/>
              </w:rPr>
              <w:t>kg/h，排放浓度为</w:t>
            </w:r>
            <w:r>
              <w:rPr>
                <w:rFonts w:hint="eastAsia"/>
                <w:color w:val="000000"/>
                <w:sz w:val="24"/>
                <w:highlight w:val="none"/>
                <w:u w:val="none"/>
                <w:lang w:val="en-US" w:eastAsia="zh-CN"/>
              </w:rPr>
              <w:t>0.9896</w:t>
            </w:r>
            <w:r>
              <w:rPr>
                <w:color w:val="000000"/>
                <w:sz w:val="24"/>
                <w:highlight w:val="none"/>
                <w:u w:val="none"/>
              </w:rPr>
              <w:t>mg/m</w:t>
            </w:r>
            <w:r>
              <w:rPr>
                <w:color w:val="000000"/>
                <w:sz w:val="24"/>
                <w:highlight w:val="none"/>
                <w:u w:val="none"/>
                <w:vertAlign w:val="superscript"/>
              </w:rPr>
              <w:t>3</w:t>
            </w:r>
            <w:r>
              <w:rPr>
                <w:color w:val="000000"/>
                <w:sz w:val="24"/>
                <w:highlight w:val="none"/>
                <w:u w:val="none"/>
              </w:rPr>
              <w:t>，满足</w:t>
            </w:r>
            <w:r>
              <w:rPr>
                <w:rFonts w:hint="eastAsia"/>
                <w:color w:val="000000"/>
                <w:sz w:val="24"/>
                <w:highlight w:val="none"/>
                <w:u w:val="none"/>
              </w:rPr>
              <w:t>《河南省重污染天气</w:t>
            </w:r>
            <w:r>
              <w:rPr>
                <w:rFonts w:hint="eastAsia"/>
                <w:color w:val="000000"/>
                <w:sz w:val="24"/>
                <w:highlight w:val="none"/>
                <w:u w:val="none"/>
                <w:lang w:val="en-US" w:eastAsia="zh-CN"/>
              </w:rPr>
              <w:t>重点</w:t>
            </w:r>
            <w:r>
              <w:rPr>
                <w:rFonts w:hint="eastAsia"/>
                <w:color w:val="000000"/>
                <w:sz w:val="24"/>
                <w:highlight w:val="none"/>
                <w:u w:val="none"/>
              </w:rPr>
              <w:t>行业应急减排措施制定技术指南》</w:t>
            </w:r>
            <w:r>
              <w:rPr>
                <w:rFonts w:hint="eastAsia"/>
                <w:sz w:val="24"/>
                <w:szCs w:val="24"/>
                <w:highlight w:val="none"/>
                <w:u w:val="none"/>
                <w:lang w:val="en-US" w:eastAsia="zh-CN"/>
              </w:rPr>
              <w:t>（2024年修订版）</w:t>
            </w:r>
            <w:r>
              <w:rPr>
                <w:rFonts w:hint="eastAsia"/>
                <w:sz w:val="24"/>
                <w:u w:val="none"/>
              </w:rPr>
              <w:t>中排放限值（</w:t>
            </w:r>
            <w:r>
              <w:rPr>
                <w:rFonts w:hint="eastAsia"/>
                <w:sz w:val="24"/>
                <w:u w:val="none"/>
                <w:lang w:val="en-US" w:eastAsia="zh-CN"/>
              </w:rPr>
              <w:t>颗粒物</w:t>
            </w:r>
            <w:r>
              <w:rPr>
                <w:rFonts w:hint="eastAsia"/>
                <w:sz w:val="24"/>
                <w:u w:val="none"/>
              </w:rPr>
              <w:t>有组织10mg/m</w:t>
            </w:r>
            <w:r>
              <w:rPr>
                <w:rFonts w:hint="eastAsia"/>
                <w:sz w:val="24"/>
                <w:u w:val="none"/>
                <w:vertAlign w:val="superscript"/>
              </w:rPr>
              <w:t>3</w:t>
            </w:r>
            <w:r>
              <w:rPr>
                <w:rFonts w:hint="eastAsia"/>
                <w:sz w:val="24"/>
                <w:u w:val="none"/>
              </w:rPr>
              <w:t>）要求</w:t>
            </w:r>
            <w:r>
              <w:rPr>
                <w:color w:val="000000"/>
                <w:sz w:val="24"/>
                <w:u w:val="none"/>
              </w:rPr>
              <w:t>。</w:t>
            </w:r>
          </w:p>
          <w:p w14:paraId="704CC04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bCs/>
                <w:color w:val="000000"/>
                <w:sz w:val="24"/>
                <w:highlight w:val="none"/>
                <w:u w:val="none"/>
              </w:rPr>
            </w:pPr>
            <w:r>
              <w:rPr>
                <w:color w:val="000000"/>
                <w:sz w:val="24"/>
                <w:u w:val="none"/>
              </w:rPr>
              <w:t>废气集气效率按9</w:t>
            </w:r>
            <w:r>
              <w:rPr>
                <w:rFonts w:hint="eastAsia"/>
                <w:color w:val="000000"/>
                <w:sz w:val="24"/>
                <w:u w:val="none"/>
                <w:lang w:val="en-US" w:eastAsia="zh-CN"/>
              </w:rPr>
              <w:t>5</w:t>
            </w:r>
            <w:r>
              <w:rPr>
                <w:color w:val="000000"/>
                <w:sz w:val="24"/>
                <w:u w:val="none"/>
              </w:rPr>
              <w:t>%计</w:t>
            </w:r>
            <w:r>
              <w:rPr>
                <w:rFonts w:hint="eastAsia"/>
                <w:color w:val="000000"/>
                <w:sz w:val="24"/>
                <w:u w:val="none"/>
                <w:lang w:eastAsia="zh-CN"/>
              </w:rPr>
              <w:t>，</w:t>
            </w:r>
            <w:r>
              <w:rPr>
                <w:rFonts w:hint="eastAsia"/>
                <w:color w:val="000000"/>
                <w:sz w:val="24"/>
                <w:u w:val="none"/>
                <w:lang w:val="en-US" w:eastAsia="zh-CN"/>
              </w:rPr>
              <w:t>则有5%的颗粒物无组织排放，颚破</w:t>
            </w:r>
            <w:r>
              <w:rPr>
                <w:bCs/>
                <w:color w:val="000000"/>
                <w:sz w:val="24"/>
                <w:u w:val="none"/>
              </w:rPr>
              <w:t>工序在封闭车间内进行，</w:t>
            </w:r>
            <w:r>
              <w:rPr>
                <w:rFonts w:hint="eastAsia"/>
                <w:bCs/>
                <w:color w:val="000000"/>
                <w:sz w:val="24"/>
                <w:u w:val="none"/>
                <w:lang w:val="en-US" w:eastAsia="zh-CN"/>
              </w:rPr>
              <w:t>颚破工</w:t>
            </w:r>
            <w:r>
              <w:rPr>
                <w:rFonts w:hint="eastAsia"/>
                <w:bCs/>
                <w:color w:val="000000"/>
                <w:sz w:val="24"/>
                <w:highlight w:val="none"/>
                <w:u w:val="none"/>
                <w:lang w:val="en-US" w:eastAsia="zh-CN"/>
              </w:rPr>
              <w:t>序</w:t>
            </w:r>
            <w:r>
              <w:rPr>
                <w:bCs/>
                <w:color w:val="000000"/>
                <w:sz w:val="24"/>
                <w:highlight w:val="none"/>
                <w:u w:val="none"/>
              </w:rPr>
              <w:t>无组织</w:t>
            </w:r>
            <w:r>
              <w:rPr>
                <w:rFonts w:hint="eastAsia"/>
                <w:bCs/>
                <w:color w:val="000000"/>
                <w:sz w:val="24"/>
                <w:highlight w:val="none"/>
                <w:u w:val="none"/>
                <w:lang w:val="en-US" w:eastAsia="zh-CN"/>
              </w:rPr>
              <w:t>颗粒物</w:t>
            </w:r>
            <w:r>
              <w:rPr>
                <w:bCs/>
                <w:color w:val="000000"/>
                <w:sz w:val="24"/>
                <w:highlight w:val="none"/>
                <w:u w:val="none"/>
              </w:rPr>
              <w:t>的排放量为</w:t>
            </w:r>
            <w:r>
              <w:rPr>
                <w:rFonts w:hint="eastAsia"/>
                <w:bCs/>
                <w:color w:val="000000"/>
                <w:sz w:val="24"/>
                <w:highlight w:val="none"/>
                <w:u w:val="none"/>
                <w:lang w:val="en-US" w:eastAsia="zh-CN"/>
              </w:rPr>
              <w:t>1.25</w:t>
            </w:r>
            <w:r>
              <w:rPr>
                <w:bCs/>
                <w:color w:val="000000"/>
                <w:sz w:val="24"/>
                <w:highlight w:val="none"/>
                <w:u w:val="none"/>
              </w:rPr>
              <w:t>t/a</w:t>
            </w:r>
            <w:r>
              <w:rPr>
                <w:rFonts w:hint="eastAsia"/>
                <w:bCs/>
                <w:color w:val="000000"/>
                <w:sz w:val="24"/>
                <w:highlight w:val="none"/>
                <w:u w:val="none"/>
              </w:rPr>
              <w:t>、</w:t>
            </w:r>
            <w:r>
              <w:rPr>
                <w:rFonts w:hint="eastAsia"/>
                <w:color w:val="000000"/>
                <w:sz w:val="24"/>
                <w:highlight w:val="none"/>
                <w:u w:val="none"/>
                <w:lang w:val="en-US" w:eastAsia="zh-CN"/>
              </w:rPr>
              <w:t>0.2604</w:t>
            </w:r>
            <w:r>
              <w:rPr>
                <w:color w:val="000000"/>
                <w:sz w:val="24"/>
                <w:highlight w:val="none"/>
                <w:u w:val="none"/>
              </w:rPr>
              <w:t>kg/h</w:t>
            </w:r>
            <w:r>
              <w:rPr>
                <w:bCs/>
                <w:color w:val="000000"/>
                <w:sz w:val="24"/>
                <w:highlight w:val="none"/>
                <w:u w:val="none"/>
              </w:rPr>
              <w:t>。</w:t>
            </w:r>
          </w:p>
          <w:p w14:paraId="69B28815">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0" w:firstLineChars="200"/>
              <w:jc w:val="left"/>
              <w:textAlignment w:val="auto"/>
              <w:rPr>
                <w:bCs/>
                <w:sz w:val="24"/>
                <w:highlight w:val="none"/>
              </w:rPr>
            </w:pPr>
            <w:r>
              <w:rPr>
                <w:bCs/>
                <w:sz w:val="24"/>
                <w:highlight w:val="none"/>
              </w:rPr>
              <w:t>1.</w:t>
            </w:r>
            <w:r>
              <w:rPr>
                <w:rFonts w:hint="eastAsia"/>
                <w:bCs/>
                <w:sz w:val="24"/>
                <w:highlight w:val="none"/>
                <w:lang w:val="en-US" w:eastAsia="zh-CN"/>
              </w:rPr>
              <w:t>2</w:t>
            </w:r>
            <w:r>
              <w:rPr>
                <w:bCs/>
                <w:sz w:val="24"/>
                <w:highlight w:val="none"/>
              </w:rPr>
              <w:t>污染物产排环节及污染物种类</w:t>
            </w:r>
          </w:p>
          <w:p w14:paraId="360770D2">
            <w:pPr>
              <w:keepNext w:val="0"/>
              <w:keepLines w:val="0"/>
              <w:pageBreakBefore w:val="0"/>
              <w:widowControl w:val="0"/>
              <w:kinsoku/>
              <w:wordWrap/>
              <w:overflowPunct/>
              <w:topLinePunct w:val="0"/>
              <w:autoSpaceDE/>
              <w:autoSpaceDN/>
              <w:bidi w:val="0"/>
              <w:spacing w:line="500" w:lineRule="exact"/>
              <w:ind w:firstLine="480" w:firstLineChars="200"/>
              <w:textAlignment w:val="auto"/>
              <w:rPr>
                <w:sz w:val="24"/>
              </w:rPr>
            </w:pPr>
            <w:r>
              <w:rPr>
                <w:sz w:val="24"/>
              </w:rPr>
              <w:t>项目</w:t>
            </w:r>
            <w:r>
              <w:rPr>
                <w:rFonts w:hint="eastAsia"/>
                <w:sz w:val="24"/>
                <w:lang w:val="en-US" w:eastAsia="zh-CN"/>
              </w:rPr>
              <w:t>水泥稳定土生产</w:t>
            </w:r>
            <w:r>
              <w:rPr>
                <w:sz w:val="24"/>
              </w:rPr>
              <w:t>废气主要包括</w:t>
            </w:r>
            <w:r>
              <w:rPr>
                <w:rFonts w:hint="eastAsia"/>
                <w:sz w:val="24"/>
                <w:lang w:val="en-US" w:eastAsia="zh-CN"/>
              </w:rPr>
              <w:t>水泥筒仓废气、给料工序颗粒物、搅拌工序颗粒物</w:t>
            </w:r>
            <w:r>
              <w:rPr>
                <w:sz w:val="24"/>
              </w:rPr>
              <w:t>。</w:t>
            </w:r>
          </w:p>
          <w:p w14:paraId="1872DE8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bCs/>
                <w:color w:val="000000"/>
                <w:sz w:val="24"/>
                <w:highlight w:val="none"/>
                <w:u w:val="none"/>
              </w:rPr>
            </w:pPr>
            <w:r>
              <w:rPr>
                <w:rFonts w:hint="eastAsia"/>
                <w:bCs/>
                <w:color w:val="000000"/>
                <w:sz w:val="24"/>
                <w:highlight w:val="none"/>
                <w:u w:val="none"/>
              </w:rPr>
              <w:t>（</w:t>
            </w:r>
            <w:r>
              <w:rPr>
                <w:rFonts w:hint="eastAsia"/>
                <w:bCs/>
                <w:color w:val="000000"/>
                <w:sz w:val="24"/>
                <w:highlight w:val="none"/>
                <w:u w:val="none"/>
                <w:lang w:val="en-US" w:eastAsia="zh-CN"/>
              </w:rPr>
              <w:t>1</w:t>
            </w:r>
            <w:r>
              <w:rPr>
                <w:rFonts w:hint="eastAsia"/>
                <w:bCs/>
                <w:color w:val="000000"/>
                <w:sz w:val="24"/>
                <w:highlight w:val="none"/>
                <w:u w:val="none"/>
              </w:rPr>
              <w:t>）</w:t>
            </w:r>
            <w:r>
              <w:rPr>
                <w:rFonts w:hint="eastAsia"/>
                <w:bCs/>
                <w:color w:val="000000"/>
                <w:sz w:val="24"/>
                <w:highlight w:val="none"/>
                <w:u w:val="none"/>
                <w:lang w:val="en-US" w:eastAsia="zh-CN"/>
              </w:rPr>
              <w:t>水泥筒仓颗粒物</w:t>
            </w:r>
            <w:r>
              <w:rPr>
                <w:rFonts w:hint="eastAsia" w:cs="宋体"/>
                <w:bCs/>
                <w:color w:val="000000"/>
                <w:kern w:val="0"/>
                <w:sz w:val="24"/>
                <w:highlight w:val="none"/>
                <w:u w:val="none"/>
                <w:lang w:val="en-US" w:eastAsia="zh-CN"/>
              </w:rPr>
              <w:t>产污情况分析</w:t>
            </w:r>
          </w:p>
          <w:p w14:paraId="6E499EF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color w:val="auto"/>
                <w:sz w:val="24"/>
                <w:szCs w:val="24"/>
                <w:lang w:val="en-US" w:eastAsia="zh-CN"/>
              </w:rPr>
            </w:pPr>
            <w:r>
              <w:rPr>
                <w:rFonts w:hint="eastAsia"/>
                <w:color w:val="000000"/>
                <w:sz w:val="24"/>
                <w:highlight w:val="none"/>
                <w:u w:val="none"/>
                <w:lang w:eastAsia="zh-CN"/>
              </w:rPr>
              <w:t>根据建设单位提供的资料，</w:t>
            </w:r>
            <w:r>
              <w:rPr>
                <w:rFonts w:hint="eastAsia"/>
                <w:color w:val="000000"/>
                <w:sz w:val="24"/>
                <w:highlight w:val="none"/>
                <w:u w:val="none"/>
                <w:lang w:val="en-US" w:eastAsia="zh-CN"/>
              </w:rPr>
              <w:t>本项目</w:t>
            </w:r>
            <w:r>
              <w:rPr>
                <w:rFonts w:hint="default" w:ascii="Times New Roman" w:hAnsi="Times New Roman" w:cs="Times New Roman"/>
                <w:color w:val="auto"/>
                <w:sz w:val="24"/>
                <w:highlight w:val="none"/>
                <w:lang w:eastAsia="zh-CN"/>
              </w:rPr>
              <w:t>设置</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个的水</w:t>
            </w:r>
            <w:r>
              <w:rPr>
                <w:rFonts w:hint="default" w:ascii="Times New Roman" w:hAnsi="Times New Roman" w:cs="Times New Roman"/>
                <w:color w:val="auto"/>
                <w:sz w:val="24"/>
                <w:szCs w:val="24"/>
                <w:highlight w:val="none"/>
                <w:lang w:val="en-US" w:eastAsia="zh-CN"/>
              </w:rPr>
              <w:t>泥</w:t>
            </w:r>
            <w:r>
              <w:rPr>
                <w:rFonts w:hint="eastAsia" w:cs="Times New Roman"/>
                <w:color w:val="auto"/>
                <w:sz w:val="24"/>
                <w:szCs w:val="24"/>
                <w:highlight w:val="none"/>
                <w:lang w:val="en-US" w:eastAsia="zh-CN"/>
              </w:rPr>
              <w:t>筒仓，</w:t>
            </w:r>
            <w:r>
              <w:rPr>
                <w:rFonts w:hint="eastAsia" w:ascii="Times New Roman" w:hAnsi="Times New Roman" w:cs="Times New Roman"/>
                <w:color w:val="auto"/>
                <w:sz w:val="24"/>
                <w:szCs w:val="24"/>
                <w:highlight w:val="none"/>
                <w:lang w:val="en-US" w:eastAsia="zh-CN"/>
              </w:rPr>
              <w:t>项目水泥入仓共计输送量</w:t>
            </w:r>
            <w:r>
              <w:rPr>
                <w:rFonts w:hint="eastAsia" w:cs="Times New Roman"/>
                <w:color w:val="auto"/>
                <w:sz w:val="24"/>
                <w:szCs w:val="24"/>
                <w:highlight w:val="none"/>
                <w:lang w:val="en-US" w:eastAsia="zh-CN"/>
              </w:rPr>
              <w:t>6万</w:t>
            </w:r>
            <w:r>
              <w:rPr>
                <w:rFonts w:hint="eastAsia"/>
                <w:color w:val="000000"/>
                <w:sz w:val="24"/>
                <w:highlight w:val="none"/>
                <w:u w:val="none"/>
                <w:lang w:val="en-US" w:eastAsia="zh-CN"/>
              </w:rPr>
              <w:t>t/a，</w:t>
            </w:r>
            <w:r>
              <w:rPr>
                <w:rFonts w:hint="default" w:ascii="Times New Roman" w:hAnsi="Times New Roman" w:eastAsia="宋体" w:cs="Times New Roman"/>
                <w:b w:val="0"/>
                <w:bCs w:val="0"/>
                <w:color w:val="auto"/>
                <w:sz w:val="24"/>
                <w:highlight w:val="none"/>
                <w:u w:val="none"/>
                <w:lang w:eastAsia="zh-CN" w:bidi="ar"/>
              </w:rPr>
              <w:t>参考《逸散性工业粉尘控制技术》中“卸水泥至高架贮仓”产尘系数为0.</w:t>
            </w:r>
            <w:r>
              <w:rPr>
                <w:rFonts w:hint="eastAsia" w:cs="Times New Roman"/>
                <w:b w:val="0"/>
                <w:bCs w:val="0"/>
                <w:color w:val="auto"/>
                <w:sz w:val="24"/>
                <w:highlight w:val="none"/>
                <w:u w:val="none"/>
                <w:lang w:val="en-US" w:eastAsia="zh-CN" w:bidi="ar"/>
              </w:rPr>
              <w:t>25</w:t>
            </w:r>
            <w:r>
              <w:rPr>
                <w:rFonts w:hint="default" w:ascii="Times New Roman" w:hAnsi="Times New Roman" w:eastAsia="宋体" w:cs="Times New Roman"/>
                <w:b w:val="0"/>
                <w:bCs w:val="0"/>
                <w:color w:val="auto"/>
                <w:sz w:val="24"/>
                <w:highlight w:val="none"/>
                <w:u w:val="none"/>
                <w:lang w:eastAsia="zh-CN" w:bidi="ar"/>
              </w:rPr>
              <w:t>kg/t</w:t>
            </w:r>
            <w:r>
              <w:rPr>
                <w:rFonts w:hint="eastAsia" w:cs="Times New Roman"/>
                <w:b w:val="0"/>
                <w:bCs w:val="0"/>
                <w:color w:val="auto"/>
                <w:sz w:val="24"/>
                <w:highlight w:val="none"/>
                <w:u w:val="none"/>
                <w:lang w:val="en-US" w:eastAsia="zh-CN" w:bidi="ar"/>
              </w:rPr>
              <w:t>-</w:t>
            </w:r>
            <w:r>
              <w:rPr>
                <w:rFonts w:hint="default" w:ascii="Times New Roman" w:hAnsi="Times New Roman" w:eastAsia="宋体" w:cs="Times New Roman"/>
                <w:b w:val="0"/>
                <w:bCs w:val="0"/>
                <w:color w:val="auto"/>
                <w:sz w:val="24"/>
                <w:highlight w:val="none"/>
                <w:u w:val="none"/>
                <w:lang w:eastAsia="zh-CN" w:bidi="ar"/>
              </w:rPr>
              <w:t>产品，</w:t>
            </w:r>
            <w:r>
              <w:rPr>
                <w:rFonts w:hint="eastAsia" w:ascii="Times New Roman" w:hAnsi="Times New Roman" w:eastAsia="宋体" w:cs="Times New Roman"/>
                <w:b w:val="0"/>
                <w:bCs w:val="0"/>
                <w:color w:val="auto"/>
                <w:sz w:val="24"/>
                <w:highlight w:val="none"/>
                <w:u w:val="none"/>
                <w:lang w:val="en-US" w:eastAsia="zh-CN" w:bidi="ar"/>
              </w:rPr>
              <w:t>物料入仓</w:t>
            </w:r>
            <w:r>
              <w:rPr>
                <w:rFonts w:hint="eastAsia" w:ascii="Times New Roman" w:hAnsi="Times New Roman" w:cs="Times New Roman"/>
                <w:color w:val="auto"/>
                <w:sz w:val="24"/>
                <w:szCs w:val="24"/>
                <w:highlight w:val="none"/>
                <w:lang w:val="en-US" w:eastAsia="zh-CN"/>
              </w:rPr>
              <w:t>时会产生</w:t>
            </w:r>
            <w:r>
              <w:rPr>
                <w:rFonts w:hint="eastAsia" w:cs="Times New Roman"/>
                <w:color w:val="auto"/>
                <w:sz w:val="24"/>
                <w:szCs w:val="24"/>
                <w:highlight w:val="none"/>
                <w:lang w:val="en-US" w:eastAsia="zh-CN"/>
              </w:rPr>
              <w:t>颗粒物</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b w:val="0"/>
                <w:bCs w:val="0"/>
                <w:color w:val="auto"/>
                <w:sz w:val="24"/>
                <w:highlight w:val="none"/>
                <w:u w:val="none"/>
                <w:lang w:eastAsia="zh-CN" w:bidi="ar"/>
              </w:rPr>
              <w:t>经计算</w:t>
            </w:r>
            <w:r>
              <w:rPr>
                <w:rFonts w:hint="default" w:ascii="Times New Roman" w:hAnsi="Times New Roman" w:eastAsia="宋体" w:cs="Times New Roman"/>
                <w:b w:val="0"/>
                <w:bCs w:val="0"/>
                <w:color w:val="auto"/>
                <w:sz w:val="24"/>
                <w:highlight w:val="none"/>
                <w:u w:val="none"/>
                <w:lang w:val="en-US" w:eastAsia="zh-CN" w:bidi="ar"/>
              </w:rPr>
              <w:t>水泥</w:t>
            </w:r>
            <w:r>
              <w:rPr>
                <w:rFonts w:hint="default" w:ascii="Times New Roman" w:hAnsi="Times New Roman" w:eastAsia="宋体" w:cs="Times New Roman"/>
                <w:b w:val="0"/>
                <w:bCs w:val="0"/>
                <w:color w:val="auto"/>
                <w:sz w:val="24"/>
                <w:highlight w:val="none"/>
                <w:u w:val="none"/>
                <w:lang w:eastAsia="zh-CN" w:bidi="ar"/>
              </w:rPr>
              <w:t>入仓贮存过程颗粒物产生量分别为</w:t>
            </w:r>
            <w:r>
              <w:rPr>
                <w:rFonts w:hint="eastAsia" w:cs="Times New Roman"/>
                <w:b w:val="0"/>
                <w:bCs w:val="0"/>
                <w:color w:val="auto"/>
                <w:sz w:val="24"/>
                <w:highlight w:val="none"/>
                <w:u w:val="none"/>
                <w:lang w:val="en-US" w:eastAsia="zh-CN" w:bidi="ar"/>
              </w:rPr>
              <w:t>15</w:t>
            </w:r>
            <w:r>
              <w:rPr>
                <w:rFonts w:hint="default" w:ascii="Times New Roman" w:hAnsi="Times New Roman" w:eastAsia="宋体" w:cs="Times New Roman"/>
                <w:b w:val="0"/>
                <w:bCs w:val="0"/>
                <w:color w:val="auto"/>
                <w:sz w:val="24"/>
                <w:highlight w:val="none"/>
                <w:u w:val="none"/>
                <w:lang w:val="en-US" w:eastAsia="zh-CN" w:bidi="ar"/>
              </w:rPr>
              <w:t>t/a</w:t>
            </w:r>
            <w:r>
              <w:rPr>
                <w:rFonts w:hint="eastAsia" w:cs="Times New Roman"/>
                <w:b w:val="0"/>
                <w:bCs w:val="0"/>
                <w:color w:val="auto"/>
                <w:sz w:val="24"/>
                <w:highlight w:val="none"/>
                <w:u w:val="none"/>
                <w:lang w:val="en-US" w:eastAsia="zh-CN" w:bidi="ar"/>
              </w:rPr>
              <w:t>，分别是两个配套的除尘器处理，两个水泥筒仓</w:t>
            </w:r>
            <w:r>
              <w:rPr>
                <w:rFonts w:hint="eastAsia" w:ascii="Times New Roman" w:hAnsi="Times New Roman" w:cs="Times New Roman"/>
                <w:color w:val="auto"/>
                <w:sz w:val="24"/>
                <w:szCs w:val="24"/>
                <w:highlight w:val="none"/>
                <w:lang w:val="en-US" w:eastAsia="zh-CN"/>
              </w:rPr>
              <w:t>是密闭的，</w:t>
            </w:r>
            <w:r>
              <w:rPr>
                <w:rFonts w:hint="eastAsia" w:cs="Times New Roman"/>
                <w:color w:val="auto"/>
                <w:sz w:val="24"/>
                <w:szCs w:val="24"/>
                <w:highlight w:val="none"/>
                <w:lang w:val="en-US" w:eastAsia="zh-CN"/>
              </w:rPr>
              <w:t>颗粒物</w:t>
            </w:r>
            <w:r>
              <w:rPr>
                <w:rFonts w:hint="eastAsia" w:ascii="Times New Roman" w:hAnsi="Times New Roman" w:cs="Times New Roman"/>
                <w:color w:val="auto"/>
                <w:sz w:val="24"/>
                <w:szCs w:val="24"/>
                <w:highlight w:val="none"/>
                <w:lang w:val="en-US" w:eastAsia="zh-CN"/>
              </w:rPr>
              <w:t>经过管道收集后</w:t>
            </w:r>
            <w:r>
              <w:rPr>
                <w:rFonts w:hint="eastAsia" w:cs="Times New Roman"/>
                <w:color w:val="auto"/>
                <w:sz w:val="24"/>
                <w:szCs w:val="24"/>
                <w:highlight w:val="none"/>
                <w:lang w:val="en-US" w:eastAsia="zh-CN"/>
              </w:rPr>
              <w:t>（收集效率按100%计）</w:t>
            </w:r>
            <w:r>
              <w:rPr>
                <w:rFonts w:hint="eastAsia" w:ascii="Times New Roman" w:hAnsi="Times New Roman" w:cs="Times New Roman"/>
                <w:color w:val="auto"/>
                <w:sz w:val="24"/>
                <w:szCs w:val="24"/>
                <w:highlight w:val="none"/>
                <w:lang w:val="en-US" w:eastAsia="zh-CN"/>
              </w:rPr>
              <w:t>进入</w:t>
            </w:r>
            <w:r>
              <w:rPr>
                <w:rFonts w:hint="eastAsia" w:cs="Times New Roman"/>
                <w:color w:val="auto"/>
                <w:sz w:val="24"/>
                <w:szCs w:val="24"/>
                <w:highlight w:val="none"/>
                <w:lang w:val="en-US" w:eastAsia="zh-CN"/>
              </w:rPr>
              <w:t>配套</w:t>
            </w:r>
            <w:r>
              <w:rPr>
                <w:rFonts w:hint="eastAsia" w:ascii="Times New Roman" w:hAnsi="Times New Roman" w:cs="Times New Roman"/>
                <w:color w:val="auto"/>
                <w:sz w:val="24"/>
                <w:szCs w:val="24"/>
                <w:highlight w:val="none"/>
                <w:lang w:val="en-US" w:eastAsia="zh-CN"/>
              </w:rPr>
              <w:t>袋式除尘器进行处理，</w:t>
            </w:r>
            <w:r>
              <w:rPr>
                <w:rFonts w:hint="default" w:ascii="Times New Roman" w:hAnsi="Times New Roman" w:eastAsia="宋体" w:cs="Times New Roman"/>
                <w:b w:val="0"/>
                <w:bCs w:val="0"/>
                <w:color w:val="auto"/>
                <w:sz w:val="24"/>
                <w:highlight w:val="none"/>
                <w:u w:val="none"/>
                <w:lang w:val="en-US" w:eastAsia="zh-CN" w:bidi="ar"/>
              </w:rPr>
              <w:t>风机</w:t>
            </w:r>
            <w:r>
              <w:rPr>
                <w:rFonts w:hint="default" w:ascii="Times New Roman" w:hAnsi="Times New Roman" w:eastAsia="宋体" w:cs="Times New Roman"/>
                <w:b w:val="0"/>
                <w:bCs w:val="0"/>
                <w:color w:val="auto"/>
                <w:sz w:val="24"/>
                <w:highlight w:val="none"/>
                <w:u w:val="none"/>
                <w:lang w:bidi="ar"/>
              </w:rPr>
              <w:t>风量</w:t>
            </w:r>
            <w:r>
              <w:rPr>
                <w:rFonts w:hint="eastAsia" w:eastAsia="宋体" w:cs="Times New Roman"/>
                <w:b w:val="0"/>
                <w:bCs w:val="0"/>
                <w:color w:val="auto"/>
                <w:sz w:val="24"/>
                <w:highlight w:val="none"/>
                <w:u w:val="none"/>
                <w:lang w:val="en-US" w:eastAsia="zh-CN" w:bidi="ar"/>
              </w:rPr>
              <w:t>为</w:t>
            </w:r>
            <w:r>
              <w:rPr>
                <w:rFonts w:hint="eastAsia" w:cs="Times New Roman"/>
                <w:b w:val="0"/>
                <w:bCs w:val="0"/>
                <w:color w:val="auto"/>
                <w:sz w:val="24"/>
                <w:highlight w:val="none"/>
                <w:u w:val="none"/>
                <w:lang w:val="en-US" w:eastAsia="zh-CN" w:bidi="ar"/>
              </w:rPr>
              <w:t>2</w:t>
            </w:r>
            <w:r>
              <w:rPr>
                <w:rFonts w:hint="default" w:ascii="Times New Roman" w:hAnsi="Times New Roman" w:eastAsia="宋体" w:cs="Times New Roman"/>
                <w:b w:val="0"/>
                <w:bCs w:val="0"/>
                <w:color w:val="auto"/>
                <w:sz w:val="24"/>
                <w:highlight w:val="none"/>
                <w:u w:val="none"/>
                <w:lang w:bidi="ar"/>
              </w:rPr>
              <w:t>000m</w:t>
            </w:r>
            <w:r>
              <w:rPr>
                <w:rFonts w:hint="default" w:ascii="Times New Roman" w:hAnsi="Times New Roman" w:eastAsia="宋体" w:cs="Times New Roman"/>
                <w:b w:val="0"/>
                <w:bCs w:val="0"/>
                <w:color w:val="auto"/>
                <w:sz w:val="24"/>
                <w:highlight w:val="none"/>
                <w:u w:val="none"/>
                <w:vertAlign w:val="superscript"/>
                <w:lang w:bidi="ar"/>
              </w:rPr>
              <w:t>3</w:t>
            </w:r>
            <w:r>
              <w:rPr>
                <w:rFonts w:hint="default" w:ascii="Times New Roman" w:hAnsi="Times New Roman" w:eastAsia="宋体" w:cs="Times New Roman"/>
                <w:b w:val="0"/>
                <w:bCs w:val="0"/>
                <w:color w:val="auto"/>
                <w:sz w:val="24"/>
                <w:highlight w:val="none"/>
                <w:u w:val="none"/>
                <w:lang w:bidi="ar"/>
              </w:rPr>
              <w:t>/h</w:t>
            </w:r>
            <w:r>
              <w:rPr>
                <w:rFonts w:hint="default" w:ascii="Times New Roman" w:hAnsi="Times New Roman" w:eastAsia="宋体" w:cs="Times New Roman"/>
                <w:b w:val="0"/>
                <w:bCs w:val="0"/>
                <w:color w:val="auto"/>
                <w:sz w:val="24"/>
                <w:highlight w:val="none"/>
                <w:u w:val="none"/>
                <w:lang w:val="en-US" w:eastAsia="zh-CN" w:bidi="ar"/>
              </w:rPr>
              <w:t>，</w:t>
            </w:r>
            <w:r>
              <w:rPr>
                <w:rFonts w:hint="eastAsia" w:cs="Times New Roman"/>
                <w:b w:val="0"/>
                <w:bCs w:val="0"/>
                <w:color w:val="auto"/>
                <w:sz w:val="24"/>
                <w:highlight w:val="none"/>
                <w:u w:val="none"/>
                <w:lang w:val="en-US" w:eastAsia="zh-CN" w:bidi="ar"/>
              </w:rPr>
              <w:t>工作时间按4800h/a计算，</w:t>
            </w:r>
            <w:r>
              <w:rPr>
                <w:rFonts w:hint="eastAsia" w:ascii="Times New Roman" w:hAnsi="Times New Roman" w:cs="Times New Roman"/>
                <w:color w:val="auto"/>
                <w:sz w:val="24"/>
                <w:szCs w:val="24"/>
                <w:highlight w:val="none"/>
                <w:lang w:val="en-US" w:eastAsia="zh-CN"/>
              </w:rPr>
              <w:t>仓顶袋式除尘器</w:t>
            </w:r>
            <w:r>
              <w:rPr>
                <w:rFonts w:hint="default" w:ascii="Times New Roman" w:hAnsi="Times New Roman" w:eastAsia="宋体" w:cs="Times New Roman"/>
                <w:b w:val="0"/>
                <w:bCs w:val="0"/>
                <w:color w:val="auto"/>
                <w:sz w:val="24"/>
                <w:highlight w:val="none"/>
                <w:u w:val="none"/>
                <w:lang w:bidi="ar"/>
              </w:rPr>
              <w:t>除尘效率99%</w:t>
            </w:r>
            <w:r>
              <w:rPr>
                <w:rFonts w:hint="eastAsia" w:eastAsia="宋体" w:cs="Times New Roman"/>
                <w:b w:val="0"/>
                <w:bCs w:val="0"/>
                <w:color w:val="auto"/>
                <w:sz w:val="24"/>
                <w:highlight w:val="none"/>
                <w:u w:val="none"/>
                <w:lang w:eastAsia="zh-CN" w:bidi="ar"/>
              </w:rPr>
              <w:t>，</w:t>
            </w:r>
            <w:r>
              <w:rPr>
                <w:rFonts w:hint="eastAsia" w:ascii="Times New Roman" w:hAnsi="Times New Roman" w:cs="Times New Roman"/>
                <w:color w:val="auto"/>
                <w:sz w:val="24"/>
                <w:szCs w:val="24"/>
                <w:highlight w:val="none"/>
                <w:lang w:val="en-US" w:eastAsia="zh-CN"/>
              </w:rPr>
              <w:t>处理</w:t>
            </w:r>
            <w:r>
              <w:rPr>
                <w:rFonts w:hint="eastAsia" w:cs="Times New Roman"/>
                <w:color w:val="auto"/>
                <w:sz w:val="24"/>
                <w:szCs w:val="24"/>
                <w:highlight w:val="none"/>
                <w:lang w:val="en-US" w:eastAsia="zh-CN"/>
              </w:rPr>
              <w:t>后颗粒物随搅拌工序排气筒一同排出（DA002）</w:t>
            </w:r>
            <w:r>
              <w:rPr>
                <w:rFonts w:hint="eastAsia" w:cs="Times New Roman"/>
                <w:color w:val="auto"/>
                <w:sz w:val="24"/>
                <w:szCs w:val="24"/>
                <w:lang w:val="en-US" w:eastAsia="zh-CN"/>
              </w:rPr>
              <w:t>。</w:t>
            </w:r>
          </w:p>
          <w:p w14:paraId="0690FA4B">
            <w:pPr>
              <w:pStyle w:val="11"/>
              <w:keepNext w:val="0"/>
              <w:keepLines w:val="0"/>
              <w:pageBreakBefore w:val="0"/>
              <w:widowControl w:val="0"/>
              <w:kinsoku/>
              <w:wordWrap/>
              <w:overflowPunct/>
              <w:topLinePunct w:val="0"/>
              <w:autoSpaceDE/>
              <w:autoSpaceDN/>
              <w:bidi w:val="0"/>
              <w:adjustRightInd/>
              <w:snapToGrid/>
              <w:spacing w:after="0" w:line="500" w:lineRule="exact"/>
              <w:jc w:val="center"/>
              <w:textAlignment w:val="auto"/>
              <w:rPr>
                <w:rFonts w:eastAsia="黑体"/>
                <w:b w:val="0"/>
                <w:bCs w:val="0"/>
                <w:color w:val="000000"/>
                <w:sz w:val="24"/>
                <w:u w:val="none"/>
                <w:lang w:val="en-US" w:eastAsia="zh-CN"/>
              </w:rPr>
            </w:pPr>
            <w:r>
              <w:rPr>
                <w:rFonts w:eastAsia="黑体"/>
                <w:b w:val="0"/>
                <w:bCs w:val="0"/>
                <w:color w:val="000000"/>
                <w:sz w:val="24"/>
                <w:highlight w:val="none"/>
                <w:u w:val="none"/>
                <w:lang w:val="en-US" w:eastAsia="zh-CN"/>
              </w:rPr>
              <w:t>表</w:t>
            </w:r>
            <w:r>
              <w:rPr>
                <w:rFonts w:hint="eastAsia" w:eastAsia="黑体"/>
                <w:b w:val="0"/>
                <w:bCs w:val="0"/>
                <w:color w:val="000000"/>
                <w:sz w:val="24"/>
                <w:highlight w:val="none"/>
                <w:u w:val="none"/>
                <w:lang w:val="en-US" w:eastAsia="zh-CN"/>
              </w:rPr>
              <w:t>4-3</w:t>
            </w:r>
            <w:r>
              <w:rPr>
                <w:rFonts w:eastAsia="黑体"/>
                <w:b w:val="0"/>
                <w:bCs w:val="0"/>
                <w:color w:val="000000"/>
                <w:sz w:val="24"/>
                <w:highlight w:val="none"/>
                <w:u w:val="none"/>
                <w:lang w:val="en-US" w:eastAsia="zh-CN"/>
              </w:rPr>
              <w:t xml:space="preserve"> </w:t>
            </w:r>
            <w:r>
              <w:rPr>
                <w:rFonts w:hint="eastAsia" w:eastAsia="黑体"/>
                <w:b w:val="0"/>
                <w:bCs w:val="0"/>
                <w:color w:val="000000"/>
                <w:sz w:val="24"/>
                <w:highlight w:val="none"/>
                <w:u w:val="none"/>
                <w:lang w:val="en-US" w:eastAsia="zh-CN"/>
              </w:rPr>
              <w:t>水泥塔仓工序</w:t>
            </w:r>
            <w:r>
              <w:rPr>
                <w:rFonts w:eastAsia="黑体"/>
                <w:b w:val="0"/>
                <w:bCs w:val="0"/>
                <w:color w:val="000000"/>
                <w:sz w:val="24"/>
                <w:highlight w:val="none"/>
                <w:u w:val="none"/>
                <w:lang w:val="en-US" w:eastAsia="zh-CN"/>
              </w:rPr>
              <w:t>颗粒物产生量情况</w:t>
            </w:r>
            <w:r>
              <w:rPr>
                <w:rFonts w:eastAsia="黑体"/>
                <w:b w:val="0"/>
                <w:bCs w:val="0"/>
                <w:color w:val="000000"/>
                <w:sz w:val="24"/>
                <w:u w:val="none"/>
                <w:lang w:val="en-US" w:eastAsia="zh-CN"/>
              </w:rPr>
              <w:t>一览表</w:t>
            </w:r>
          </w:p>
          <w:tbl>
            <w:tblPr>
              <w:tblStyle w:val="23"/>
              <w:tblW w:w="499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Layout w:type="fixed"/>
              <w:tblCellMar>
                <w:top w:w="0" w:type="dxa"/>
                <w:left w:w="108" w:type="dxa"/>
                <w:bottom w:w="0" w:type="dxa"/>
                <w:right w:w="108" w:type="dxa"/>
              </w:tblCellMar>
            </w:tblPr>
            <w:tblGrid>
              <w:gridCol w:w="722"/>
              <w:gridCol w:w="1164"/>
              <w:gridCol w:w="1560"/>
              <w:gridCol w:w="1404"/>
              <w:gridCol w:w="1500"/>
              <w:gridCol w:w="1567"/>
            </w:tblGrid>
            <w:tr w14:paraId="33146A8E">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542" w:hRule="atLeast"/>
                <w:jc w:val="center"/>
              </w:trPr>
              <w:tc>
                <w:tcPr>
                  <w:tcW w:w="455" w:type="pct"/>
                  <w:tcBorders>
                    <w:tl2br w:val="nil"/>
                    <w:tr2bl w:val="nil"/>
                  </w:tcBorders>
                  <w:noWrap w:val="0"/>
                  <w:vAlign w:val="center"/>
                </w:tcPr>
                <w:p w14:paraId="6690A083">
                  <w:pPr>
                    <w:adjustRightInd w:val="0"/>
                    <w:snapToGrid w:val="0"/>
                    <w:jc w:val="center"/>
                    <w:rPr>
                      <w:b w:val="0"/>
                      <w:bCs w:val="0"/>
                      <w:color w:val="000000"/>
                      <w:szCs w:val="21"/>
                      <w:u w:val="none"/>
                    </w:rPr>
                  </w:pPr>
                  <w:r>
                    <w:rPr>
                      <w:b w:val="0"/>
                      <w:bCs w:val="0"/>
                      <w:color w:val="000000"/>
                      <w:szCs w:val="21"/>
                      <w:u w:val="none"/>
                    </w:rPr>
                    <w:t>序号</w:t>
                  </w:r>
                </w:p>
              </w:tc>
              <w:tc>
                <w:tcPr>
                  <w:tcW w:w="735" w:type="pct"/>
                  <w:tcBorders>
                    <w:tl2br w:val="nil"/>
                    <w:tr2bl w:val="nil"/>
                  </w:tcBorders>
                  <w:noWrap w:val="0"/>
                  <w:vAlign w:val="center"/>
                </w:tcPr>
                <w:p w14:paraId="5511672D">
                  <w:pPr>
                    <w:adjustRightInd w:val="0"/>
                    <w:snapToGrid w:val="0"/>
                    <w:jc w:val="center"/>
                    <w:rPr>
                      <w:b w:val="0"/>
                      <w:bCs w:val="0"/>
                      <w:color w:val="000000"/>
                      <w:szCs w:val="21"/>
                      <w:u w:val="none"/>
                    </w:rPr>
                  </w:pPr>
                  <w:r>
                    <w:rPr>
                      <w:b w:val="0"/>
                      <w:bCs w:val="0"/>
                      <w:color w:val="000000"/>
                      <w:szCs w:val="21"/>
                      <w:u w:val="none"/>
                    </w:rPr>
                    <w:t>设备</w:t>
                  </w:r>
                </w:p>
              </w:tc>
              <w:tc>
                <w:tcPr>
                  <w:tcW w:w="985" w:type="pct"/>
                  <w:tcBorders>
                    <w:tl2br w:val="nil"/>
                    <w:tr2bl w:val="nil"/>
                  </w:tcBorders>
                  <w:noWrap w:val="0"/>
                  <w:vAlign w:val="center"/>
                </w:tcPr>
                <w:p w14:paraId="3B94C8B7">
                  <w:pPr>
                    <w:adjustRightInd w:val="0"/>
                    <w:snapToGrid w:val="0"/>
                    <w:jc w:val="center"/>
                    <w:rPr>
                      <w:b w:val="0"/>
                      <w:bCs w:val="0"/>
                      <w:color w:val="000000"/>
                      <w:szCs w:val="21"/>
                      <w:u w:val="none"/>
                    </w:rPr>
                  </w:pPr>
                  <w:r>
                    <w:rPr>
                      <w:b w:val="0"/>
                      <w:bCs w:val="0"/>
                      <w:color w:val="000000"/>
                      <w:szCs w:val="21"/>
                      <w:u w:val="none"/>
                    </w:rPr>
                    <w:t>产污设施/工段</w:t>
                  </w:r>
                </w:p>
              </w:tc>
              <w:tc>
                <w:tcPr>
                  <w:tcW w:w="886" w:type="pct"/>
                  <w:tcBorders>
                    <w:tl2br w:val="nil"/>
                    <w:tr2bl w:val="nil"/>
                  </w:tcBorders>
                  <w:noWrap w:val="0"/>
                  <w:vAlign w:val="center"/>
                </w:tcPr>
                <w:p w14:paraId="166FF2F2">
                  <w:pPr>
                    <w:adjustRightInd w:val="0"/>
                    <w:snapToGrid w:val="0"/>
                    <w:jc w:val="center"/>
                    <w:rPr>
                      <w:b w:val="0"/>
                      <w:bCs w:val="0"/>
                      <w:color w:val="000000"/>
                      <w:szCs w:val="21"/>
                      <w:u w:val="none"/>
                    </w:rPr>
                  </w:pPr>
                  <w:r>
                    <w:rPr>
                      <w:b w:val="0"/>
                      <w:bCs w:val="0"/>
                      <w:color w:val="000000"/>
                      <w:szCs w:val="21"/>
                      <w:u w:val="none"/>
                    </w:rPr>
                    <w:t>产生系数</w:t>
                  </w:r>
                </w:p>
              </w:tc>
              <w:tc>
                <w:tcPr>
                  <w:tcW w:w="947" w:type="pct"/>
                  <w:tcBorders>
                    <w:tl2br w:val="nil"/>
                    <w:tr2bl w:val="nil"/>
                  </w:tcBorders>
                  <w:noWrap w:val="0"/>
                  <w:vAlign w:val="center"/>
                </w:tcPr>
                <w:p w14:paraId="29766CA5">
                  <w:pPr>
                    <w:adjustRightInd w:val="0"/>
                    <w:snapToGrid w:val="0"/>
                    <w:jc w:val="center"/>
                    <w:rPr>
                      <w:b w:val="0"/>
                      <w:bCs w:val="0"/>
                      <w:color w:val="000000"/>
                      <w:szCs w:val="21"/>
                      <w:highlight w:val="none"/>
                      <w:u w:val="none"/>
                    </w:rPr>
                  </w:pPr>
                  <w:r>
                    <w:rPr>
                      <w:b w:val="0"/>
                      <w:bCs w:val="0"/>
                      <w:color w:val="000000"/>
                      <w:szCs w:val="21"/>
                      <w:highlight w:val="none"/>
                      <w:u w:val="none"/>
                    </w:rPr>
                    <w:t>物料加工量（t/a）</w:t>
                  </w:r>
                </w:p>
              </w:tc>
              <w:tc>
                <w:tcPr>
                  <w:tcW w:w="989" w:type="pct"/>
                  <w:tcBorders>
                    <w:tl2br w:val="nil"/>
                    <w:tr2bl w:val="nil"/>
                  </w:tcBorders>
                  <w:noWrap w:val="0"/>
                  <w:vAlign w:val="center"/>
                </w:tcPr>
                <w:p w14:paraId="70A9B3E8">
                  <w:pPr>
                    <w:adjustRightInd w:val="0"/>
                    <w:snapToGrid w:val="0"/>
                    <w:jc w:val="center"/>
                    <w:rPr>
                      <w:b w:val="0"/>
                      <w:bCs w:val="0"/>
                      <w:color w:val="000000"/>
                      <w:szCs w:val="21"/>
                      <w:u w:val="none"/>
                    </w:rPr>
                  </w:pPr>
                  <w:r>
                    <w:rPr>
                      <w:b w:val="0"/>
                      <w:bCs w:val="0"/>
                      <w:color w:val="000000"/>
                      <w:szCs w:val="21"/>
                      <w:u w:val="none"/>
                    </w:rPr>
                    <w:t>颗粒物产生量（t/a）</w:t>
                  </w:r>
                </w:p>
              </w:tc>
            </w:tr>
            <w:tr w14:paraId="6C7233BD">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519" w:hRule="atLeast"/>
                <w:jc w:val="center"/>
              </w:trPr>
              <w:tc>
                <w:tcPr>
                  <w:tcW w:w="455" w:type="pct"/>
                  <w:tcBorders>
                    <w:tl2br w:val="nil"/>
                    <w:tr2bl w:val="nil"/>
                  </w:tcBorders>
                  <w:noWrap w:val="0"/>
                  <w:vAlign w:val="center"/>
                </w:tcPr>
                <w:p w14:paraId="6FD9B85F">
                  <w:pPr>
                    <w:adjustRightInd w:val="0"/>
                    <w:snapToGrid w:val="0"/>
                    <w:jc w:val="center"/>
                    <w:rPr>
                      <w:b w:val="0"/>
                      <w:bCs w:val="0"/>
                      <w:color w:val="000000"/>
                      <w:szCs w:val="21"/>
                      <w:u w:val="none"/>
                    </w:rPr>
                  </w:pPr>
                  <w:r>
                    <w:rPr>
                      <w:b w:val="0"/>
                      <w:bCs w:val="0"/>
                      <w:color w:val="000000"/>
                      <w:szCs w:val="21"/>
                      <w:u w:val="none"/>
                    </w:rPr>
                    <w:t>1</w:t>
                  </w:r>
                </w:p>
              </w:tc>
              <w:tc>
                <w:tcPr>
                  <w:tcW w:w="735" w:type="pct"/>
                  <w:tcBorders>
                    <w:tl2br w:val="nil"/>
                    <w:tr2bl w:val="nil"/>
                  </w:tcBorders>
                  <w:noWrap w:val="0"/>
                  <w:vAlign w:val="center"/>
                </w:tcPr>
                <w:p w14:paraId="69E8B864">
                  <w:pPr>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水泥筒仓</w:t>
                  </w:r>
                </w:p>
              </w:tc>
              <w:tc>
                <w:tcPr>
                  <w:tcW w:w="985" w:type="pct"/>
                  <w:tcBorders>
                    <w:tl2br w:val="nil"/>
                    <w:tr2bl w:val="nil"/>
                  </w:tcBorders>
                  <w:noWrap w:val="0"/>
                  <w:vAlign w:val="center"/>
                </w:tcPr>
                <w:p w14:paraId="5BAD4D67">
                  <w:pPr>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入仓</w:t>
                  </w:r>
                </w:p>
              </w:tc>
              <w:tc>
                <w:tcPr>
                  <w:tcW w:w="886" w:type="pct"/>
                  <w:tcBorders>
                    <w:tl2br w:val="nil"/>
                    <w:tr2bl w:val="nil"/>
                  </w:tcBorders>
                  <w:noWrap w:val="0"/>
                  <w:vAlign w:val="center"/>
                </w:tcPr>
                <w:p w14:paraId="61791601">
                  <w:pPr>
                    <w:adjustRightInd w:val="0"/>
                    <w:snapToGrid w:val="0"/>
                    <w:jc w:val="center"/>
                    <w:rPr>
                      <w:b w:val="0"/>
                      <w:bCs w:val="0"/>
                      <w:color w:val="000000"/>
                      <w:szCs w:val="21"/>
                      <w:highlight w:val="none"/>
                      <w:u w:val="none"/>
                    </w:rPr>
                  </w:pPr>
                  <w:r>
                    <w:rPr>
                      <w:b w:val="0"/>
                      <w:bCs w:val="0"/>
                      <w:color w:val="000000"/>
                      <w:szCs w:val="21"/>
                      <w:highlight w:val="none"/>
                      <w:u w:val="none"/>
                    </w:rPr>
                    <w:t>0.</w:t>
                  </w:r>
                  <w:r>
                    <w:rPr>
                      <w:rFonts w:hint="eastAsia"/>
                      <w:b w:val="0"/>
                      <w:bCs w:val="0"/>
                      <w:color w:val="000000"/>
                      <w:szCs w:val="21"/>
                      <w:highlight w:val="none"/>
                      <w:u w:val="none"/>
                      <w:lang w:val="en-US" w:eastAsia="zh-CN"/>
                    </w:rPr>
                    <w:t>25</w:t>
                  </w:r>
                  <w:r>
                    <w:rPr>
                      <w:b w:val="0"/>
                      <w:bCs w:val="0"/>
                      <w:color w:val="000000"/>
                      <w:szCs w:val="21"/>
                      <w:highlight w:val="none"/>
                      <w:u w:val="none"/>
                    </w:rPr>
                    <w:t>kg/t</w:t>
                  </w:r>
                  <w:r>
                    <w:rPr>
                      <w:rFonts w:hint="eastAsia"/>
                      <w:b w:val="0"/>
                      <w:bCs w:val="0"/>
                      <w:color w:val="000000"/>
                      <w:szCs w:val="21"/>
                      <w:highlight w:val="none"/>
                      <w:u w:val="none"/>
                      <w:lang w:val="en-US" w:eastAsia="zh-CN"/>
                    </w:rPr>
                    <w:t>-</w:t>
                  </w:r>
                  <w:r>
                    <w:rPr>
                      <w:b w:val="0"/>
                      <w:bCs w:val="0"/>
                      <w:color w:val="000000"/>
                      <w:szCs w:val="21"/>
                      <w:highlight w:val="none"/>
                      <w:u w:val="none"/>
                      <w:vertAlign w:val="baseline"/>
                    </w:rPr>
                    <w:t>原料</w:t>
                  </w:r>
                </w:p>
              </w:tc>
              <w:tc>
                <w:tcPr>
                  <w:tcW w:w="947" w:type="pct"/>
                  <w:tcBorders>
                    <w:tl2br w:val="nil"/>
                    <w:tr2bl w:val="nil"/>
                  </w:tcBorders>
                  <w:noWrap w:val="0"/>
                  <w:vAlign w:val="center"/>
                </w:tcPr>
                <w:p w14:paraId="1EB434DF">
                  <w:pPr>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30000</w:t>
                  </w:r>
                </w:p>
              </w:tc>
              <w:tc>
                <w:tcPr>
                  <w:tcW w:w="989" w:type="pct"/>
                  <w:tcBorders>
                    <w:tl2br w:val="nil"/>
                    <w:tr2bl w:val="nil"/>
                  </w:tcBorders>
                  <w:noWrap w:val="0"/>
                  <w:vAlign w:val="center"/>
                </w:tcPr>
                <w:p w14:paraId="262B59B1">
                  <w:pPr>
                    <w:adjustRightInd w:val="0"/>
                    <w:snapToGrid w:val="0"/>
                    <w:jc w:val="center"/>
                    <w:rPr>
                      <w:rFonts w:hint="default" w:eastAsia="宋体"/>
                      <w:b w:val="0"/>
                      <w:bCs w:val="0"/>
                      <w:color w:val="000000"/>
                      <w:szCs w:val="21"/>
                      <w:u w:val="none"/>
                      <w:lang w:val="en-US" w:eastAsia="zh-CN"/>
                    </w:rPr>
                  </w:pPr>
                  <w:r>
                    <w:rPr>
                      <w:rFonts w:hint="eastAsia"/>
                      <w:b w:val="0"/>
                      <w:bCs w:val="0"/>
                      <w:color w:val="000000"/>
                      <w:szCs w:val="21"/>
                      <w:u w:val="none"/>
                      <w:lang w:val="en-US" w:eastAsia="zh-CN"/>
                    </w:rPr>
                    <w:t>7.5</w:t>
                  </w:r>
                </w:p>
              </w:tc>
            </w:tr>
            <w:tr w14:paraId="54CAD190">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519" w:hRule="atLeast"/>
                <w:jc w:val="center"/>
              </w:trPr>
              <w:tc>
                <w:tcPr>
                  <w:tcW w:w="455" w:type="pct"/>
                  <w:tcBorders>
                    <w:tl2br w:val="nil"/>
                    <w:tr2bl w:val="nil"/>
                  </w:tcBorders>
                  <w:noWrap w:val="0"/>
                  <w:vAlign w:val="center"/>
                </w:tcPr>
                <w:p w14:paraId="6D42ADB9">
                  <w:pPr>
                    <w:adjustRightInd w:val="0"/>
                    <w:snapToGrid w:val="0"/>
                    <w:jc w:val="center"/>
                    <w:rPr>
                      <w:rFonts w:hint="eastAsia" w:ascii="Times New Roman" w:hAnsi="Times New Roman" w:eastAsia="宋体" w:cs="Times New Roman"/>
                      <w:b w:val="0"/>
                      <w:bCs w:val="0"/>
                      <w:color w:val="000000"/>
                      <w:kern w:val="2"/>
                      <w:sz w:val="21"/>
                      <w:szCs w:val="21"/>
                      <w:u w:val="none"/>
                      <w:lang w:val="en-US" w:eastAsia="zh-CN" w:bidi="ar-SA"/>
                    </w:rPr>
                  </w:pPr>
                  <w:r>
                    <w:rPr>
                      <w:rFonts w:hint="eastAsia"/>
                      <w:b w:val="0"/>
                      <w:bCs w:val="0"/>
                      <w:color w:val="000000"/>
                      <w:szCs w:val="21"/>
                      <w:u w:val="none"/>
                      <w:lang w:val="en-US" w:eastAsia="zh-CN"/>
                    </w:rPr>
                    <w:t>2</w:t>
                  </w:r>
                </w:p>
              </w:tc>
              <w:tc>
                <w:tcPr>
                  <w:tcW w:w="735" w:type="pct"/>
                  <w:tcBorders>
                    <w:tl2br w:val="nil"/>
                    <w:tr2bl w:val="nil"/>
                  </w:tcBorders>
                  <w:noWrap w:val="0"/>
                  <w:vAlign w:val="center"/>
                </w:tcPr>
                <w:p w14:paraId="41E0DB0C">
                  <w:pPr>
                    <w:snapToGrid w:val="0"/>
                    <w:jc w:val="center"/>
                    <w:rPr>
                      <w:rFonts w:hint="eastAsia" w:ascii="Times New Roman" w:hAnsi="Times New Roman" w:eastAsia="宋体" w:cs="Times New Roman"/>
                      <w:b w:val="0"/>
                      <w:bCs w:val="0"/>
                      <w:color w:val="000000"/>
                      <w:kern w:val="2"/>
                      <w:sz w:val="21"/>
                      <w:szCs w:val="21"/>
                      <w:highlight w:val="none"/>
                      <w:u w:val="none"/>
                      <w:lang w:val="en-US" w:eastAsia="zh-CN" w:bidi="ar-SA"/>
                    </w:rPr>
                  </w:pPr>
                  <w:r>
                    <w:rPr>
                      <w:rFonts w:hint="eastAsia"/>
                      <w:b w:val="0"/>
                      <w:bCs w:val="0"/>
                      <w:color w:val="000000"/>
                      <w:szCs w:val="21"/>
                      <w:highlight w:val="none"/>
                      <w:u w:val="none"/>
                      <w:lang w:val="en-US" w:eastAsia="zh-CN"/>
                    </w:rPr>
                    <w:t>水泥筒仓</w:t>
                  </w:r>
                </w:p>
              </w:tc>
              <w:tc>
                <w:tcPr>
                  <w:tcW w:w="985" w:type="pct"/>
                  <w:tcBorders>
                    <w:tl2br w:val="nil"/>
                    <w:tr2bl w:val="nil"/>
                  </w:tcBorders>
                  <w:noWrap w:val="0"/>
                  <w:vAlign w:val="center"/>
                </w:tcPr>
                <w:p w14:paraId="4392C9A1">
                  <w:pPr>
                    <w:snapToGrid w:val="0"/>
                    <w:jc w:val="center"/>
                    <w:rPr>
                      <w:rFonts w:hint="eastAsia" w:ascii="Times New Roman" w:hAnsi="Times New Roman" w:eastAsia="宋体" w:cs="Times New Roman"/>
                      <w:b w:val="0"/>
                      <w:bCs w:val="0"/>
                      <w:color w:val="000000"/>
                      <w:kern w:val="2"/>
                      <w:sz w:val="21"/>
                      <w:szCs w:val="21"/>
                      <w:highlight w:val="none"/>
                      <w:u w:val="none"/>
                      <w:lang w:val="en-US" w:eastAsia="zh-CN" w:bidi="ar-SA"/>
                    </w:rPr>
                  </w:pPr>
                  <w:r>
                    <w:rPr>
                      <w:rFonts w:hint="eastAsia"/>
                      <w:b w:val="0"/>
                      <w:bCs w:val="0"/>
                      <w:color w:val="000000"/>
                      <w:szCs w:val="21"/>
                      <w:highlight w:val="none"/>
                      <w:u w:val="none"/>
                      <w:lang w:val="en-US" w:eastAsia="zh-CN"/>
                    </w:rPr>
                    <w:t>入仓</w:t>
                  </w:r>
                </w:p>
              </w:tc>
              <w:tc>
                <w:tcPr>
                  <w:tcW w:w="886" w:type="pct"/>
                  <w:tcBorders>
                    <w:tl2br w:val="nil"/>
                    <w:tr2bl w:val="nil"/>
                  </w:tcBorders>
                  <w:noWrap w:val="0"/>
                  <w:vAlign w:val="center"/>
                </w:tcPr>
                <w:p w14:paraId="1E3915B9">
                  <w:pPr>
                    <w:adjustRightInd w:val="0"/>
                    <w:snapToGrid w:val="0"/>
                    <w:jc w:val="center"/>
                    <w:rPr>
                      <w:rFonts w:ascii="Times New Roman" w:hAnsi="Times New Roman" w:eastAsia="宋体" w:cs="Times New Roman"/>
                      <w:b w:val="0"/>
                      <w:bCs w:val="0"/>
                      <w:color w:val="000000"/>
                      <w:kern w:val="2"/>
                      <w:sz w:val="21"/>
                      <w:szCs w:val="21"/>
                      <w:u w:val="none"/>
                      <w:lang w:val="en-US" w:eastAsia="zh-CN" w:bidi="ar-SA"/>
                    </w:rPr>
                  </w:pPr>
                  <w:r>
                    <w:rPr>
                      <w:b w:val="0"/>
                      <w:bCs w:val="0"/>
                      <w:color w:val="000000"/>
                      <w:szCs w:val="21"/>
                      <w:u w:val="none"/>
                    </w:rPr>
                    <w:t>0.</w:t>
                  </w:r>
                  <w:r>
                    <w:rPr>
                      <w:rFonts w:hint="eastAsia"/>
                      <w:b w:val="0"/>
                      <w:bCs w:val="0"/>
                      <w:color w:val="000000"/>
                      <w:szCs w:val="21"/>
                      <w:u w:val="none"/>
                      <w:lang w:val="en-US" w:eastAsia="zh-CN"/>
                    </w:rPr>
                    <w:t>05</w:t>
                  </w:r>
                  <w:r>
                    <w:rPr>
                      <w:b w:val="0"/>
                      <w:bCs w:val="0"/>
                      <w:color w:val="000000"/>
                      <w:szCs w:val="21"/>
                      <w:u w:val="none"/>
                    </w:rPr>
                    <w:t>kg/t</w:t>
                  </w:r>
                  <w:r>
                    <w:rPr>
                      <w:rFonts w:hint="eastAsia"/>
                      <w:b w:val="0"/>
                      <w:bCs w:val="0"/>
                      <w:color w:val="000000"/>
                      <w:szCs w:val="21"/>
                      <w:u w:val="none"/>
                      <w:lang w:val="en-US" w:eastAsia="zh-CN"/>
                    </w:rPr>
                    <w:t>-</w:t>
                  </w:r>
                  <w:r>
                    <w:rPr>
                      <w:b w:val="0"/>
                      <w:bCs w:val="0"/>
                      <w:color w:val="000000"/>
                      <w:szCs w:val="21"/>
                      <w:u w:val="none"/>
                      <w:vertAlign w:val="baseline"/>
                    </w:rPr>
                    <w:t>原料</w:t>
                  </w:r>
                </w:p>
              </w:tc>
              <w:tc>
                <w:tcPr>
                  <w:tcW w:w="947" w:type="pct"/>
                  <w:tcBorders>
                    <w:tl2br w:val="nil"/>
                    <w:tr2bl w:val="nil"/>
                  </w:tcBorders>
                  <w:noWrap w:val="0"/>
                  <w:vAlign w:val="center"/>
                </w:tcPr>
                <w:p w14:paraId="166C6BBF">
                  <w:pPr>
                    <w:snapToGrid w:val="0"/>
                    <w:jc w:val="center"/>
                    <w:rPr>
                      <w:rFonts w:hint="eastAsia" w:ascii="Times New Roman" w:hAnsi="Times New Roman" w:eastAsia="宋体" w:cs="Times New Roman"/>
                      <w:b w:val="0"/>
                      <w:bCs w:val="0"/>
                      <w:color w:val="000000"/>
                      <w:kern w:val="2"/>
                      <w:sz w:val="21"/>
                      <w:szCs w:val="21"/>
                      <w:highlight w:val="none"/>
                      <w:u w:val="none"/>
                      <w:lang w:val="en-US" w:eastAsia="zh-CN" w:bidi="ar-SA"/>
                    </w:rPr>
                  </w:pPr>
                  <w:r>
                    <w:rPr>
                      <w:rFonts w:hint="eastAsia"/>
                      <w:b w:val="0"/>
                      <w:bCs w:val="0"/>
                      <w:color w:val="000000"/>
                      <w:szCs w:val="21"/>
                      <w:highlight w:val="none"/>
                      <w:u w:val="none"/>
                      <w:lang w:val="en-US" w:eastAsia="zh-CN"/>
                    </w:rPr>
                    <w:t>30000</w:t>
                  </w:r>
                </w:p>
              </w:tc>
              <w:tc>
                <w:tcPr>
                  <w:tcW w:w="989" w:type="pct"/>
                  <w:tcBorders>
                    <w:tl2br w:val="nil"/>
                    <w:tr2bl w:val="nil"/>
                  </w:tcBorders>
                  <w:noWrap w:val="0"/>
                  <w:vAlign w:val="center"/>
                </w:tcPr>
                <w:p w14:paraId="767041BB">
                  <w:pPr>
                    <w:adjustRightInd w:val="0"/>
                    <w:snapToGrid w:val="0"/>
                    <w:jc w:val="center"/>
                    <w:rPr>
                      <w:rFonts w:hint="default" w:ascii="Times New Roman" w:hAnsi="Times New Roman" w:eastAsia="宋体" w:cs="Times New Roman"/>
                      <w:b w:val="0"/>
                      <w:bCs w:val="0"/>
                      <w:color w:val="000000"/>
                      <w:kern w:val="2"/>
                      <w:sz w:val="21"/>
                      <w:szCs w:val="21"/>
                      <w:u w:val="none"/>
                      <w:lang w:val="en-US" w:eastAsia="zh-CN" w:bidi="ar-SA"/>
                    </w:rPr>
                  </w:pPr>
                  <w:r>
                    <w:rPr>
                      <w:rFonts w:hint="eastAsia"/>
                      <w:b w:val="0"/>
                      <w:bCs w:val="0"/>
                      <w:color w:val="000000"/>
                      <w:szCs w:val="21"/>
                      <w:u w:val="none"/>
                      <w:lang w:val="en-US" w:eastAsia="zh-CN"/>
                    </w:rPr>
                    <w:t>7.5</w:t>
                  </w:r>
                </w:p>
              </w:tc>
            </w:tr>
          </w:tbl>
          <w:p w14:paraId="5EDDC0E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000000"/>
                <w:sz w:val="24"/>
                <w:u w:val="none"/>
              </w:rPr>
            </w:pPr>
            <w:r>
              <w:rPr>
                <w:rFonts w:hint="eastAsia"/>
                <w:color w:val="000000"/>
                <w:sz w:val="24"/>
                <w:u w:val="none"/>
                <w:lang w:val="en-US" w:eastAsia="zh-CN"/>
              </w:rPr>
              <w:t>管道</w:t>
            </w:r>
            <w:r>
              <w:rPr>
                <w:color w:val="000000"/>
                <w:sz w:val="24"/>
                <w:u w:val="none"/>
              </w:rPr>
              <w:t>收集的</w:t>
            </w:r>
            <w:r>
              <w:rPr>
                <w:rFonts w:hint="eastAsia"/>
                <w:color w:val="000000"/>
                <w:sz w:val="24"/>
                <w:u w:val="none"/>
                <w:lang w:val="en-US" w:eastAsia="zh-CN"/>
              </w:rPr>
              <w:t>颗粒物</w:t>
            </w:r>
            <w:r>
              <w:rPr>
                <w:color w:val="000000"/>
                <w:sz w:val="24"/>
                <w:highlight w:val="none"/>
                <w:u w:val="none"/>
              </w:rPr>
              <w:t>量为</w:t>
            </w:r>
            <w:r>
              <w:rPr>
                <w:rFonts w:hint="eastAsia"/>
                <w:color w:val="000000"/>
                <w:sz w:val="24"/>
                <w:highlight w:val="none"/>
                <w:u w:val="none"/>
                <w:lang w:val="en-US" w:eastAsia="zh-CN"/>
              </w:rPr>
              <w:t>7.5</w:t>
            </w:r>
            <w:r>
              <w:rPr>
                <w:color w:val="000000"/>
                <w:sz w:val="24"/>
                <w:highlight w:val="none"/>
                <w:u w:val="none"/>
              </w:rPr>
              <w:t>t/a</w:t>
            </w:r>
            <w:r>
              <w:rPr>
                <w:rFonts w:hint="eastAsia"/>
                <w:color w:val="000000"/>
                <w:sz w:val="24"/>
                <w:highlight w:val="none"/>
                <w:u w:val="none"/>
                <w:lang w:eastAsia="zh-CN"/>
              </w:rPr>
              <w:t>，</w:t>
            </w:r>
            <w:r>
              <w:rPr>
                <w:rFonts w:hint="eastAsia"/>
                <w:color w:val="000000"/>
                <w:sz w:val="24"/>
                <w:highlight w:val="none"/>
                <w:u w:val="none"/>
                <w:lang w:val="en-US" w:eastAsia="zh-CN"/>
              </w:rPr>
              <w:t>颗粒物</w:t>
            </w:r>
            <w:r>
              <w:rPr>
                <w:color w:val="000000"/>
                <w:sz w:val="24"/>
                <w:highlight w:val="none"/>
                <w:u w:val="none"/>
              </w:rPr>
              <w:t>产生速率为</w:t>
            </w:r>
            <w:r>
              <w:rPr>
                <w:rFonts w:hint="eastAsia"/>
                <w:color w:val="000000"/>
                <w:sz w:val="24"/>
                <w:highlight w:val="none"/>
                <w:u w:val="none"/>
                <w:lang w:val="en-US" w:eastAsia="zh-CN"/>
              </w:rPr>
              <w:t>1.56</w:t>
            </w:r>
            <w:r>
              <w:rPr>
                <w:color w:val="000000"/>
                <w:sz w:val="24"/>
                <w:highlight w:val="none"/>
                <w:u w:val="none"/>
              </w:rPr>
              <w:t>kg/h，产生浓度为</w:t>
            </w:r>
            <w:r>
              <w:rPr>
                <w:rFonts w:hint="eastAsia"/>
                <w:color w:val="000000"/>
                <w:sz w:val="24"/>
                <w:highlight w:val="none"/>
                <w:u w:val="none"/>
                <w:lang w:val="en-US" w:eastAsia="zh-CN"/>
              </w:rPr>
              <w:t>781.25</w:t>
            </w:r>
            <w:r>
              <w:rPr>
                <w:color w:val="000000"/>
                <w:sz w:val="24"/>
                <w:highlight w:val="none"/>
                <w:u w:val="none"/>
              </w:rPr>
              <w:t>mg/m</w:t>
            </w:r>
            <w:r>
              <w:rPr>
                <w:color w:val="000000"/>
                <w:sz w:val="24"/>
                <w:highlight w:val="none"/>
                <w:u w:val="none"/>
                <w:vertAlign w:val="superscript"/>
              </w:rPr>
              <w:t>3</w:t>
            </w:r>
            <w:r>
              <w:rPr>
                <w:rFonts w:hint="eastAsia"/>
                <w:color w:val="000000"/>
                <w:sz w:val="24"/>
                <w:highlight w:val="none"/>
                <w:u w:val="none"/>
                <w:lang w:eastAsia="zh-CN"/>
              </w:rPr>
              <w:t>，</w:t>
            </w:r>
            <w:r>
              <w:rPr>
                <w:color w:val="000000"/>
                <w:sz w:val="24"/>
                <w:highlight w:val="none"/>
                <w:u w:val="none"/>
              </w:rPr>
              <w:t>经</w:t>
            </w:r>
            <w:r>
              <w:rPr>
                <w:rFonts w:hint="eastAsia"/>
                <w:color w:val="000000"/>
                <w:sz w:val="24"/>
                <w:highlight w:val="none"/>
                <w:u w:val="none"/>
                <w:lang w:val="en-US" w:eastAsia="zh-CN"/>
              </w:rPr>
              <w:t>仓顶</w:t>
            </w:r>
            <w:r>
              <w:rPr>
                <w:color w:val="000000"/>
                <w:sz w:val="24"/>
                <w:highlight w:val="none"/>
                <w:u w:val="none"/>
              </w:rPr>
              <w:t>除尘器处理后，</w:t>
            </w:r>
            <w:r>
              <w:rPr>
                <w:rFonts w:hint="eastAsia"/>
                <w:color w:val="000000"/>
                <w:sz w:val="24"/>
                <w:highlight w:val="none"/>
                <w:u w:val="none"/>
                <w:lang w:val="en-US" w:eastAsia="zh-CN"/>
              </w:rPr>
              <w:t>颗粒物</w:t>
            </w:r>
            <w:r>
              <w:rPr>
                <w:color w:val="000000"/>
                <w:sz w:val="24"/>
                <w:highlight w:val="none"/>
                <w:u w:val="none"/>
              </w:rPr>
              <w:t>排放量为</w:t>
            </w:r>
            <w:r>
              <w:rPr>
                <w:rFonts w:hint="eastAsia"/>
                <w:color w:val="000000"/>
                <w:sz w:val="24"/>
                <w:highlight w:val="none"/>
                <w:u w:val="none"/>
                <w:lang w:val="en-US" w:eastAsia="zh-CN"/>
              </w:rPr>
              <w:t>0.075</w:t>
            </w:r>
            <w:r>
              <w:rPr>
                <w:color w:val="000000"/>
                <w:sz w:val="24"/>
                <w:highlight w:val="none"/>
                <w:u w:val="none"/>
              </w:rPr>
              <w:t>t/a，</w:t>
            </w:r>
            <w:r>
              <w:rPr>
                <w:rFonts w:hint="eastAsia"/>
                <w:color w:val="000000"/>
                <w:sz w:val="24"/>
                <w:highlight w:val="none"/>
                <w:u w:val="none"/>
                <w:lang w:val="en-US" w:eastAsia="zh-CN"/>
              </w:rPr>
              <w:t>颗粒物</w:t>
            </w:r>
            <w:r>
              <w:rPr>
                <w:color w:val="000000"/>
                <w:sz w:val="24"/>
                <w:highlight w:val="none"/>
                <w:u w:val="none"/>
              </w:rPr>
              <w:t>排放速率为</w:t>
            </w:r>
            <w:r>
              <w:rPr>
                <w:rFonts w:hint="eastAsia"/>
                <w:color w:val="000000"/>
                <w:sz w:val="24"/>
                <w:highlight w:val="none"/>
                <w:u w:val="none"/>
                <w:lang w:val="en-US" w:eastAsia="zh-CN"/>
              </w:rPr>
              <w:t>0.0156</w:t>
            </w:r>
            <w:r>
              <w:rPr>
                <w:color w:val="000000"/>
                <w:sz w:val="24"/>
                <w:highlight w:val="none"/>
                <w:u w:val="none"/>
              </w:rPr>
              <w:t>kg/h，排放浓度为</w:t>
            </w:r>
            <w:r>
              <w:rPr>
                <w:rFonts w:hint="eastAsia"/>
                <w:color w:val="000000"/>
                <w:sz w:val="24"/>
                <w:highlight w:val="none"/>
                <w:u w:val="none"/>
                <w:lang w:val="en-US" w:eastAsia="zh-CN"/>
              </w:rPr>
              <w:t>7.8</w:t>
            </w:r>
            <w:r>
              <w:rPr>
                <w:color w:val="000000"/>
                <w:sz w:val="24"/>
                <w:highlight w:val="none"/>
                <w:u w:val="none"/>
              </w:rPr>
              <w:t>mg/m</w:t>
            </w:r>
            <w:r>
              <w:rPr>
                <w:color w:val="000000"/>
                <w:sz w:val="24"/>
                <w:highlight w:val="none"/>
                <w:u w:val="none"/>
                <w:vertAlign w:val="superscript"/>
              </w:rPr>
              <w:t>3</w:t>
            </w:r>
            <w:r>
              <w:rPr>
                <w:color w:val="000000"/>
                <w:sz w:val="24"/>
                <w:highlight w:val="none"/>
                <w:u w:val="none"/>
              </w:rPr>
              <w:t>，满足</w:t>
            </w:r>
            <w:r>
              <w:rPr>
                <w:rFonts w:hint="eastAsia"/>
                <w:color w:val="000000"/>
                <w:sz w:val="24"/>
                <w:highlight w:val="none"/>
                <w:u w:val="none"/>
                <w:lang w:eastAsia="zh-CN"/>
              </w:rPr>
              <w:t>《</w:t>
            </w:r>
            <w:r>
              <w:rPr>
                <w:rFonts w:hint="eastAsia"/>
                <w:sz w:val="24"/>
                <w:szCs w:val="24"/>
                <w:highlight w:val="none"/>
                <w:lang w:val="en-US" w:eastAsia="zh-CN"/>
              </w:rPr>
              <w:t>河南省水泥工业大气污染物排放标准</w:t>
            </w:r>
            <w:r>
              <w:rPr>
                <w:rFonts w:hint="eastAsia"/>
                <w:color w:val="000000"/>
                <w:sz w:val="24"/>
                <w:highlight w:val="none"/>
                <w:u w:val="none"/>
                <w:lang w:eastAsia="zh-CN"/>
              </w:rPr>
              <w:t>》（</w:t>
            </w:r>
            <w:r>
              <w:rPr>
                <w:rFonts w:hint="eastAsia"/>
                <w:sz w:val="24"/>
                <w:szCs w:val="24"/>
                <w:highlight w:val="none"/>
                <w:lang w:val="en-US" w:eastAsia="zh-CN"/>
              </w:rPr>
              <w:t>DB41/1953-2020）的</w:t>
            </w:r>
            <w:r>
              <w:rPr>
                <w:color w:val="000000"/>
                <w:sz w:val="24"/>
                <w:highlight w:val="none"/>
                <w:u w:val="none"/>
              </w:rPr>
              <w:t>要求</w:t>
            </w:r>
            <w:r>
              <w:rPr>
                <w:rFonts w:hint="eastAsia"/>
                <w:color w:val="000000"/>
                <w:sz w:val="24"/>
                <w:highlight w:val="none"/>
                <w:u w:val="none"/>
              </w:rPr>
              <w:t>及《重</w:t>
            </w:r>
            <w:r>
              <w:rPr>
                <w:rFonts w:hint="eastAsia"/>
                <w:color w:val="000000"/>
                <w:sz w:val="24"/>
                <w:u w:val="none"/>
              </w:rPr>
              <w:t>污染天气</w:t>
            </w:r>
            <w:r>
              <w:rPr>
                <w:rFonts w:hint="eastAsia"/>
                <w:color w:val="000000"/>
                <w:sz w:val="24"/>
                <w:u w:val="none"/>
                <w:lang w:val="en-US" w:eastAsia="zh-CN"/>
              </w:rPr>
              <w:t>重点</w:t>
            </w:r>
            <w:r>
              <w:rPr>
                <w:rFonts w:hint="eastAsia"/>
                <w:color w:val="000000"/>
                <w:sz w:val="24"/>
                <w:u w:val="none"/>
              </w:rPr>
              <w:t>行业应急减排措施制定技术指南》</w:t>
            </w:r>
            <w:r>
              <w:rPr>
                <w:rFonts w:hint="eastAsia"/>
                <w:sz w:val="24"/>
                <w:szCs w:val="24"/>
                <w:highlight w:val="none"/>
                <w:u w:val="none"/>
                <w:lang w:val="en-US" w:eastAsia="zh-CN"/>
              </w:rPr>
              <w:t>（2020年修订版）</w:t>
            </w:r>
            <w:r>
              <w:rPr>
                <w:rFonts w:hint="default" w:ascii="Times New Roman" w:hAnsi="Times New Roman" w:eastAsia="宋体" w:cs="Times New Roman"/>
                <w:color w:val="auto"/>
                <w:kern w:val="2"/>
                <w:sz w:val="24"/>
                <w:szCs w:val="21"/>
                <w:highlight w:val="none"/>
                <w:lang w:val="en-US" w:eastAsia="zh-CN" w:bidi="ar-SA"/>
              </w:rPr>
              <w:t>（环办大气函[2020]</w:t>
            </w:r>
            <w:r>
              <w:rPr>
                <w:rFonts w:hint="eastAsia" w:ascii="Times New Roman" w:hAnsi="Times New Roman" w:eastAsia="宋体" w:cs="Times New Roman"/>
                <w:color w:val="auto"/>
                <w:kern w:val="2"/>
                <w:sz w:val="24"/>
                <w:szCs w:val="21"/>
                <w:highlight w:val="none"/>
                <w:lang w:val="en-US" w:eastAsia="zh-CN" w:bidi="ar-SA"/>
              </w:rPr>
              <w:t xml:space="preserve"> </w:t>
            </w:r>
            <w:r>
              <w:rPr>
                <w:rFonts w:hint="default" w:ascii="Times New Roman" w:hAnsi="Times New Roman" w:eastAsia="宋体" w:cs="Times New Roman"/>
                <w:color w:val="auto"/>
                <w:kern w:val="2"/>
                <w:sz w:val="24"/>
                <w:szCs w:val="21"/>
                <w:highlight w:val="none"/>
                <w:lang w:val="en-US" w:eastAsia="zh-CN" w:bidi="ar-SA"/>
              </w:rPr>
              <w:t>340号）</w:t>
            </w:r>
            <w:r>
              <w:rPr>
                <w:rFonts w:hint="eastAsia"/>
                <w:sz w:val="24"/>
                <w:u w:val="none"/>
              </w:rPr>
              <w:t>中排放限值（</w:t>
            </w:r>
            <w:r>
              <w:rPr>
                <w:rFonts w:hint="eastAsia"/>
                <w:sz w:val="24"/>
                <w:u w:val="none"/>
                <w:lang w:val="en-US" w:eastAsia="zh-CN"/>
              </w:rPr>
              <w:t>颗粒物</w:t>
            </w:r>
            <w:r>
              <w:rPr>
                <w:rFonts w:hint="eastAsia"/>
                <w:sz w:val="24"/>
                <w:u w:val="none"/>
              </w:rPr>
              <w:t>有组织10mg/m</w:t>
            </w:r>
            <w:r>
              <w:rPr>
                <w:rFonts w:hint="eastAsia"/>
                <w:sz w:val="24"/>
                <w:u w:val="none"/>
                <w:vertAlign w:val="superscript"/>
              </w:rPr>
              <w:t>3</w:t>
            </w:r>
            <w:r>
              <w:rPr>
                <w:rFonts w:hint="eastAsia"/>
                <w:sz w:val="24"/>
                <w:u w:val="none"/>
              </w:rPr>
              <w:t>）要求</w:t>
            </w:r>
            <w:r>
              <w:rPr>
                <w:color w:val="000000"/>
                <w:sz w:val="24"/>
                <w:u w:val="none"/>
              </w:rPr>
              <w:t>。</w:t>
            </w:r>
          </w:p>
          <w:p w14:paraId="2E47CFB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000000"/>
                <w:sz w:val="24"/>
                <w:highlight w:val="none"/>
                <w:u w:val="none"/>
              </w:rPr>
            </w:pPr>
            <w:r>
              <w:rPr>
                <w:rFonts w:hint="eastAsia" w:cs="宋体"/>
                <w:bCs/>
                <w:color w:val="000000"/>
                <w:kern w:val="0"/>
                <w:sz w:val="24"/>
                <w:highlight w:val="none"/>
                <w:u w:val="none"/>
              </w:rPr>
              <w:t>（</w:t>
            </w:r>
            <w:r>
              <w:rPr>
                <w:rFonts w:hint="eastAsia" w:cs="宋体"/>
                <w:bCs/>
                <w:color w:val="000000"/>
                <w:kern w:val="0"/>
                <w:sz w:val="24"/>
                <w:highlight w:val="none"/>
                <w:u w:val="none"/>
                <w:lang w:val="en-US" w:eastAsia="zh-CN"/>
              </w:rPr>
              <w:t>2</w:t>
            </w:r>
            <w:r>
              <w:rPr>
                <w:rFonts w:hint="eastAsia" w:cs="宋体"/>
                <w:bCs/>
                <w:color w:val="000000"/>
                <w:kern w:val="0"/>
                <w:sz w:val="24"/>
                <w:highlight w:val="none"/>
                <w:u w:val="none"/>
              </w:rPr>
              <w:t>）</w:t>
            </w:r>
            <w:r>
              <w:rPr>
                <w:rFonts w:hint="eastAsia" w:cs="宋体"/>
                <w:bCs/>
                <w:color w:val="000000"/>
                <w:kern w:val="0"/>
                <w:sz w:val="24"/>
                <w:highlight w:val="none"/>
                <w:u w:val="none"/>
                <w:lang w:val="en-US" w:eastAsia="zh-CN"/>
              </w:rPr>
              <w:t>配料仓给料工序颗粒物产污情况分析</w:t>
            </w:r>
          </w:p>
          <w:p w14:paraId="28092CB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000000"/>
                <w:kern w:val="0"/>
                <w:sz w:val="24"/>
                <w:u w:val="none"/>
                <w:lang w:val="en-US" w:eastAsia="zh-CN"/>
              </w:rPr>
            </w:pPr>
            <w:r>
              <w:rPr>
                <w:rFonts w:hint="eastAsia"/>
                <w:color w:val="000000"/>
                <w:sz w:val="24"/>
                <w:highlight w:val="none"/>
                <w:u w:val="none"/>
                <w:lang w:val="en-US" w:eastAsia="zh-CN"/>
              </w:rPr>
              <w:t>其他原材料运</w:t>
            </w:r>
            <w:r>
              <w:rPr>
                <w:color w:val="000000"/>
                <w:sz w:val="24"/>
                <w:highlight w:val="none"/>
                <w:u w:val="none"/>
              </w:rPr>
              <w:t>入</w:t>
            </w:r>
            <w:r>
              <w:rPr>
                <w:rFonts w:hint="eastAsia"/>
                <w:color w:val="000000"/>
                <w:sz w:val="24"/>
                <w:highlight w:val="none"/>
                <w:u w:val="none"/>
                <w:lang w:val="en-US" w:eastAsia="zh-CN"/>
              </w:rPr>
              <w:t>配料仓</w:t>
            </w:r>
            <w:r>
              <w:rPr>
                <w:rFonts w:hint="eastAsia"/>
                <w:color w:val="000000"/>
                <w:sz w:val="24"/>
                <w:highlight w:val="none"/>
                <w:u w:val="none"/>
              </w:rPr>
              <w:t>给料</w:t>
            </w:r>
            <w:r>
              <w:rPr>
                <w:color w:val="000000"/>
                <w:sz w:val="24"/>
                <w:highlight w:val="none"/>
                <w:u w:val="none"/>
              </w:rPr>
              <w:t>机时会产生投料</w:t>
            </w:r>
            <w:r>
              <w:rPr>
                <w:rFonts w:hint="eastAsia"/>
                <w:color w:val="000000"/>
                <w:sz w:val="24"/>
                <w:highlight w:val="none"/>
                <w:u w:val="none"/>
                <w:lang w:val="en-US" w:eastAsia="zh-CN"/>
              </w:rPr>
              <w:t>颗粒物</w:t>
            </w:r>
            <w:r>
              <w:rPr>
                <w:color w:val="000000"/>
                <w:sz w:val="24"/>
                <w:highlight w:val="none"/>
                <w:u w:val="none"/>
              </w:rPr>
              <w:t>。根据</w:t>
            </w:r>
            <w:r>
              <w:rPr>
                <w:color w:val="000000"/>
                <w:kern w:val="0"/>
                <w:sz w:val="24"/>
                <w:highlight w:val="none"/>
                <w:u w:val="none"/>
                <w:lang w:val="zh-CN"/>
              </w:rPr>
              <w:t>《逸散性工业粉尘控制技术》（出版日期1989年）及《工业污染核算》（出版日期2007年）中</w:t>
            </w:r>
            <w:r>
              <w:rPr>
                <w:rFonts w:hint="eastAsia"/>
                <w:color w:val="000000"/>
                <w:kern w:val="0"/>
                <w:sz w:val="24"/>
                <w:highlight w:val="none"/>
                <w:u w:val="none"/>
                <w:lang w:val="en-US" w:eastAsia="zh-CN"/>
              </w:rPr>
              <w:t>提供的“石块和砾石”上料过程中排放因子为0.05</w:t>
            </w:r>
            <w:r>
              <w:rPr>
                <w:b w:val="0"/>
                <w:bCs w:val="0"/>
                <w:color w:val="000000"/>
                <w:sz w:val="24"/>
                <w:szCs w:val="24"/>
                <w:highlight w:val="none"/>
                <w:u w:val="none"/>
              </w:rPr>
              <w:t>kg/t</w:t>
            </w:r>
            <w:r>
              <w:rPr>
                <w:color w:val="000000"/>
                <w:kern w:val="0"/>
                <w:sz w:val="24"/>
                <w:highlight w:val="none"/>
                <w:u w:val="none"/>
                <w:lang w:val="zh-CN"/>
              </w:rPr>
              <w:t>，</w:t>
            </w:r>
            <w:r>
              <w:rPr>
                <w:rFonts w:hint="eastAsia"/>
                <w:color w:val="000000"/>
                <w:kern w:val="0"/>
                <w:sz w:val="24"/>
                <w:highlight w:val="none"/>
                <w:u w:val="none"/>
                <w:lang w:val="en-US" w:eastAsia="zh-CN"/>
              </w:rPr>
              <w:t>配</w:t>
            </w:r>
            <w:r>
              <w:rPr>
                <w:rFonts w:hint="eastAsia"/>
                <w:color w:val="000000"/>
                <w:kern w:val="0"/>
                <w:sz w:val="24"/>
                <w:u w:val="none"/>
                <w:lang w:val="en-US" w:eastAsia="zh-CN"/>
              </w:rPr>
              <w:t>料仓给料工序产污系数如下表所示：</w:t>
            </w:r>
          </w:p>
          <w:p w14:paraId="7C8E4700">
            <w:pPr>
              <w:pStyle w:val="11"/>
              <w:keepNext w:val="0"/>
              <w:keepLines w:val="0"/>
              <w:pageBreakBefore w:val="0"/>
              <w:widowControl w:val="0"/>
              <w:kinsoku/>
              <w:wordWrap/>
              <w:overflowPunct/>
              <w:topLinePunct w:val="0"/>
              <w:autoSpaceDE/>
              <w:autoSpaceDN/>
              <w:bidi w:val="0"/>
              <w:adjustRightInd/>
              <w:snapToGrid/>
              <w:spacing w:after="0" w:line="500" w:lineRule="exact"/>
              <w:jc w:val="center"/>
              <w:textAlignment w:val="auto"/>
              <w:rPr>
                <w:rFonts w:eastAsia="黑体"/>
                <w:b w:val="0"/>
                <w:bCs w:val="0"/>
                <w:color w:val="000000"/>
                <w:sz w:val="24"/>
                <w:u w:val="none"/>
                <w:lang w:val="en-US" w:eastAsia="zh-CN"/>
              </w:rPr>
            </w:pPr>
            <w:r>
              <w:rPr>
                <w:rFonts w:eastAsia="黑体"/>
                <w:b w:val="0"/>
                <w:bCs w:val="0"/>
                <w:color w:val="000000"/>
                <w:sz w:val="24"/>
                <w:highlight w:val="none"/>
                <w:u w:val="none"/>
                <w:lang w:val="en-US" w:eastAsia="zh-CN"/>
              </w:rPr>
              <w:t>表</w:t>
            </w:r>
            <w:r>
              <w:rPr>
                <w:rFonts w:hint="eastAsia" w:eastAsia="黑体"/>
                <w:b w:val="0"/>
                <w:bCs w:val="0"/>
                <w:color w:val="000000"/>
                <w:sz w:val="24"/>
                <w:highlight w:val="none"/>
                <w:u w:val="none"/>
                <w:lang w:val="en-US" w:eastAsia="zh-CN"/>
              </w:rPr>
              <w:t>4-4</w:t>
            </w:r>
            <w:r>
              <w:rPr>
                <w:rFonts w:eastAsia="黑体"/>
                <w:b w:val="0"/>
                <w:bCs w:val="0"/>
                <w:color w:val="000000"/>
                <w:sz w:val="24"/>
                <w:highlight w:val="none"/>
                <w:u w:val="none"/>
                <w:lang w:val="en-US" w:eastAsia="zh-CN"/>
              </w:rPr>
              <w:t xml:space="preserve"> </w:t>
            </w:r>
            <w:r>
              <w:rPr>
                <w:rFonts w:hint="eastAsia" w:eastAsia="黑体"/>
                <w:b w:val="0"/>
                <w:bCs w:val="0"/>
                <w:color w:val="000000"/>
                <w:sz w:val="24"/>
                <w:highlight w:val="none"/>
                <w:u w:val="none"/>
                <w:lang w:val="en-US" w:eastAsia="zh-CN"/>
              </w:rPr>
              <w:t>配料工序</w:t>
            </w:r>
            <w:r>
              <w:rPr>
                <w:rFonts w:eastAsia="黑体"/>
                <w:b w:val="0"/>
                <w:bCs w:val="0"/>
                <w:color w:val="000000"/>
                <w:sz w:val="24"/>
                <w:highlight w:val="none"/>
                <w:u w:val="none"/>
                <w:lang w:val="en-US" w:eastAsia="zh-CN"/>
              </w:rPr>
              <w:t>颗粒物产生量情况</w:t>
            </w:r>
            <w:r>
              <w:rPr>
                <w:rFonts w:eastAsia="黑体"/>
                <w:b w:val="0"/>
                <w:bCs w:val="0"/>
                <w:color w:val="000000"/>
                <w:sz w:val="24"/>
                <w:u w:val="none"/>
                <w:lang w:val="en-US" w:eastAsia="zh-CN"/>
              </w:rPr>
              <w:t>一览表</w:t>
            </w:r>
          </w:p>
          <w:tbl>
            <w:tblPr>
              <w:tblStyle w:val="23"/>
              <w:tblW w:w="791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Layout w:type="fixed"/>
              <w:tblCellMar>
                <w:top w:w="0" w:type="dxa"/>
                <w:left w:w="108" w:type="dxa"/>
                <w:bottom w:w="0" w:type="dxa"/>
                <w:right w:w="108" w:type="dxa"/>
              </w:tblCellMar>
            </w:tblPr>
            <w:tblGrid>
              <w:gridCol w:w="671"/>
              <w:gridCol w:w="859"/>
              <w:gridCol w:w="1669"/>
              <w:gridCol w:w="1536"/>
              <w:gridCol w:w="1492"/>
              <w:gridCol w:w="1690"/>
            </w:tblGrid>
            <w:tr w14:paraId="3EBF1999">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636" w:hRule="atLeast"/>
                <w:jc w:val="center"/>
              </w:trPr>
              <w:tc>
                <w:tcPr>
                  <w:tcW w:w="423" w:type="pct"/>
                  <w:tcBorders>
                    <w:tl2br w:val="nil"/>
                    <w:tr2bl w:val="nil"/>
                  </w:tcBorders>
                  <w:noWrap w:val="0"/>
                  <w:vAlign w:val="center"/>
                </w:tcPr>
                <w:p w14:paraId="0DC9C34E">
                  <w:pPr>
                    <w:adjustRightInd w:val="0"/>
                    <w:snapToGrid w:val="0"/>
                    <w:jc w:val="center"/>
                    <w:rPr>
                      <w:b w:val="0"/>
                      <w:bCs w:val="0"/>
                      <w:color w:val="000000"/>
                      <w:szCs w:val="21"/>
                      <w:u w:val="none"/>
                    </w:rPr>
                  </w:pPr>
                  <w:r>
                    <w:rPr>
                      <w:b w:val="0"/>
                      <w:bCs w:val="0"/>
                      <w:color w:val="000000"/>
                      <w:szCs w:val="21"/>
                      <w:u w:val="none"/>
                    </w:rPr>
                    <w:t>序号</w:t>
                  </w:r>
                </w:p>
              </w:tc>
              <w:tc>
                <w:tcPr>
                  <w:tcW w:w="542" w:type="pct"/>
                  <w:tcBorders>
                    <w:tl2br w:val="nil"/>
                    <w:tr2bl w:val="nil"/>
                  </w:tcBorders>
                  <w:noWrap w:val="0"/>
                  <w:vAlign w:val="center"/>
                </w:tcPr>
                <w:p w14:paraId="0D387B75">
                  <w:pPr>
                    <w:adjustRightInd w:val="0"/>
                    <w:snapToGrid w:val="0"/>
                    <w:jc w:val="center"/>
                    <w:rPr>
                      <w:b w:val="0"/>
                      <w:bCs w:val="0"/>
                      <w:color w:val="000000"/>
                      <w:szCs w:val="21"/>
                      <w:u w:val="none"/>
                    </w:rPr>
                  </w:pPr>
                  <w:r>
                    <w:rPr>
                      <w:b w:val="0"/>
                      <w:bCs w:val="0"/>
                      <w:color w:val="000000"/>
                      <w:szCs w:val="21"/>
                      <w:u w:val="none"/>
                    </w:rPr>
                    <w:t>设备</w:t>
                  </w:r>
                </w:p>
              </w:tc>
              <w:tc>
                <w:tcPr>
                  <w:tcW w:w="1054" w:type="pct"/>
                  <w:tcBorders>
                    <w:tl2br w:val="nil"/>
                    <w:tr2bl w:val="nil"/>
                  </w:tcBorders>
                  <w:noWrap w:val="0"/>
                  <w:vAlign w:val="center"/>
                </w:tcPr>
                <w:p w14:paraId="3BF824A4">
                  <w:pPr>
                    <w:adjustRightInd w:val="0"/>
                    <w:snapToGrid w:val="0"/>
                    <w:jc w:val="center"/>
                    <w:rPr>
                      <w:b w:val="0"/>
                      <w:bCs w:val="0"/>
                      <w:color w:val="000000"/>
                      <w:szCs w:val="21"/>
                      <w:u w:val="none"/>
                    </w:rPr>
                  </w:pPr>
                  <w:r>
                    <w:rPr>
                      <w:b w:val="0"/>
                      <w:bCs w:val="0"/>
                      <w:color w:val="000000"/>
                      <w:szCs w:val="21"/>
                      <w:u w:val="none"/>
                    </w:rPr>
                    <w:t>产污设施/工段</w:t>
                  </w:r>
                </w:p>
              </w:tc>
              <w:tc>
                <w:tcPr>
                  <w:tcW w:w="970" w:type="pct"/>
                  <w:tcBorders>
                    <w:tl2br w:val="nil"/>
                    <w:tr2bl w:val="nil"/>
                  </w:tcBorders>
                  <w:noWrap w:val="0"/>
                  <w:vAlign w:val="center"/>
                </w:tcPr>
                <w:p w14:paraId="24D9902D">
                  <w:pPr>
                    <w:adjustRightInd w:val="0"/>
                    <w:snapToGrid w:val="0"/>
                    <w:jc w:val="center"/>
                    <w:rPr>
                      <w:b w:val="0"/>
                      <w:bCs w:val="0"/>
                      <w:color w:val="000000"/>
                      <w:szCs w:val="21"/>
                      <w:u w:val="none"/>
                    </w:rPr>
                  </w:pPr>
                  <w:r>
                    <w:rPr>
                      <w:b w:val="0"/>
                      <w:bCs w:val="0"/>
                      <w:color w:val="000000"/>
                      <w:szCs w:val="21"/>
                      <w:u w:val="none"/>
                    </w:rPr>
                    <w:t>产生系数</w:t>
                  </w:r>
                </w:p>
              </w:tc>
              <w:tc>
                <w:tcPr>
                  <w:tcW w:w="942" w:type="pct"/>
                  <w:tcBorders>
                    <w:tl2br w:val="nil"/>
                    <w:tr2bl w:val="nil"/>
                  </w:tcBorders>
                  <w:noWrap w:val="0"/>
                  <w:vAlign w:val="center"/>
                </w:tcPr>
                <w:p w14:paraId="2F6897D0">
                  <w:pPr>
                    <w:adjustRightInd w:val="0"/>
                    <w:snapToGrid w:val="0"/>
                    <w:jc w:val="center"/>
                    <w:rPr>
                      <w:b w:val="0"/>
                      <w:bCs w:val="0"/>
                      <w:color w:val="000000"/>
                      <w:szCs w:val="21"/>
                      <w:highlight w:val="none"/>
                      <w:u w:val="none"/>
                    </w:rPr>
                  </w:pPr>
                  <w:r>
                    <w:rPr>
                      <w:b w:val="0"/>
                      <w:bCs w:val="0"/>
                      <w:color w:val="000000"/>
                      <w:szCs w:val="21"/>
                      <w:highlight w:val="none"/>
                      <w:u w:val="none"/>
                    </w:rPr>
                    <w:t>物料加工量（t/a）</w:t>
                  </w:r>
                </w:p>
              </w:tc>
              <w:tc>
                <w:tcPr>
                  <w:tcW w:w="1067" w:type="pct"/>
                  <w:tcBorders>
                    <w:tl2br w:val="nil"/>
                    <w:tr2bl w:val="nil"/>
                  </w:tcBorders>
                  <w:noWrap w:val="0"/>
                  <w:vAlign w:val="center"/>
                </w:tcPr>
                <w:p w14:paraId="21003F78">
                  <w:pPr>
                    <w:adjustRightInd w:val="0"/>
                    <w:snapToGrid w:val="0"/>
                    <w:jc w:val="center"/>
                    <w:rPr>
                      <w:b w:val="0"/>
                      <w:bCs w:val="0"/>
                      <w:color w:val="000000"/>
                      <w:szCs w:val="21"/>
                      <w:u w:val="none"/>
                    </w:rPr>
                  </w:pPr>
                  <w:r>
                    <w:rPr>
                      <w:b w:val="0"/>
                      <w:bCs w:val="0"/>
                      <w:color w:val="000000"/>
                      <w:szCs w:val="21"/>
                      <w:u w:val="none"/>
                    </w:rPr>
                    <w:t>颗粒物产生量（t/a）</w:t>
                  </w:r>
                </w:p>
              </w:tc>
            </w:tr>
            <w:tr w14:paraId="56120395">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459" w:hRule="atLeast"/>
                <w:jc w:val="center"/>
              </w:trPr>
              <w:tc>
                <w:tcPr>
                  <w:tcW w:w="423" w:type="pct"/>
                  <w:tcBorders>
                    <w:tl2br w:val="nil"/>
                    <w:tr2bl w:val="nil"/>
                  </w:tcBorders>
                  <w:noWrap w:val="0"/>
                  <w:vAlign w:val="center"/>
                </w:tcPr>
                <w:p w14:paraId="6495BFCF">
                  <w:pPr>
                    <w:adjustRightInd w:val="0"/>
                    <w:snapToGrid w:val="0"/>
                    <w:jc w:val="center"/>
                    <w:rPr>
                      <w:b w:val="0"/>
                      <w:bCs w:val="0"/>
                      <w:color w:val="000000"/>
                      <w:szCs w:val="21"/>
                      <w:highlight w:val="none"/>
                      <w:u w:val="none"/>
                    </w:rPr>
                  </w:pPr>
                  <w:r>
                    <w:rPr>
                      <w:b w:val="0"/>
                      <w:bCs w:val="0"/>
                      <w:color w:val="000000"/>
                      <w:szCs w:val="21"/>
                      <w:highlight w:val="none"/>
                      <w:u w:val="none"/>
                    </w:rPr>
                    <w:t>1</w:t>
                  </w:r>
                </w:p>
              </w:tc>
              <w:tc>
                <w:tcPr>
                  <w:tcW w:w="542" w:type="pct"/>
                  <w:tcBorders>
                    <w:tl2br w:val="nil"/>
                    <w:tr2bl w:val="nil"/>
                  </w:tcBorders>
                  <w:noWrap w:val="0"/>
                  <w:vAlign w:val="center"/>
                </w:tcPr>
                <w:p w14:paraId="53E07E98">
                  <w:pPr>
                    <w:snapToGrid w:val="0"/>
                    <w:jc w:val="center"/>
                    <w:rPr>
                      <w:b w:val="0"/>
                      <w:bCs w:val="0"/>
                      <w:color w:val="000000"/>
                      <w:szCs w:val="21"/>
                      <w:highlight w:val="none"/>
                      <w:u w:val="none"/>
                    </w:rPr>
                  </w:pPr>
                  <w:r>
                    <w:rPr>
                      <w:b w:val="0"/>
                      <w:bCs w:val="0"/>
                      <w:color w:val="000000"/>
                      <w:szCs w:val="21"/>
                      <w:highlight w:val="none"/>
                      <w:u w:val="none"/>
                    </w:rPr>
                    <w:t>给料机</w:t>
                  </w:r>
                </w:p>
              </w:tc>
              <w:tc>
                <w:tcPr>
                  <w:tcW w:w="1054" w:type="pct"/>
                  <w:tcBorders>
                    <w:tl2br w:val="nil"/>
                    <w:tr2bl w:val="nil"/>
                  </w:tcBorders>
                  <w:noWrap w:val="0"/>
                  <w:vAlign w:val="center"/>
                </w:tcPr>
                <w:p w14:paraId="0B191952">
                  <w:pPr>
                    <w:snapToGrid w:val="0"/>
                    <w:jc w:val="center"/>
                    <w:rPr>
                      <w:b w:val="0"/>
                      <w:bCs w:val="0"/>
                      <w:color w:val="000000"/>
                      <w:szCs w:val="21"/>
                      <w:highlight w:val="none"/>
                      <w:u w:val="none"/>
                    </w:rPr>
                  </w:pPr>
                  <w:r>
                    <w:rPr>
                      <w:b w:val="0"/>
                      <w:bCs w:val="0"/>
                      <w:color w:val="000000"/>
                      <w:szCs w:val="21"/>
                      <w:highlight w:val="none"/>
                      <w:u w:val="none"/>
                    </w:rPr>
                    <w:t>进料口</w:t>
                  </w:r>
                </w:p>
              </w:tc>
              <w:tc>
                <w:tcPr>
                  <w:tcW w:w="970" w:type="pct"/>
                  <w:tcBorders>
                    <w:tl2br w:val="nil"/>
                    <w:tr2bl w:val="nil"/>
                  </w:tcBorders>
                  <w:noWrap w:val="0"/>
                  <w:vAlign w:val="center"/>
                </w:tcPr>
                <w:p w14:paraId="0F218525">
                  <w:pPr>
                    <w:adjustRightInd w:val="0"/>
                    <w:snapToGrid w:val="0"/>
                    <w:jc w:val="center"/>
                    <w:rPr>
                      <w:b w:val="0"/>
                      <w:bCs w:val="0"/>
                      <w:color w:val="000000"/>
                      <w:szCs w:val="21"/>
                      <w:highlight w:val="none"/>
                      <w:u w:val="none"/>
                    </w:rPr>
                  </w:pPr>
                  <w:r>
                    <w:rPr>
                      <w:b w:val="0"/>
                      <w:bCs w:val="0"/>
                      <w:color w:val="000000"/>
                      <w:szCs w:val="21"/>
                      <w:highlight w:val="none"/>
                      <w:u w:val="none"/>
                    </w:rPr>
                    <w:t>0.0</w:t>
                  </w:r>
                  <w:r>
                    <w:rPr>
                      <w:rFonts w:hint="eastAsia"/>
                      <w:b w:val="0"/>
                      <w:bCs w:val="0"/>
                      <w:color w:val="000000"/>
                      <w:szCs w:val="21"/>
                      <w:highlight w:val="none"/>
                      <w:u w:val="none"/>
                      <w:lang w:val="en-US" w:eastAsia="zh-CN"/>
                    </w:rPr>
                    <w:t>5</w:t>
                  </w:r>
                  <w:r>
                    <w:rPr>
                      <w:b w:val="0"/>
                      <w:bCs w:val="0"/>
                      <w:color w:val="000000"/>
                      <w:szCs w:val="21"/>
                      <w:highlight w:val="none"/>
                      <w:u w:val="none"/>
                    </w:rPr>
                    <w:t>kg/t</w:t>
                  </w:r>
                  <w:r>
                    <w:rPr>
                      <w:rFonts w:hint="eastAsia"/>
                      <w:b w:val="0"/>
                      <w:bCs w:val="0"/>
                      <w:color w:val="000000"/>
                      <w:szCs w:val="21"/>
                      <w:highlight w:val="none"/>
                      <w:u w:val="none"/>
                      <w:lang w:val="en-US" w:eastAsia="zh-CN"/>
                    </w:rPr>
                    <w:t>-</w:t>
                  </w:r>
                  <w:r>
                    <w:rPr>
                      <w:b w:val="0"/>
                      <w:bCs w:val="0"/>
                      <w:color w:val="000000"/>
                      <w:szCs w:val="21"/>
                      <w:highlight w:val="none"/>
                      <w:u w:val="none"/>
                      <w:vertAlign w:val="baseline"/>
                    </w:rPr>
                    <w:t>原料</w:t>
                  </w:r>
                </w:p>
              </w:tc>
              <w:tc>
                <w:tcPr>
                  <w:tcW w:w="942" w:type="pct"/>
                  <w:tcBorders>
                    <w:tl2br w:val="nil"/>
                    <w:tr2bl w:val="nil"/>
                  </w:tcBorders>
                  <w:noWrap w:val="0"/>
                  <w:vAlign w:val="center"/>
                </w:tcPr>
                <w:p w14:paraId="2A9C64AA">
                  <w:pPr>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140000</w:t>
                  </w:r>
                </w:p>
              </w:tc>
              <w:tc>
                <w:tcPr>
                  <w:tcW w:w="1067" w:type="pct"/>
                  <w:tcBorders>
                    <w:tl2br w:val="nil"/>
                    <w:tr2bl w:val="nil"/>
                  </w:tcBorders>
                  <w:noWrap w:val="0"/>
                  <w:vAlign w:val="center"/>
                </w:tcPr>
                <w:p w14:paraId="06396207">
                  <w:pPr>
                    <w:adjustRightInd w:val="0"/>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7</w:t>
                  </w:r>
                </w:p>
              </w:tc>
            </w:tr>
          </w:tbl>
          <w:p w14:paraId="1F2DB4E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000000"/>
                <w:sz w:val="24"/>
                <w:u w:val="none"/>
              </w:rPr>
            </w:pPr>
            <w:r>
              <w:rPr>
                <w:color w:val="000000"/>
                <w:sz w:val="24"/>
                <w:highlight w:val="none"/>
                <w:u w:val="none"/>
              </w:rPr>
              <w:t>经计算，</w:t>
            </w:r>
            <w:r>
              <w:rPr>
                <w:rFonts w:hint="eastAsia"/>
                <w:color w:val="000000"/>
                <w:sz w:val="24"/>
                <w:highlight w:val="none"/>
                <w:u w:val="none"/>
                <w:lang w:val="en-US" w:eastAsia="zh-CN"/>
              </w:rPr>
              <w:t>通过</w:t>
            </w:r>
            <w:r>
              <w:rPr>
                <w:rFonts w:hint="eastAsia"/>
                <w:color w:val="000000"/>
                <w:sz w:val="24"/>
                <w:highlight w:val="none"/>
                <w:u w:val="none"/>
              </w:rPr>
              <w:t>集气罩</w:t>
            </w:r>
            <w:r>
              <w:rPr>
                <w:color w:val="000000"/>
                <w:sz w:val="24"/>
                <w:highlight w:val="none"/>
                <w:u w:val="none"/>
              </w:rPr>
              <w:t>收集的</w:t>
            </w:r>
            <w:r>
              <w:rPr>
                <w:rFonts w:hint="eastAsia"/>
                <w:color w:val="000000"/>
                <w:sz w:val="24"/>
                <w:highlight w:val="none"/>
                <w:u w:val="none"/>
                <w:lang w:val="en-US" w:eastAsia="zh-CN"/>
              </w:rPr>
              <w:t>颗粒物</w:t>
            </w:r>
            <w:r>
              <w:rPr>
                <w:color w:val="000000"/>
                <w:sz w:val="24"/>
                <w:highlight w:val="none"/>
                <w:u w:val="none"/>
              </w:rPr>
              <w:t>量为</w:t>
            </w:r>
            <w:r>
              <w:rPr>
                <w:rFonts w:hint="eastAsia"/>
                <w:color w:val="000000"/>
                <w:sz w:val="24"/>
                <w:highlight w:val="none"/>
                <w:u w:val="none"/>
                <w:lang w:val="en-US" w:eastAsia="zh-CN"/>
              </w:rPr>
              <w:t>6.65</w:t>
            </w:r>
            <w:r>
              <w:rPr>
                <w:color w:val="000000"/>
                <w:sz w:val="24"/>
                <w:highlight w:val="none"/>
                <w:u w:val="none"/>
              </w:rPr>
              <w:t>t/a，</w:t>
            </w:r>
            <w:r>
              <w:rPr>
                <w:rFonts w:hint="eastAsia"/>
                <w:color w:val="000000"/>
                <w:sz w:val="24"/>
                <w:highlight w:val="none"/>
                <w:u w:val="none"/>
                <w:lang w:val="en-US" w:eastAsia="zh-CN"/>
              </w:rPr>
              <w:t>颗粒物</w:t>
            </w:r>
            <w:r>
              <w:rPr>
                <w:color w:val="000000"/>
                <w:sz w:val="24"/>
                <w:highlight w:val="none"/>
                <w:u w:val="none"/>
              </w:rPr>
              <w:t>产生速率为</w:t>
            </w:r>
            <w:r>
              <w:rPr>
                <w:rFonts w:hint="eastAsia"/>
                <w:color w:val="000000"/>
                <w:sz w:val="24"/>
                <w:highlight w:val="none"/>
                <w:u w:val="none"/>
                <w:lang w:val="en-US" w:eastAsia="zh-CN"/>
              </w:rPr>
              <w:t>1.39</w:t>
            </w:r>
            <w:r>
              <w:rPr>
                <w:color w:val="000000"/>
                <w:sz w:val="24"/>
                <w:highlight w:val="none"/>
                <w:u w:val="none"/>
              </w:rPr>
              <w:t>kg/h，产生浓度为</w:t>
            </w:r>
            <w:r>
              <w:rPr>
                <w:rFonts w:hint="eastAsia"/>
                <w:color w:val="000000"/>
                <w:sz w:val="24"/>
                <w:highlight w:val="none"/>
                <w:u w:val="none"/>
                <w:lang w:val="en-US" w:eastAsia="zh-CN"/>
              </w:rPr>
              <w:t>138.54</w:t>
            </w:r>
            <w:r>
              <w:rPr>
                <w:color w:val="000000"/>
                <w:sz w:val="24"/>
                <w:highlight w:val="none"/>
                <w:u w:val="none"/>
              </w:rPr>
              <w:t>mg/m</w:t>
            </w:r>
            <w:r>
              <w:rPr>
                <w:color w:val="000000"/>
                <w:sz w:val="24"/>
                <w:highlight w:val="none"/>
                <w:u w:val="none"/>
                <w:vertAlign w:val="superscript"/>
              </w:rPr>
              <w:t>3</w:t>
            </w:r>
            <w:r>
              <w:rPr>
                <w:rFonts w:hint="eastAsia"/>
                <w:color w:val="000000"/>
                <w:sz w:val="24"/>
                <w:highlight w:val="none"/>
                <w:u w:val="none"/>
                <w:lang w:eastAsia="zh-CN"/>
              </w:rPr>
              <w:t>，</w:t>
            </w:r>
            <w:r>
              <w:rPr>
                <w:rFonts w:hint="eastAsia"/>
                <w:bCs/>
                <w:color w:val="000000"/>
                <w:sz w:val="24"/>
                <w:highlight w:val="none"/>
                <w:u w:val="none"/>
                <w:lang w:val="en-US" w:eastAsia="zh-CN"/>
              </w:rPr>
              <w:t>配料仓</w:t>
            </w:r>
            <w:r>
              <w:rPr>
                <w:rFonts w:hint="eastAsia"/>
                <w:bCs/>
                <w:color w:val="000000"/>
                <w:sz w:val="24"/>
                <w:highlight w:val="none"/>
                <w:u w:val="none"/>
              </w:rPr>
              <w:t>给</w:t>
            </w:r>
            <w:r>
              <w:rPr>
                <w:bCs/>
                <w:color w:val="000000"/>
                <w:sz w:val="24"/>
                <w:highlight w:val="none"/>
                <w:u w:val="none"/>
              </w:rPr>
              <w:t>料机</w:t>
            </w:r>
            <w:r>
              <w:rPr>
                <w:rFonts w:hint="eastAsia"/>
                <w:bCs/>
                <w:color w:val="000000"/>
                <w:sz w:val="24"/>
                <w:highlight w:val="none"/>
                <w:u w:val="none"/>
                <w:lang w:val="en-US" w:eastAsia="zh-CN"/>
              </w:rPr>
              <w:t>进料口产尘点处</w:t>
            </w:r>
            <w:r>
              <w:rPr>
                <w:rFonts w:hint="eastAsia"/>
                <w:bCs/>
                <w:color w:val="000000"/>
                <w:sz w:val="24"/>
                <w:highlight w:val="none"/>
                <w:u w:val="none"/>
              </w:rPr>
              <w:t>设置集气</w:t>
            </w:r>
            <w:r>
              <w:rPr>
                <w:rFonts w:hint="eastAsia"/>
                <w:bCs/>
                <w:color w:val="000000"/>
                <w:sz w:val="24"/>
                <w:highlight w:val="none"/>
                <w:u w:val="none"/>
                <w:lang w:val="en-US" w:eastAsia="zh-CN"/>
              </w:rPr>
              <w:t>装置</w:t>
            </w:r>
            <w:r>
              <w:rPr>
                <w:rFonts w:hint="eastAsia"/>
                <w:bCs/>
                <w:color w:val="000000"/>
                <w:sz w:val="24"/>
                <w:highlight w:val="none"/>
                <w:u w:val="none"/>
              </w:rPr>
              <w:t>，</w:t>
            </w:r>
            <w:r>
              <w:rPr>
                <w:rFonts w:hint="eastAsia"/>
                <w:bCs/>
                <w:color w:val="000000"/>
                <w:sz w:val="24"/>
                <w:highlight w:val="none"/>
                <w:u w:val="none"/>
                <w:lang w:val="en-US" w:eastAsia="zh-CN"/>
              </w:rPr>
              <w:t>通过</w:t>
            </w:r>
            <w:r>
              <w:rPr>
                <w:bCs/>
                <w:color w:val="000000"/>
                <w:sz w:val="24"/>
                <w:highlight w:val="none"/>
                <w:u w:val="none"/>
              </w:rPr>
              <w:t>集气罩</w:t>
            </w:r>
            <w:r>
              <w:rPr>
                <w:rFonts w:hint="eastAsia"/>
                <w:bCs/>
                <w:color w:val="000000"/>
                <w:sz w:val="24"/>
                <w:highlight w:val="none"/>
                <w:u w:val="none"/>
              </w:rPr>
              <w:t>收集的废气经袋式除尘器</w:t>
            </w:r>
            <w:r>
              <w:rPr>
                <w:rFonts w:hint="eastAsia"/>
                <w:bCs/>
                <w:color w:val="000000"/>
                <w:sz w:val="24"/>
                <w:highlight w:val="none"/>
                <w:u w:val="none"/>
                <w:lang w:eastAsia="zh-CN"/>
              </w:rPr>
              <w:t>（</w:t>
            </w:r>
            <w:r>
              <w:rPr>
                <w:rFonts w:hint="eastAsia"/>
                <w:bCs/>
                <w:color w:val="000000"/>
                <w:sz w:val="24"/>
                <w:highlight w:val="none"/>
                <w:u w:val="none"/>
                <w:lang w:val="en-US" w:eastAsia="zh-CN"/>
              </w:rPr>
              <w:t>配料仓和搅拌工序共用1套袋式除尘器设备</w:t>
            </w:r>
            <w:r>
              <w:rPr>
                <w:rFonts w:hint="eastAsia"/>
                <w:bCs/>
                <w:color w:val="000000"/>
                <w:sz w:val="24"/>
                <w:highlight w:val="none"/>
                <w:u w:val="none"/>
                <w:lang w:eastAsia="zh-CN"/>
              </w:rPr>
              <w:t>）</w:t>
            </w:r>
            <w:r>
              <w:rPr>
                <w:rFonts w:hint="eastAsia"/>
                <w:bCs/>
                <w:color w:val="000000"/>
                <w:sz w:val="24"/>
                <w:highlight w:val="none"/>
                <w:u w:val="none"/>
              </w:rPr>
              <w:t>进行处理，处理后通过15m高的排气筒排放</w:t>
            </w:r>
            <w:r>
              <w:rPr>
                <w:rFonts w:hint="eastAsia" w:cs="Times New Roman"/>
                <w:color w:val="auto"/>
                <w:sz w:val="24"/>
                <w:szCs w:val="24"/>
                <w:highlight w:val="none"/>
                <w:lang w:val="en-US" w:eastAsia="zh-CN"/>
              </w:rPr>
              <w:t>（DA002）</w:t>
            </w:r>
            <w:r>
              <w:rPr>
                <w:rFonts w:hint="eastAsia"/>
                <w:bCs/>
                <w:color w:val="000000"/>
                <w:sz w:val="24"/>
                <w:highlight w:val="none"/>
                <w:u w:val="none"/>
              </w:rPr>
              <w:t>。</w:t>
            </w:r>
            <w:r>
              <w:rPr>
                <w:color w:val="000000"/>
                <w:sz w:val="24"/>
                <w:highlight w:val="none"/>
                <w:u w:val="none"/>
              </w:rPr>
              <w:t>废气集气效率按9</w:t>
            </w:r>
            <w:r>
              <w:rPr>
                <w:rFonts w:hint="eastAsia"/>
                <w:color w:val="000000"/>
                <w:sz w:val="24"/>
                <w:highlight w:val="none"/>
                <w:u w:val="none"/>
                <w:lang w:val="en-US" w:eastAsia="zh-CN"/>
              </w:rPr>
              <w:t>5</w:t>
            </w:r>
            <w:r>
              <w:rPr>
                <w:color w:val="000000"/>
                <w:sz w:val="24"/>
                <w:highlight w:val="none"/>
                <w:u w:val="none"/>
              </w:rPr>
              <w:t>%计，除尘效率按99%计，风机风量为</w:t>
            </w:r>
            <w:r>
              <w:rPr>
                <w:rFonts w:hint="eastAsia"/>
                <w:color w:val="000000"/>
                <w:sz w:val="24"/>
                <w:highlight w:val="none"/>
                <w:u w:val="none"/>
                <w:lang w:val="en-US" w:eastAsia="zh-CN"/>
              </w:rPr>
              <w:t>10000</w:t>
            </w:r>
            <w:r>
              <w:rPr>
                <w:color w:val="000000"/>
                <w:sz w:val="24"/>
                <w:highlight w:val="none"/>
                <w:u w:val="none"/>
              </w:rPr>
              <w:t>m</w:t>
            </w:r>
            <w:r>
              <w:rPr>
                <w:color w:val="000000"/>
                <w:sz w:val="24"/>
                <w:highlight w:val="none"/>
                <w:u w:val="none"/>
                <w:vertAlign w:val="superscript"/>
              </w:rPr>
              <w:t>3</w:t>
            </w:r>
            <w:r>
              <w:rPr>
                <w:color w:val="000000"/>
                <w:sz w:val="24"/>
                <w:highlight w:val="none"/>
                <w:u w:val="none"/>
              </w:rPr>
              <w:t>/h。经</w:t>
            </w:r>
            <w:r>
              <w:rPr>
                <w:rFonts w:hint="eastAsia"/>
                <w:color w:val="000000"/>
                <w:sz w:val="24"/>
                <w:highlight w:val="none"/>
                <w:u w:val="none"/>
              </w:rPr>
              <w:t>袋式</w:t>
            </w:r>
            <w:r>
              <w:rPr>
                <w:color w:val="000000"/>
                <w:sz w:val="24"/>
                <w:highlight w:val="none"/>
                <w:u w:val="none"/>
              </w:rPr>
              <w:t>除尘器处理后，</w:t>
            </w:r>
            <w:r>
              <w:rPr>
                <w:rFonts w:hint="eastAsia"/>
                <w:color w:val="000000"/>
                <w:sz w:val="24"/>
                <w:highlight w:val="none"/>
                <w:u w:val="none"/>
                <w:lang w:val="en-US" w:eastAsia="zh-CN"/>
              </w:rPr>
              <w:t>颗粒物</w:t>
            </w:r>
            <w:r>
              <w:rPr>
                <w:color w:val="000000"/>
                <w:sz w:val="24"/>
                <w:highlight w:val="none"/>
                <w:u w:val="none"/>
              </w:rPr>
              <w:t>排放量为</w:t>
            </w:r>
            <w:r>
              <w:rPr>
                <w:rFonts w:hint="eastAsia"/>
                <w:color w:val="000000"/>
                <w:sz w:val="24"/>
                <w:highlight w:val="none"/>
                <w:u w:val="none"/>
                <w:lang w:val="en-US" w:eastAsia="zh-CN"/>
              </w:rPr>
              <w:t>0.0665</w:t>
            </w:r>
            <w:r>
              <w:rPr>
                <w:color w:val="000000"/>
                <w:sz w:val="24"/>
                <w:highlight w:val="none"/>
                <w:u w:val="none"/>
              </w:rPr>
              <w:t>t/a，</w:t>
            </w:r>
            <w:r>
              <w:rPr>
                <w:rFonts w:hint="eastAsia"/>
                <w:color w:val="000000"/>
                <w:sz w:val="24"/>
                <w:highlight w:val="none"/>
                <w:u w:val="none"/>
                <w:lang w:val="en-US" w:eastAsia="zh-CN"/>
              </w:rPr>
              <w:t>颗粒物</w:t>
            </w:r>
            <w:r>
              <w:rPr>
                <w:color w:val="000000"/>
                <w:sz w:val="24"/>
                <w:highlight w:val="none"/>
                <w:u w:val="none"/>
              </w:rPr>
              <w:t>排放速率为</w:t>
            </w:r>
            <w:r>
              <w:rPr>
                <w:rFonts w:hint="eastAsia"/>
                <w:color w:val="000000"/>
                <w:sz w:val="24"/>
                <w:highlight w:val="none"/>
                <w:u w:val="none"/>
                <w:lang w:val="en-US" w:eastAsia="zh-CN"/>
              </w:rPr>
              <w:t>0.0139</w:t>
            </w:r>
            <w:r>
              <w:rPr>
                <w:color w:val="000000"/>
                <w:sz w:val="24"/>
                <w:highlight w:val="none"/>
                <w:u w:val="none"/>
              </w:rPr>
              <w:t>kg/h，排放浓度为</w:t>
            </w:r>
            <w:r>
              <w:rPr>
                <w:rFonts w:hint="eastAsia"/>
                <w:color w:val="000000"/>
                <w:sz w:val="24"/>
                <w:highlight w:val="none"/>
                <w:u w:val="none"/>
                <w:lang w:val="en-US" w:eastAsia="zh-CN"/>
              </w:rPr>
              <w:t>1.39</w:t>
            </w:r>
            <w:r>
              <w:rPr>
                <w:color w:val="000000"/>
                <w:sz w:val="24"/>
                <w:highlight w:val="none"/>
                <w:u w:val="none"/>
              </w:rPr>
              <w:t>mg/m</w:t>
            </w:r>
            <w:r>
              <w:rPr>
                <w:color w:val="000000"/>
                <w:sz w:val="24"/>
                <w:highlight w:val="none"/>
                <w:u w:val="none"/>
                <w:vertAlign w:val="superscript"/>
              </w:rPr>
              <w:t>3</w:t>
            </w:r>
            <w:r>
              <w:rPr>
                <w:color w:val="000000"/>
                <w:sz w:val="24"/>
                <w:highlight w:val="none"/>
                <w:u w:val="none"/>
              </w:rPr>
              <w:t>，满足</w:t>
            </w:r>
            <w:r>
              <w:rPr>
                <w:rFonts w:hint="eastAsia"/>
                <w:color w:val="000000"/>
                <w:sz w:val="24"/>
                <w:highlight w:val="none"/>
                <w:u w:val="none"/>
                <w:lang w:eastAsia="zh-CN"/>
              </w:rPr>
              <w:t>《</w:t>
            </w:r>
            <w:r>
              <w:rPr>
                <w:rFonts w:hint="eastAsia"/>
                <w:sz w:val="24"/>
                <w:szCs w:val="24"/>
                <w:highlight w:val="none"/>
                <w:lang w:val="en-US" w:eastAsia="zh-CN"/>
              </w:rPr>
              <w:t>河南</w:t>
            </w:r>
            <w:r>
              <w:rPr>
                <w:rFonts w:hint="eastAsia"/>
                <w:sz w:val="24"/>
                <w:szCs w:val="24"/>
                <w:lang w:val="en-US" w:eastAsia="zh-CN"/>
              </w:rPr>
              <w:t>省水泥工业大气污染物排放标准</w:t>
            </w:r>
            <w:r>
              <w:rPr>
                <w:rFonts w:hint="eastAsia"/>
                <w:color w:val="000000"/>
                <w:sz w:val="24"/>
                <w:u w:val="none"/>
                <w:lang w:eastAsia="zh-CN"/>
              </w:rPr>
              <w:t>》</w:t>
            </w:r>
            <w:r>
              <w:rPr>
                <w:rFonts w:hint="eastAsia"/>
                <w:sz w:val="24"/>
                <w:szCs w:val="24"/>
                <w:lang w:val="en-US" w:eastAsia="zh-CN"/>
              </w:rPr>
              <w:t>(DB41/1953-2020)的</w:t>
            </w:r>
            <w:r>
              <w:rPr>
                <w:color w:val="000000"/>
                <w:sz w:val="24"/>
                <w:u w:val="none"/>
              </w:rPr>
              <w:t>要求</w:t>
            </w:r>
            <w:r>
              <w:rPr>
                <w:rFonts w:hint="eastAsia"/>
                <w:color w:val="000000"/>
                <w:sz w:val="24"/>
                <w:u w:val="none"/>
              </w:rPr>
              <w:t>及《重污染天气</w:t>
            </w:r>
            <w:r>
              <w:rPr>
                <w:rFonts w:hint="eastAsia"/>
                <w:color w:val="000000"/>
                <w:sz w:val="24"/>
                <w:u w:val="none"/>
                <w:lang w:val="en-US" w:eastAsia="zh-CN"/>
              </w:rPr>
              <w:t>重点</w:t>
            </w:r>
            <w:r>
              <w:rPr>
                <w:rFonts w:hint="eastAsia"/>
                <w:color w:val="000000"/>
                <w:sz w:val="24"/>
                <w:u w:val="none"/>
              </w:rPr>
              <w:t>行业应急减排措施制定技术指南》</w:t>
            </w:r>
            <w:r>
              <w:rPr>
                <w:rFonts w:hint="eastAsia"/>
                <w:sz w:val="24"/>
                <w:szCs w:val="24"/>
                <w:highlight w:val="none"/>
                <w:u w:val="none"/>
                <w:lang w:val="en-US" w:eastAsia="zh-CN"/>
              </w:rPr>
              <w:t>（2020年修订版）</w:t>
            </w:r>
            <w:r>
              <w:rPr>
                <w:rFonts w:hint="default" w:ascii="Times New Roman" w:hAnsi="Times New Roman" w:eastAsia="宋体" w:cs="Times New Roman"/>
                <w:color w:val="auto"/>
                <w:kern w:val="2"/>
                <w:sz w:val="24"/>
                <w:szCs w:val="21"/>
                <w:highlight w:val="none"/>
                <w:lang w:val="en-US" w:eastAsia="zh-CN" w:bidi="ar-SA"/>
              </w:rPr>
              <w:t>（环办大气函[2020]</w:t>
            </w:r>
            <w:r>
              <w:rPr>
                <w:rFonts w:hint="eastAsia" w:ascii="Times New Roman" w:hAnsi="Times New Roman" w:eastAsia="宋体" w:cs="Times New Roman"/>
                <w:color w:val="auto"/>
                <w:kern w:val="2"/>
                <w:sz w:val="24"/>
                <w:szCs w:val="21"/>
                <w:highlight w:val="none"/>
                <w:lang w:val="en-US" w:eastAsia="zh-CN" w:bidi="ar-SA"/>
              </w:rPr>
              <w:t xml:space="preserve"> </w:t>
            </w:r>
            <w:r>
              <w:rPr>
                <w:rFonts w:hint="default" w:ascii="Times New Roman" w:hAnsi="Times New Roman" w:eastAsia="宋体" w:cs="Times New Roman"/>
                <w:color w:val="auto"/>
                <w:kern w:val="2"/>
                <w:sz w:val="24"/>
                <w:szCs w:val="21"/>
                <w:highlight w:val="none"/>
                <w:lang w:val="en-US" w:eastAsia="zh-CN" w:bidi="ar-SA"/>
              </w:rPr>
              <w:t>340号）</w:t>
            </w:r>
            <w:r>
              <w:rPr>
                <w:rFonts w:hint="eastAsia"/>
                <w:sz w:val="24"/>
                <w:u w:val="none"/>
              </w:rPr>
              <w:t>中排放限值（</w:t>
            </w:r>
            <w:r>
              <w:rPr>
                <w:rFonts w:hint="eastAsia"/>
                <w:sz w:val="24"/>
                <w:u w:val="none"/>
                <w:lang w:val="en-US" w:eastAsia="zh-CN"/>
              </w:rPr>
              <w:t>颗粒物</w:t>
            </w:r>
            <w:r>
              <w:rPr>
                <w:rFonts w:hint="eastAsia"/>
                <w:sz w:val="24"/>
                <w:u w:val="none"/>
              </w:rPr>
              <w:t>有组织10mg/m</w:t>
            </w:r>
            <w:r>
              <w:rPr>
                <w:rFonts w:hint="eastAsia"/>
                <w:sz w:val="24"/>
                <w:u w:val="none"/>
                <w:vertAlign w:val="superscript"/>
              </w:rPr>
              <w:t>3</w:t>
            </w:r>
            <w:r>
              <w:rPr>
                <w:rFonts w:hint="eastAsia"/>
                <w:sz w:val="24"/>
                <w:u w:val="none"/>
              </w:rPr>
              <w:t>）要求</w:t>
            </w:r>
            <w:r>
              <w:rPr>
                <w:color w:val="000000"/>
                <w:sz w:val="24"/>
                <w:u w:val="none"/>
              </w:rPr>
              <w:t>。</w:t>
            </w:r>
          </w:p>
          <w:p w14:paraId="02C7299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bCs/>
                <w:color w:val="000000"/>
                <w:sz w:val="24"/>
                <w:highlight w:val="none"/>
                <w:u w:val="none"/>
              </w:rPr>
            </w:pPr>
            <w:r>
              <w:rPr>
                <w:color w:val="000000"/>
                <w:sz w:val="24"/>
                <w:u w:val="none"/>
              </w:rPr>
              <w:t>废气集气效率按9</w:t>
            </w:r>
            <w:r>
              <w:rPr>
                <w:rFonts w:hint="eastAsia"/>
                <w:color w:val="000000"/>
                <w:sz w:val="24"/>
                <w:u w:val="none"/>
                <w:lang w:val="en-US" w:eastAsia="zh-CN"/>
              </w:rPr>
              <w:t>5</w:t>
            </w:r>
            <w:r>
              <w:rPr>
                <w:color w:val="000000"/>
                <w:sz w:val="24"/>
                <w:u w:val="none"/>
              </w:rPr>
              <w:t>%计</w:t>
            </w:r>
            <w:r>
              <w:rPr>
                <w:rFonts w:hint="eastAsia"/>
                <w:color w:val="000000"/>
                <w:sz w:val="24"/>
                <w:u w:val="none"/>
                <w:lang w:eastAsia="zh-CN"/>
              </w:rPr>
              <w:t>，</w:t>
            </w:r>
            <w:r>
              <w:rPr>
                <w:rFonts w:hint="eastAsia"/>
                <w:color w:val="000000"/>
                <w:sz w:val="24"/>
                <w:highlight w:val="none"/>
                <w:u w:val="none"/>
                <w:lang w:val="en-US" w:eastAsia="zh-CN"/>
              </w:rPr>
              <w:t>则有5%的颗粒物无组织排放，</w:t>
            </w:r>
            <w:r>
              <w:rPr>
                <w:rFonts w:hint="eastAsia"/>
                <w:bCs/>
                <w:color w:val="000000"/>
                <w:sz w:val="24"/>
                <w:highlight w:val="none"/>
                <w:u w:val="none"/>
                <w:lang w:val="en-US" w:eastAsia="zh-CN"/>
              </w:rPr>
              <w:t>给料</w:t>
            </w:r>
            <w:r>
              <w:rPr>
                <w:bCs/>
                <w:color w:val="000000"/>
                <w:sz w:val="24"/>
                <w:highlight w:val="none"/>
                <w:u w:val="none"/>
              </w:rPr>
              <w:t>工序在封闭车间内进行，</w:t>
            </w:r>
            <w:r>
              <w:rPr>
                <w:rFonts w:hint="eastAsia"/>
                <w:bCs/>
                <w:color w:val="000000"/>
                <w:sz w:val="24"/>
                <w:highlight w:val="none"/>
                <w:u w:val="none"/>
                <w:lang w:val="en-US" w:eastAsia="zh-CN"/>
              </w:rPr>
              <w:t>给料工序</w:t>
            </w:r>
            <w:r>
              <w:rPr>
                <w:bCs/>
                <w:color w:val="000000"/>
                <w:sz w:val="24"/>
                <w:highlight w:val="none"/>
                <w:u w:val="none"/>
              </w:rPr>
              <w:t>无组织</w:t>
            </w:r>
            <w:r>
              <w:rPr>
                <w:rFonts w:hint="eastAsia"/>
                <w:bCs/>
                <w:color w:val="000000"/>
                <w:sz w:val="24"/>
                <w:highlight w:val="none"/>
                <w:u w:val="none"/>
                <w:lang w:val="en-US" w:eastAsia="zh-CN"/>
              </w:rPr>
              <w:t>颗粒物</w:t>
            </w:r>
            <w:r>
              <w:rPr>
                <w:bCs/>
                <w:color w:val="000000"/>
                <w:sz w:val="24"/>
                <w:highlight w:val="none"/>
                <w:u w:val="none"/>
              </w:rPr>
              <w:t>的排放量为</w:t>
            </w:r>
            <w:r>
              <w:rPr>
                <w:rFonts w:hint="eastAsia"/>
                <w:bCs/>
                <w:color w:val="000000"/>
                <w:sz w:val="24"/>
                <w:highlight w:val="none"/>
                <w:u w:val="none"/>
                <w:lang w:val="en-US" w:eastAsia="zh-CN"/>
              </w:rPr>
              <w:t>0.35</w:t>
            </w:r>
            <w:r>
              <w:rPr>
                <w:bCs/>
                <w:color w:val="000000"/>
                <w:sz w:val="24"/>
                <w:highlight w:val="none"/>
                <w:u w:val="none"/>
              </w:rPr>
              <w:t>t/a</w:t>
            </w:r>
            <w:r>
              <w:rPr>
                <w:rFonts w:hint="eastAsia"/>
                <w:bCs/>
                <w:color w:val="000000"/>
                <w:sz w:val="24"/>
                <w:highlight w:val="none"/>
                <w:u w:val="none"/>
              </w:rPr>
              <w:t>、</w:t>
            </w:r>
            <w:r>
              <w:rPr>
                <w:rFonts w:hint="eastAsia"/>
                <w:color w:val="000000"/>
                <w:sz w:val="24"/>
                <w:highlight w:val="none"/>
                <w:u w:val="none"/>
                <w:lang w:val="en-US" w:eastAsia="zh-CN"/>
              </w:rPr>
              <w:t>0.07</w:t>
            </w:r>
            <w:r>
              <w:rPr>
                <w:color w:val="000000"/>
                <w:sz w:val="24"/>
                <w:highlight w:val="none"/>
                <w:u w:val="none"/>
              </w:rPr>
              <w:t>kg/h</w:t>
            </w:r>
            <w:r>
              <w:rPr>
                <w:bCs/>
                <w:color w:val="000000"/>
                <w:sz w:val="24"/>
                <w:highlight w:val="none"/>
                <w:u w:val="none"/>
              </w:rPr>
              <w:t>。</w:t>
            </w:r>
          </w:p>
          <w:p w14:paraId="377048F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bCs/>
                <w:color w:val="000000"/>
                <w:sz w:val="24"/>
                <w:highlight w:val="none"/>
                <w:u w:val="none"/>
              </w:rPr>
            </w:pPr>
            <w:r>
              <w:rPr>
                <w:rFonts w:hint="eastAsia"/>
                <w:bCs/>
                <w:color w:val="000000"/>
                <w:sz w:val="24"/>
                <w:highlight w:val="none"/>
                <w:u w:val="none"/>
              </w:rPr>
              <w:t>（</w:t>
            </w:r>
            <w:r>
              <w:rPr>
                <w:rFonts w:hint="eastAsia"/>
                <w:bCs/>
                <w:color w:val="000000"/>
                <w:sz w:val="24"/>
                <w:highlight w:val="none"/>
                <w:u w:val="none"/>
                <w:lang w:val="en-US" w:eastAsia="zh-CN"/>
              </w:rPr>
              <w:t>3</w:t>
            </w:r>
            <w:r>
              <w:rPr>
                <w:rFonts w:hint="eastAsia"/>
                <w:bCs/>
                <w:color w:val="000000"/>
                <w:sz w:val="24"/>
                <w:highlight w:val="none"/>
                <w:u w:val="none"/>
              </w:rPr>
              <w:t>）</w:t>
            </w:r>
            <w:r>
              <w:rPr>
                <w:rFonts w:hint="eastAsia"/>
                <w:bCs/>
                <w:color w:val="000000"/>
                <w:sz w:val="24"/>
                <w:highlight w:val="none"/>
                <w:u w:val="none"/>
                <w:lang w:val="en-US" w:eastAsia="zh-CN"/>
              </w:rPr>
              <w:t>搅拌</w:t>
            </w:r>
            <w:r>
              <w:rPr>
                <w:rFonts w:hint="eastAsia"/>
                <w:bCs/>
                <w:color w:val="000000"/>
                <w:sz w:val="24"/>
                <w:highlight w:val="none"/>
                <w:u w:val="none"/>
              </w:rPr>
              <w:t>工序</w:t>
            </w:r>
            <w:r>
              <w:rPr>
                <w:rFonts w:hint="eastAsia"/>
                <w:bCs/>
                <w:color w:val="000000"/>
                <w:sz w:val="24"/>
                <w:highlight w:val="none"/>
                <w:u w:val="none"/>
                <w:lang w:val="en-US" w:eastAsia="zh-CN"/>
              </w:rPr>
              <w:t>颗粒物</w:t>
            </w:r>
            <w:r>
              <w:rPr>
                <w:rFonts w:hint="eastAsia" w:cs="宋体"/>
                <w:bCs/>
                <w:color w:val="000000"/>
                <w:kern w:val="0"/>
                <w:sz w:val="24"/>
                <w:highlight w:val="none"/>
                <w:u w:val="none"/>
                <w:lang w:val="en-US" w:eastAsia="zh-CN"/>
              </w:rPr>
              <w:t>产污情况分析</w:t>
            </w:r>
          </w:p>
          <w:p w14:paraId="305D991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000000"/>
                <w:kern w:val="0"/>
                <w:sz w:val="24"/>
                <w:highlight w:val="none"/>
                <w:u w:val="none"/>
                <w:lang w:val="zh-CN"/>
              </w:rPr>
            </w:pPr>
            <w:r>
              <w:rPr>
                <w:rFonts w:hint="eastAsia"/>
                <w:color w:val="000000"/>
                <w:sz w:val="24"/>
                <w:highlight w:val="none"/>
                <w:u w:val="none"/>
                <w:lang w:val="en-US" w:eastAsia="zh-CN"/>
              </w:rPr>
              <w:t>项目在搅拌工序进料口处会有颗粒物产生，需要搅拌的</w:t>
            </w:r>
            <w:r>
              <w:rPr>
                <w:rFonts w:hint="eastAsia"/>
                <w:color w:val="000000"/>
                <w:sz w:val="24"/>
                <w:highlight w:val="none"/>
                <w:u w:val="none"/>
                <w:lang w:eastAsia="zh-CN"/>
              </w:rPr>
              <w:t>量约</w:t>
            </w:r>
            <w:r>
              <w:rPr>
                <w:rFonts w:hint="eastAsia"/>
                <w:color w:val="000000"/>
                <w:sz w:val="24"/>
                <w:highlight w:val="none"/>
                <w:u w:val="none"/>
                <w:lang w:val="en-US" w:eastAsia="zh-CN"/>
              </w:rPr>
              <w:t>20万t/a，在搅拌工序产尘点处</w:t>
            </w:r>
            <w:r>
              <w:rPr>
                <w:rFonts w:hint="eastAsia"/>
                <w:bCs/>
                <w:color w:val="000000"/>
                <w:sz w:val="24"/>
                <w:highlight w:val="none"/>
                <w:u w:val="none"/>
                <w:lang w:val="en-US" w:eastAsia="zh-CN"/>
              </w:rPr>
              <w:t>设置集气罩，</w:t>
            </w:r>
            <w:r>
              <w:rPr>
                <w:bCs/>
                <w:color w:val="000000"/>
                <w:sz w:val="24"/>
                <w:highlight w:val="none"/>
                <w:u w:val="none"/>
              </w:rPr>
              <w:t>经集气罩</w:t>
            </w:r>
            <w:r>
              <w:rPr>
                <w:rFonts w:hint="eastAsia"/>
                <w:bCs/>
                <w:color w:val="000000"/>
                <w:sz w:val="24"/>
                <w:highlight w:val="none"/>
                <w:u w:val="none"/>
              </w:rPr>
              <w:t>收集的废气</w:t>
            </w:r>
            <w:r>
              <w:rPr>
                <w:rFonts w:hint="eastAsia"/>
                <w:bCs/>
                <w:color w:val="000000"/>
                <w:sz w:val="24"/>
                <w:highlight w:val="none"/>
                <w:u w:val="none"/>
                <w:lang w:val="en-US" w:eastAsia="zh-CN"/>
              </w:rPr>
              <w:t>通过</w:t>
            </w:r>
            <w:r>
              <w:rPr>
                <w:rFonts w:hint="eastAsia"/>
                <w:bCs/>
                <w:color w:val="000000"/>
                <w:sz w:val="24"/>
                <w:highlight w:val="none"/>
                <w:u w:val="none"/>
              </w:rPr>
              <w:t>袋式除尘器进行处理，处理后通过15m高的排气筒排放</w:t>
            </w:r>
            <w:r>
              <w:rPr>
                <w:rFonts w:hint="eastAsia" w:cs="Times New Roman"/>
                <w:color w:val="auto"/>
                <w:sz w:val="24"/>
                <w:szCs w:val="24"/>
                <w:highlight w:val="none"/>
                <w:lang w:val="en-US" w:eastAsia="zh-CN"/>
              </w:rPr>
              <w:t>（DA002）</w:t>
            </w:r>
            <w:r>
              <w:rPr>
                <w:rFonts w:hint="eastAsia"/>
                <w:bCs/>
                <w:color w:val="000000"/>
                <w:sz w:val="24"/>
                <w:highlight w:val="none"/>
                <w:u w:val="none"/>
              </w:rPr>
              <w:t>。</w:t>
            </w:r>
            <w:r>
              <w:rPr>
                <w:color w:val="000000"/>
                <w:sz w:val="24"/>
                <w:highlight w:val="none"/>
                <w:u w:val="none"/>
              </w:rPr>
              <w:t>废气集气效率按9</w:t>
            </w:r>
            <w:r>
              <w:rPr>
                <w:rFonts w:hint="eastAsia"/>
                <w:color w:val="000000"/>
                <w:sz w:val="24"/>
                <w:highlight w:val="none"/>
                <w:u w:val="none"/>
                <w:lang w:val="en-US" w:eastAsia="zh-CN"/>
              </w:rPr>
              <w:t>5</w:t>
            </w:r>
            <w:r>
              <w:rPr>
                <w:color w:val="000000"/>
                <w:sz w:val="24"/>
                <w:highlight w:val="none"/>
                <w:u w:val="none"/>
              </w:rPr>
              <w:t>%计，除尘效率按99%计，风机风量为</w:t>
            </w:r>
            <w:r>
              <w:rPr>
                <w:rFonts w:hint="eastAsia"/>
                <w:color w:val="000000"/>
                <w:sz w:val="24"/>
                <w:highlight w:val="none"/>
                <w:u w:val="none"/>
                <w:lang w:val="en-US" w:eastAsia="zh-CN"/>
              </w:rPr>
              <w:t>10000</w:t>
            </w:r>
            <w:r>
              <w:rPr>
                <w:color w:val="000000"/>
                <w:sz w:val="24"/>
                <w:highlight w:val="none"/>
                <w:u w:val="none"/>
              </w:rPr>
              <w:t>m</w:t>
            </w:r>
            <w:r>
              <w:rPr>
                <w:color w:val="000000"/>
                <w:sz w:val="24"/>
                <w:highlight w:val="none"/>
                <w:u w:val="none"/>
                <w:vertAlign w:val="superscript"/>
              </w:rPr>
              <w:t>3</w:t>
            </w:r>
            <w:r>
              <w:rPr>
                <w:color w:val="000000"/>
                <w:sz w:val="24"/>
                <w:highlight w:val="none"/>
                <w:u w:val="none"/>
              </w:rPr>
              <w:t>/h。根据</w:t>
            </w:r>
            <w:r>
              <w:rPr>
                <w:color w:val="000000"/>
                <w:kern w:val="0"/>
                <w:sz w:val="24"/>
                <w:highlight w:val="none"/>
                <w:u w:val="none"/>
                <w:lang w:val="zh-CN"/>
              </w:rPr>
              <w:t>《逸散性工业粉尘控制技术》（出版日期1989年）及《工业污染核算》（出版日期2007年）中相关技术参数。</w:t>
            </w:r>
          </w:p>
          <w:p w14:paraId="7ED9FD76">
            <w:pPr>
              <w:pStyle w:val="11"/>
              <w:keepNext w:val="0"/>
              <w:keepLines w:val="0"/>
              <w:pageBreakBefore w:val="0"/>
              <w:widowControl w:val="0"/>
              <w:kinsoku/>
              <w:wordWrap/>
              <w:overflowPunct/>
              <w:topLinePunct w:val="0"/>
              <w:autoSpaceDE/>
              <w:autoSpaceDN/>
              <w:bidi w:val="0"/>
              <w:adjustRightInd/>
              <w:snapToGrid/>
              <w:spacing w:after="0" w:line="500" w:lineRule="exact"/>
              <w:jc w:val="center"/>
              <w:textAlignment w:val="auto"/>
              <w:rPr>
                <w:rFonts w:eastAsia="黑体"/>
                <w:b w:val="0"/>
                <w:bCs w:val="0"/>
                <w:color w:val="000000"/>
                <w:sz w:val="24"/>
                <w:highlight w:val="none"/>
                <w:u w:val="none"/>
                <w:lang w:val="en-US" w:eastAsia="zh-CN"/>
              </w:rPr>
            </w:pPr>
            <w:r>
              <w:rPr>
                <w:rFonts w:eastAsia="黑体"/>
                <w:b w:val="0"/>
                <w:bCs w:val="0"/>
                <w:color w:val="000000"/>
                <w:sz w:val="24"/>
                <w:highlight w:val="none"/>
                <w:u w:val="none"/>
                <w:lang w:val="en-US" w:eastAsia="zh-CN"/>
              </w:rPr>
              <w:t>表</w:t>
            </w:r>
            <w:r>
              <w:rPr>
                <w:rFonts w:hint="eastAsia" w:eastAsia="黑体"/>
                <w:b w:val="0"/>
                <w:bCs w:val="0"/>
                <w:color w:val="000000"/>
                <w:sz w:val="24"/>
                <w:highlight w:val="none"/>
                <w:u w:val="none"/>
                <w:lang w:val="en-US" w:eastAsia="zh-CN"/>
              </w:rPr>
              <w:t>4-5</w:t>
            </w:r>
            <w:r>
              <w:rPr>
                <w:rFonts w:eastAsia="黑体"/>
                <w:b w:val="0"/>
                <w:bCs w:val="0"/>
                <w:color w:val="000000"/>
                <w:sz w:val="24"/>
                <w:highlight w:val="none"/>
                <w:u w:val="none"/>
                <w:lang w:val="en-US" w:eastAsia="zh-CN"/>
              </w:rPr>
              <w:t xml:space="preserve"> </w:t>
            </w:r>
            <w:r>
              <w:rPr>
                <w:rFonts w:hint="eastAsia" w:eastAsia="黑体"/>
                <w:b w:val="0"/>
                <w:bCs w:val="0"/>
                <w:color w:val="000000"/>
                <w:sz w:val="24"/>
                <w:highlight w:val="none"/>
                <w:u w:val="none"/>
                <w:lang w:val="en-US" w:eastAsia="zh-CN"/>
              </w:rPr>
              <w:t>搅拌工序</w:t>
            </w:r>
            <w:r>
              <w:rPr>
                <w:rFonts w:eastAsia="黑体"/>
                <w:b w:val="0"/>
                <w:bCs w:val="0"/>
                <w:color w:val="000000"/>
                <w:sz w:val="24"/>
                <w:highlight w:val="none"/>
                <w:u w:val="none"/>
                <w:lang w:val="en-US" w:eastAsia="zh-CN"/>
              </w:rPr>
              <w:t>颗粒物产生量情况一览表</w:t>
            </w:r>
          </w:p>
          <w:tbl>
            <w:tblPr>
              <w:tblStyle w:val="23"/>
              <w:tblW w:w="791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Layout w:type="fixed"/>
              <w:tblCellMar>
                <w:top w:w="0" w:type="dxa"/>
                <w:left w:w="108" w:type="dxa"/>
                <w:bottom w:w="0" w:type="dxa"/>
                <w:right w:w="108" w:type="dxa"/>
              </w:tblCellMar>
            </w:tblPr>
            <w:tblGrid>
              <w:gridCol w:w="671"/>
              <w:gridCol w:w="859"/>
              <w:gridCol w:w="1669"/>
              <w:gridCol w:w="1536"/>
              <w:gridCol w:w="1492"/>
              <w:gridCol w:w="1690"/>
            </w:tblGrid>
            <w:tr w14:paraId="0EF3F70E">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636" w:hRule="atLeast"/>
                <w:jc w:val="center"/>
              </w:trPr>
              <w:tc>
                <w:tcPr>
                  <w:tcW w:w="423" w:type="pct"/>
                  <w:tcBorders>
                    <w:tl2br w:val="nil"/>
                    <w:tr2bl w:val="nil"/>
                  </w:tcBorders>
                  <w:noWrap w:val="0"/>
                  <w:vAlign w:val="center"/>
                </w:tcPr>
                <w:p w14:paraId="7F41F746">
                  <w:pPr>
                    <w:adjustRightInd w:val="0"/>
                    <w:snapToGrid w:val="0"/>
                    <w:jc w:val="center"/>
                    <w:rPr>
                      <w:b w:val="0"/>
                      <w:bCs w:val="0"/>
                      <w:color w:val="000000"/>
                      <w:szCs w:val="21"/>
                      <w:highlight w:val="none"/>
                      <w:u w:val="none"/>
                    </w:rPr>
                  </w:pPr>
                  <w:r>
                    <w:rPr>
                      <w:b w:val="0"/>
                      <w:bCs w:val="0"/>
                      <w:color w:val="000000"/>
                      <w:szCs w:val="21"/>
                      <w:highlight w:val="none"/>
                      <w:u w:val="none"/>
                    </w:rPr>
                    <w:t>序号</w:t>
                  </w:r>
                </w:p>
              </w:tc>
              <w:tc>
                <w:tcPr>
                  <w:tcW w:w="542" w:type="pct"/>
                  <w:tcBorders>
                    <w:tl2br w:val="nil"/>
                    <w:tr2bl w:val="nil"/>
                  </w:tcBorders>
                  <w:noWrap w:val="0"/>
                  <w:vAlign w:val="center"/>
                </w:tcPr>
                <w:p w14:paraId="70E1FC8F">
                  <w:pPr>
                    <w:adjustRightInd w:val="0"/>
                    <w:snapToGrid w:val="0"/>
                    <w:jc w:val="center"/>
                    <w:rPr>
                      <w:b w:val="0"/>
                      <w:bCs w:val="0"/>
                      <w:color w:val="000000"/>
                      <w:szCs w:val="21"/>
                      <w:highlight w:val="none"/>
                      <w:u w:val="none"/>
                    </w:rPr>
                  </w:pPr>
                  <w:r>
                    <w:rPr>
                      <w:b w:val="0"/>
                      <w:bCs w:val="0"/>
                      <w:color w:val="000000"/>
                      <w:szCs w:val="21"/>
                      <w:highlight w:val="none"/>
                      <w:u w:val="none"/>
                    </w:rPr>
                    <w:t>设备</w:t>
                  </w:r>
                </w:p>
              </w:tc>
              <w:tc>
                <w:tcPr>
                  <w:tcW w:w="1054" w:type="pct"/>
                  <w:tcBorders>
                    <w:tl2br w:val="nil"/>
                    <w:tr2bl w:val="nil"/>
                  </w:tcBorders>
                  <w:noWrap w:val="0"/>
                  <w:vAlign w:val="center"/>
                </w:tcPr>
                <w:p w14:paraId="7B27240B">
                  <w:pPr>
                    <w:adjustRightInd w:val="0"/>
                    <w:snapToGrid w:val="0"/>
                    <w:jc w:val="center"/>
                    <w:rPr>
                      <w:b w:val="0"/>
                      <w:bCs w:val="0"/>
                      <w:color w:val="000000"/>
                      <w:szCs w:val="21"/>
                      <w:highlight w:val="none"/>
                      <w:u w:val="none"/>
                    </w:rPr>
                  </w:pPr>
                  <w:r>
                    <w:rPr>
                      <w:b w:val="0"/>
                      <w:bCs w:val="0"/>
                      <w:color w:val="000000"/>
                      <w:szCs w:val="21"/>
                      <w:highlight w:val="none"/>
                      <w:u w:val="none"/>
                    </w:rPr>
                    <w:t>产污设施/工段</w:t>
                  </w:r>
                </w:p>
              </w:tc>
              <w:tc>
                <w:tcPr>
                  <w:tcW w:w="970" w:type="pct"/>
                  <w:tcBorders>
                    <w:tl2br w:val="nil"/>
                    <w:tr2bl w:val="nil"/>
                  </w:tcBorders>
                  <w:noWrap w:val="0"/>
                  <w:vAlign w:val="center"/>
                </w:tcPr>
                <w:p w14:paraId="32FE37B2">
                  <w:pPr>
                    <w:adjustRightInd w:val="0"/>
                    <w:snapToGrid w:val="0"/>
                    <w:jc w:val="center"/>
                    <w:rPr>
                      <w:b w:val="0"/>
                      <w:bCs w:val="0"/>
                      <w:color w:val="000000"/>
                      <w:szCs w:val="21"/>
                      <w:highlight w:val="none"/>
                      <w:u w:val="none"/>
                    </w:rPr>
                  </w:pPr>
                  <w:r>
                    <w:rPr>
                      <w:b w:val="0"/>
                      <w:bCs w:val="0"/>
                      <w:color w:val="000000"/>
                      <w:szCs w:val="21"/>
                      <w:highlight w:val="none"/>
                      <w:u w:val="none"/>
                    </w:rPr>
                    <w:t>产生系数</w:t>
                  </w:r>
                </w:p>
              </w:tc>
              <w:tc>
                <w:tcPr>
                  <w:tcW w:w="942" w:type="pct"/>
                  <w:tcBorders>
                    <w:tl2br w:val="nil"/>
                    <w:tr2bl w:val="nil"/>
                  </w:tcBorders>
                  <w:noWrap w:val="0"/>
                  <w:vAlign w:val="center"/>
                </w:tcPr>
                <w:p w14:paraId="0BDD8E92">
                  <w:pPr>
                    <w:adjustRightInd w:val="0"/>
                    <w:snapToGrid w:val="0"/>
                    <w:jc w:val="center"/>
                    <w:rPr>
                      <w:b w:val="0"/>
                      <w:bCs w:val="0"/>
                      <w:color w:val="000000"/>
                      <w:szCs w:val="21"/>
                      <w:highlight w:val="none"/>
                      <w:u w:val="none"/>
                    </w:rPr>
                  </w:pPr>
                  <w:r>
                    <w:rPr>
                      <w:b w:val="0"/>
                      <w:bCs w:val="0"/>
                      <w:color w:val="000000"/>
                      <w:szCs w:val="21"/>
                      <w:highlight w:val="none"/>
                      <w:u w:val="none"/>
                    </w:rPr>
                    <w:t>物料加工量（t/a）</w:t>
                  </w:r>
                </w:p>
              </w:tc>
              <w:tc>
                <w:tcPr>
                  <w:tcW w:w="1067" w:type="pct"/>
                  <w:tcBorders>
                    <w:tl2br w:val="nil"/>
                    <w:tr2bl w:val="nil"/>
                  </w:tcBorders>
                  <w:noWrap w:val="0"/>
                  <w:vAlign w:val="center"/>
                </w:tcPr>
                <w:p w14:paraId="55DA69E1">
                  <w:pPr>
                    <w:adjustRightInd w:val="0"/>
                    <w:snapToGrid w:val="0"/>
                    <w:jc w:val="center"/>
                    <w:rPr>
                      <w:b w:val="0"/>
                      <w:bCs w:val="0"/>
                      <w:color w:val="000000"/>
                      <w:szCs w:val="21"/>
                      <w:highlight w:val="none"/>
                      <w:u w:val="none"/>
                    </w:rPr>
                  </w:pPr>
                  <w:r>
                    <w:rPr>
                      <w:b w:val="0"/>
                      <w:bCs w:val="0"/>
                      <w:color w:val="000000"/>
                      <w:szCs w:val="21"/>
                      <w:highlight w:val="none"/>
                      <w:u w:val="none"/>
                    </w:rPr>
                    <w:t>颗粒物产生量（t/a）</w:t>
                  </w:r>
                </w:p>
              </w:tc>
            </w:tr>
            <w:tr w14:paraId="28F936AC">
              <w:tblPrEx>
                <w:tblBorders>
                  <w:top w:val="single" w:color="auto" w:sz="8" w:space="0"/>
                  <w:left w:val="single" w:color="auto" w:sz="8" w:space="0"/>
                  <w:bottom w:val="single" w:color="auto" w:sz="8"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459" w:hRule="atLeast"/>
                <w:jc w:val="center"/>
              </w:trPr>
              <w:tc>
                <w:tcPr>
                  <w:tcW w:w="423" w:type="pct"/>
                  <w:tcBorders>
                    <w:tl2br w:val="nil"/>
                    <w:tr2bl w:val="nil"/>
                  </w:tcBorders>
                  <w:noWrap w:val="0"/>
                  <w:vAlign w:val="center"/>
                </w:tcPr>
                <w:p w14:paraId="33007122">
                  <w:pPr>
                    <w:adjustRightInd w:val="0"/>
                    <w:snapToGrid w:val="0"/>
                    <w:jc w:val="center"/>
                    <w:rPr>
                      <w:b w:val="0"/>
                      <w:bCs w:val="0"/>
                      <w:color w:val="000000"/>
                      <w:szCs w:val="21"/>
                      <w:highlight w:val="none"/>
                      <w:u w:val="none"/>
                    </w:rPr>
                  </w:pPr>
                  <w:r>
                    <w:rPr>
                      <w:b w:val="0"/>
                      <w:bCs w:val="0"/>
                      <w:color w:val="000000"/>
                      <w:szCs w:val="21"/>
                      <w:highlight w:val="none"/>
                      <w:u w:val="none"/>
                    </w:rPr>
                    <w:t>1</w:t>
                  </w:r>
                </w:p>
              </w:tc>
              <w:tc>
                <w:tcPr>
                  <w:tcW w:w="542" w:type="pct"/>
                  <w:tcBorders>
                    <w:tl2br w:val="nil"/>
                    <w:tr2bl w:val="nil"/>
                  </w:tcBorders>
                  <w:noWrap w:val="0"/>
                  <w:vAlign w:val="center"/>
                </w:tcPr>
                <w:p w14:paraId="0B519B62">
                  <w:pPr>
                    <w:snapToGrid w:val="0"/>
                    <w:jc w:val="center"/>
                    <w:rPr>
                      <w:rFonts w:hint="eastAsia"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搅拌机</w:t>
                  </w:r>
                </w:p>
              </w:tc>
              <w:tc>
                <w:tcPr>
                  <w:tcW w:w="1054" w:type="pct"/>
                  <w:tcBorders>
                    <w:tl2br w:val="nil"/>
                    <w:tr2bl w:val="nil"/>
                  </w:tcBorders>
                  <w:noWrap w:val="0"/>
                  <w:vAlign w:val="center"/>
                </w:tcPr>
                <w:p w14:paraId="5A24ACCE">
                  <w:pPr>
                    <w:snapToGrid w:val="0"/>
                    <w:jc w:val="center"/>
                    <w:rPr>
                      <w:b w:val="0"/>
                      <w:bCs w:val="0"/>
                      <w:color w:val="000000"/>
                      <w:szCs w:val="21"/>
                      <w:highlight w:val="none"/>
                      <w:u w:val="none"/>
                    </w:rPr>
                  </w:pPr>
                  <w:r>
                    <w:rPr>
                      <w:rFonts w:hint="eastAsia"/>
                      <w:b w:val="0"/>
                      <w:bCs w:val="0"/>
                      <w:color w:val="000000"/>
                      <w:szCs w:val="21"/>
                      <w:highlight w:val="none"/>
                      <w:u w:val="none"/>
                      <w:lang w:val="en-US" w:eastAsia="zh-CN"/>
                    </w:rPr>
                    <w:t>进</w:t>
                  </w:r>
                  <w:r>
                    <w:rPr>
                      <w:b w:val="0"/>
                      <w:bCs w:val="0"/>
                      <w:color w:val="000000"/>
                      <w:szCs w:val="21"/>
                      <w:highlight w:val="none"/>
                      <w:u w:val="none"/>
                    </w:rPr>
                    <w:t>料口</w:t>
                  </w:r>
                </w:p>
              </w:tc>
              <w:tc>
                <w:tcPr>
                  <w:tcW w:w="970" w:type="pct"/>
                  <w:tcBorders>
                    <w:tl2br w:val="nil"/>
                    <w:tr2bl w:val="nil"/>
                  </w:tcBorders>
                  <w:noWrap w:val="0"/>
                  <w:vAlign w:val="center"/>
                </w:tcPr>
                <w:p w14:paraId="73C91C86">
                  <w:pPr>
                    <w:adjustRightInd w:val="0"/>
                    <w:snapToGrid w:val="0"/>
                    <w:jc w:val="center"/>
                    <w:rPr>
                      <w:b w:val="0"/>
                      <w:bCs w:val="0"/>
                      <w:color w:val="000000"/>
                      <w:szCs w:val="21"/>
                      <w:highlight w:val="none"/>
                      <w:u w:val="none"/>
                    </w:rPr>
                  </w:pPr>
                  <w:r>
                    <w:rPr>
                      <w:b w:val="0"/>
                      <w:bCs w:val="0"/>
                      <w:color w:val="000000"/>
                      <w:szCs w:val="21"/>
                      <w:highlight w:val="none"/>
                      <w:u w:val="none"/>
                    </w:rPr>
                    <w:t>0.</w:t>
                  </w:r>
                  <w:r>
                    <w:rPr>
                      <w:rFonts w:hint="eastAsia"/>
                      <w:b w:val="0"/>
                      <w:bCs w:val="0"/>
                      <w:color w:val="000000"/>
                      <w:szCs w:val="21"/>
                      <w:highlight w:val="none"/>
                      <w:u w:val="none"/>
                      <w:lang w:val="en-US" w:eastAsia="zh-CN"/>
                    </w:rPr>
                    <w:t>15</w:t>
                  </w:r>
                  <w:r>
                    <w:rPr>
                      <w:b w:val="0"/>
                      <w:bCs w:val="0"/>
                      <w:color w:val="000000"/>
                      <w:szCs w:val="21"/>
                      <w:highlight w:val="none"/>
                      <w:u w:val="none"/>
                    </w:rPr>
                    <w:t>kg/t</w:t>
                  </w:r>
                  <w:r>
                    <w:rPr>
                      <w:rFonts w:hint="eastAsia"/>
                      <w:b w:val="0"/>
                      <w:bCs w:val="0"/>
                      <w:color w:val="000000"/>
                      <w:szCs w:val="21"/>
                      <w:highlight w:val="none"/>
                      <w:u w:val="none"/>
                      <w:lang w:val="en-US" w:eastAsia="zh-CN"/>
                    </w:rPr>
                    <w:t>-</w:t>
                  </w:r>
                  <w:r>
                    <w:rPr>
                      <w:b w:val="0"/>
                      <w:bCs w:val="0"/>
                      <w:color w:val="000000"/>
                      <w:szCs w:val="21"/>
                      <w:highlight w:val="none"/>
                      <w:u w:val="none"/>
                      <w:vertAlign w:val="baseline"/>
                    </w:rPr>
                    <w:t>原料</w:t>
                  </w:r>
                </w:p>
              </w:tc>
              <w:tc>
                <w:tcPr>
                  <w:tcW w:w="942" w:type="pct"/>
                  <w:tcBorders>
                    <w:tl2br w:val="nil"/>
                    <w:tr2bl w:val="nil"/>
                  </w:tcBorders>
                  <w:noWrap w:val="0"/>
                  <w:vAlign w:val="center"/>
                </w:tcPr>
                <w:p w14:paraId="38404B81">
                  <w:pPr>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200000</w:t>
                  </w:r>
                </w:p>
              </w:tc>
              <w:tc>
                <w:tcPr>
                  <w:tcW w:w="1067" w:type="pct"/>
                  <w:tcBorders>
                    <w:tl2br w:val="nil"/>
                    <w:tr2bl w:val="nil"/>
                  </w:tcBorders>
                  <w:noWrap w:val="0"/>
                  <w:vAlign w:val="center"/>
                </w:tcPr>
                <w:p w14:paraId="7D292A56">
                  <w:pPr>
                    <w:adjustRightInd w:val="0"/>
                    <w:snapToGrid w:val="0"/>
                    <w:jc w:val="center"/>
                    <w:rPr>
                      <w:rFonts w:hint="default" w:eastAsia="宋体"/>
                      <w:b w:val="0"/>
                      <w:bCs w:val="0"/>
                      <w:color w:val="000000"/>
                      <w:szCs w:val="21"/>
                      <w:highlight w:val="none"/>
                      <w:u w:val="none"/>
                      <w:lang w:val="en-US" w:eastAsia="zh-CN"/>
                    </w:rPr>
                  </w:pPr>
                  <w:r>
                    <w:rPr>
                      <w:rFonts w:hint="eastAsia"/>
                      <w:b w:val="0"/>
                      <w:bCs w:val="0"/>
                      <w:color w:val="000000"/>
                      <w:szCs w:val="21"/>
                      <w:highlight w:val="none"/>
                      <w:u w:val="none"/>
                      <w:lang w:val="en-US" w:eastAsia="zh-CN"/>
                    </w:rPr>
                    <w:t>30</w:t>
                  </w:r>
                </w:p>
              </w:tc>
            </w:tr>
          </w:tbl>
          <w:p w14:paraId="79AE32D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000000"/>
                <w:sz w:val="24"/>
                <w:u w:val="none"/>
              </w:rPr>
            </w:pPr>
            <w:r>
              <w:rPr>
                <w:color w:val="000000"/>
                <w:sz w:val="24"/>
                <w:highlight w:val="none"/>
                <w:u w:val="none"/>
              </w:rPr>
              <w:t>经计算，</w:t>
            </w:r>
            <w:r>
              <w:rPr>
                <w:rFonts w:hint="eastAsia"/>
                <w:color w:val="000000"/>
                <w:sz w:val="24"/>
                <w:highlight w:val="none"/>
                <w:u w:val="none"/>
              </w:rPr>
              <w:t>集气罩</w:t>
            </w:r>
            <w:r>
              <w:rPr>
                <w:color w:val="000000"/>
                <w:sz w:val="24"/>
                <w:highlight w:val="none"/>
                <w:u w:val="none"/>
              </w:rPr>
              <w:t>收集的</w:t>
            </w:r>
            <w:r>
              <w:rPr>
                <w:rFonts w:hint="eastAsia"/>
                <w:color w:val="000000"/>
                <w:sz w:val="24"/>
                <w:highlight w:val="none"/>
                <w:u w:val="none"/>
                <w:lang w:val="en-US" w:eastAsia="zh-CN"/>
              </w:rPr>
              <w:t>颗粒物</w:t>
            </w:r>
            <w:r>
              <w:rPr>
                <w:color w:val="000000"/>
                <w:sz w:val="24"/>
                <w:highlight w:val="none"/>
                <w:u w:val="none"/>
              </w:rPr>
              <w:t>量为</w:t>
            </w:r>
            <w:r>
              <w:rPr>
                <w:rFonts w:hint="eastAsia"/>
                <w:color w:val="000000"/>
                <w:sz w:val="24"/>
                <w:highlight w:val="none"/>
                <w:u w:val="none"/>
                <w:lang w:val="en-US" w:eastAsia="zh-CN"/>
              </w:rPr>
              <w:t>28.5</w:t>
            </w:r>
            <w:r>
              <w:rPr>
                <w:color w:val="000000"/>
                <w:sz w:val="24"/>
                <w:highlight w:val="none"/>
                <w:u w:val="none"/>
              </w:rPr>
              <w:t>t/a，</w:t>
            </w:r>
            <w:r>
              <w:rPr>
                <w:rFonts w:hint="eastAsia"/>
                <w:color w:val="000000"/>
                <w:sz w:val="24"/>
                <w:highlight w:val="none"/>
                <w:u w:val="none"/>
                <w:lang w:val="en-US" w:eastAsia="zh-CN"/>
              </w:rPr>
              <w:t>颗粒物</w:t>
            </w:r>
            <w:r>
              <w:rPr>
                <w:color w:val="000000"/>
                <w:sz w:val="24"/>
                <w:highlight w:val="none"/>
                <w:u w:val="none"/>
              </w:rPr>
              <w:t>产生速率为</w:t>
            </w:r>
            <w:r>
              <w:rPr>
                <w:rFonts w:hint="eastAsia"/>
                <w:color w:val="000000"/>
                <w:sz w:val="24"/>
                <w:highlight w:val="none"/>
                <w:u w:val="none"/>
                <w:lang w:val="en-US" w:eastAsia="zh-CN"/>
              </w:rPr>
              <w:t>5.9375</w:t>
            </w:r>
            <w:r>
              <w:rPr>
                <w:color w:val="000000"/>
                <w:sz w:val="24"/>
                <w:highlight w:val="none"/>
                <w:u w:val="none"/>
              </w:rPr>
              <w:t>kg/h，产生浓度为</w:t>
            </w:r>
            <w:r>
              <w:rPr>
                <w:rFonts w:hint="eastAsia"/>
                <w:color w:val="000000"/>
                <w:sz w:val="24"/>
                <w:highlight w:val="none"/>
                <w:u w:val="none"/>
                <w:lang w:val="en-US" w:eastAsia="zh-CN"/>
              </w:rPr>
              <w:t>593.75</w:t>
            </w:r>
            <w:r>
              <w:rPr>
                <w:color w:val="000000"/>
                <w:sz w:val="24"/>
                <w:highlight w:val="none"/>
                <w:u w:val="none"/>
              </w:rPr>
              <w:t>mg/m</w:t>
            </w:r>
            <w:r>
              <w:rPr>
                <w:color w:val="000000"/>
                <w:sz w:val="24"/>
                <w:highlight w:val="none"/>
                <w:u w:val="none"/>
                <w:vertAlign w:val="superscript"/>
              </w:rPr>
              <w:t>3</w:t>
            </w:r>
            <w:r>
              <w:rPr>
                <w:color w:val="000000"/>
                <w:sz w:val="24"/>
                <w:highlight w:val="none"/>
                <w:u w:val="none"/>
              </w:rPr>
              <w:t>。经</w:t>
            </w:r>
            <w:r>
              <w:rPr>
                <w:rFonts w:hint="eastAsia"/>
                <w:color w:val="000000"/>
                <w:sz w:val="24"/>
                <w:highlight w:val="none"/>
                <w:u w:val="none"/>
                <w:lang w:val="en-US" w:eastAsia="zh-CN"/>
              </w:rPr>
              <w:t>袋式</w:t>
            </w:r>
            <w:r>
              <w:rPr>
                <w:color w:val="000000"/>
                <w:sz w:val="24"/>
                <w:highlight w:val="none"/>
                <w:u w:val="none"/>
              </w:rPr>
              <w:t>除尘器处理后，</w:t>
            </w:r>
            <w:r>
              <w:rPr>
                <w:rFonts w:hint="eastAsia"/>
                <w:color w:val="000000"/>
                <w:sz w:val="24"/>
                <w:highlight w:val="none"/>
                <w:u w:val="none"/>
                <w:lang w:val="en-US" w:eastAsia="zh-CN"/>
              </w:rPr>
              <w:t>颗粒物</w:t>
            </w:r>
            <w:r>
              <w:rPr>
                <w:color w:val="000000"/>
                <w:sz w:val="24"/>
                <w:highlight w:val="none"/>
                <w:u w:val="none"/>
              </w:rPr>
              <w:t>排放量为</w:t>
            </w:r>
            <w:r>
              <w:rPr>
                <w:rFonts w:hint="eastAsia"/>
                <w:color w:val="000000"/>
                <w:sz w:val="24"/>
                <w:highlight w:val="none"/>
                <w:u w:val="none"/>
                <w:lang w:val="en-US" w:eastAsia="zh-CN"/>
              </w:rPr>
              <w:t>0.285</w:t>
            </w:r>
            <w:r>
              <w:rPr>
                <w:color w:val="000000"/>
                <w:sz w:val="24"/>
                <w:highlight w:val="none"/>
                <w:u w:val="none"/>
              </w:rPr>
              <w:t>t/a，</w:t>
            </w:r>
            <w:r>
              <w:rPr>
                <w:rFonts w:hint="eastAsia"/>
                <w:color w:val="000000"/>
                <w:sz w:val="24"/>
                <w:highlight w:val="none"/>
                <w:u w:val="none"/>
                <w:lang w:val="en-US" w:eastAsia="zh-CN"/>
              </w:rPr>
              <w:t>颗粒物</w:t>
            </w:r>
            <w:r>
              <w:rPr>
                <w:color w:val="000000"/>
                <w:sz w:val="24"/>
                <w:highlight w:val="none"/>
                <w:u w:val="none"/>
              </w:rPr>
              <w:t>排放速率为</w:t>
            </w:r>
            <w:r>
              <w:rPr>
                <w:rFonts w:hint="eastAsia"/>
                <w:color w:val="000000"/>
                <w:sz w:val="24"/>
                <w:highlight w:val="none"/>
                <w:u w:val="none"/>
                <w:lang w:val="en-US" w:eastAsia="zh-CN"/>
              </w:rPr>
              <w:t>0.0594</w:t>
            </w:r>
            <w:r>
              <w:rPr>
                <w:color w:val="000000"/>
                <w:sz w:val="24"/>
                <w:highlight w:val="none"/>
                <w:u w:val="none"/>
              </w:rPr>
              <w:t>kg/h，排放浓度为</w:t>
            </w:r>
            <w:r>
              <w:rPr>
                <w:rFonts w:hint="eastAsia"/>
                <w:color w:val="000000"/>
                <w:sz w:val="24"/>
                <w:highlight w:val="none"/>
                <w:u w:val="none"/>
                <w:lang w:val="en-US" w:eastAsia="zh-CN"/>
              </w:rPr>
              <w:t>5.94</w:t>
            </w:r>
            <w:r>
              <w:rPr>
                <w:color w:val="000000"/>
                <w:sz w:val="24"/>
                <w:highlight w:val="none"/>
                <w:u w:val="none"/>
              </w:rPr>
              <w:t>mg/m</w:t>
            </w:r>
            <w:r>
              <w:rPr>
                <w:color w:val="000000"/>
                <w:sz w:val="24"/>
                <w:highlight w:val="none"/>
                <w:u w:val="none"/>
                <w:vertAlign w:val="superscript"/>
              </w:rPr>
              <w:t>3</w:t>
            </w:r>
            <w:r>
              <w:rPr>
                <w:color w:val="000000"/>
                <w:sz w:val="24"/>
                <w:highlight w:val="none"/>
                <w:u w:val="none"/>
              </w:rPr>
              <w:t>，</w:t>
            </w:r>
            <w:r>
              <w:rPr>
                <w:color w:val="000000"/>
                <w:sz w:val="24"/>
                <w:u w:val="none"/>
              </w:rPr>
              <w:t>满足</w:t>
            </w:r>
            <w:r>
              <w:rPr>
                <w:rFonts w:hint="eastAsia"/>
                <w:color w:val="000000"/>
                <w:sz w:val="24"/>
                <w:u w:val="none"/>
                <w:lang w:eastAsia="zh-CN"/>
              </w:rPr>
              <w:t>《</w:t>
            </w:r>
            <w:r>
              <w:rPr>
                <w:rFonts w:hint="eastAsia"/>
                <w:sz w:val="24"/>
                <w:szCs w:val="24"/>
                <w:u w:val="none"/>
                <w:lang w:val="en-US" w:eastAsia="zh-CN"/>
              </w:rPr>
              <w:t>河南省水泥工业大气污染物排放标准</w:t>
            </w:r>
            <w:r>
              <w:rPr>
                <w:rFonts w:hint="eastAsia"/>
                <w:color w:val="000000"/>
                <w:sz w:val="24"/>
                <w:u w:val="none"/>
                <w:lang w:eastAsia="zh-CN"/>
              </w:rPr>
              <w:t>》</w:t>
            </w:r>
            <w:r>
              <w:rPr>
                <w:rFonts w:hint="eastAsia"/>
                <w:sz w:val="24"/>
                <w:szCs w:val="24"/>
                <w:u w:val="none"/>
                <w:lang w:val="en-US" w:eastAsia="zh-CN"/>
              </w:rPr>
              <w:t>(DB41/1953-2020)（</w:t>
            </w:r>
            <w:r>
              <w:rPr>
                <w:color w:val="000000"/>
                <w:sz w:val="24"/>
                <w:u w:val="none"/>
              </w:rPr>
              <w:t>10mg/m</w:t>
            </w:r>
            <w:r>
              <w:rPr>
                <w:color w:val="000000"/>
                <w:sz w:val="24"/>
                <w:u w:val="none"/>
                <w:vertAlign w:val="superscript"/>
              </w:rPr>
              <w:t>3</w:t>
            </w:r>
            <w:r>
              <w:rPr>
                <w:rFonts w:hint="eastAsia"/>
                <w:sz w:val="24"/>
                <w:szCs w:val="24"/>
                <w:u w:val="none"/>
                <w:lang w:val="en-US" w:eastAsia="zh-CN"/>
              </w:rPr>
              <w:t>）</w:t>
            </w:r>
            <w:r>
              <w:rPr>
                <w:color w:val="000000"/>
                <w:sz w:val="24"/>
                <w:u w:val="none"/>
              </w:rPr>
              <w:t>要求</w:t>
            </w:r>
            <w:r>
              <w:rPr>
                <w:rFonts w:hint="eastAsia"/>
                <w:color w:val="000000"/>
                <w:sz w:val="24"/>
                <w:u w:val="none"/>
              </w:rPr>
              <w:t>及《重污染天气</w:t>
            </w:r>
            <w:r>
              <w:rPr>
                <w:rFonts w:hint="eastAsia"/>
                <w:color w:val="000000"/>
                <w:sz w:val="24"/>
                <w:u w:val="none"/>
                <w:lang w:val="en-US" w:eastAsia="zh-CN"/>
              </w:rPr>
              <w:t>重点</w:t>
            </w:r>
            <w:r>
              <w:rPr>
                <w:rFonts w:hint="eastAsia"/>
                <w:color w:val="000000"/>
                <w:sz w:val="24"/>
                <w:u w:val="none"/>
              </w:rPr>
              <w:t>行业应急减排措施制定技术指南》</w:t>
            </w:r>
            <w:r>
              <w:rPr>
                <w:rFonts w:hint="eastAsia"/>
                <w:sz w:val="24"/>
                <w:szCs w:val="24"/>
                <w:highlight w:val="none"/>
                <w:u w:val="none"/>
                <w:lang w:val="en-US" w:eastAsia="zh-CN"/>
              </w:rPr>
              <w:t>（2020年修订版）</w:t>
            </w:r>
            <w:r>
              <w:rPr>
                <w:rFonts w:hint="default" w:ascii="Times New Roman" w:hAnsi="Times New Roman" w:eastAsia="宋体" w:cs="Times New Roman"/>
                <w:color w:val="auto"/>
                <w:kern w:val="2"/>
                <w:sz w:val="24"/>
                <w:szCs w:val="21"/>
                <w:highlight w:val="none"/>
                <w:lang w:val="en-US" w:eastAsia="zh-CN" w:bidi="ar-SA"/>
              </w:rPr>
              <w:t>（环办大气函[2020]</w:t>
            </w:r>
            <w:r>
              <w:rPr>
                <w:rFonts w:hint="eastAsia" w:ascii="Times New Roman" w:hAnsi="Times New Roman" w:eastAsia="宋体" w:cs="Times New Roman"/>
                <w:color w:val="auto"/>
                <w:kern w:val="2"/>
                <w:sz w:val="24"/>
                <w:szCs w:val="21"/>
                <w:highlight w:val="none"/>
                <w:lang w:val="en-US" w:eastAsia="zh-CN" w:bidi="ar-SA"/>
              </w:rPr>
              <w:t xml:space="preserve"> </w:t>
            </w:r>
            <w:r>
              <w:rPr>
                <w:rFonts w:hint="default" w:ascii="Times New Roman" w:hAnsi="Times New Roman" w:eastAsia="宋体" w:cs="Times New Roman"/>
                <w:color w:val="auto"/>
                <w:kern w:val="2"/>
                <w:sz w:val="24"/>
                <w:szCs w:val="21"/>
                <w:highlight w:val="none"/>
                <w:lang w:val="en-US" w:eastAsia="zh-CN" w:bidi="ar-SA"/>
              </w:rPr>
              <w:t>340号）</w:t>
            </w:r>
            <w:r>
              <w:rPr>
                <w:rFonts w:hint="eastAsia"/>
                <w:sz w:val="24"/>
                <w:u w:val="none"/>
              </w:rPr>
              <w:t>中排放限值（</w:t>
            </w:r>
            <w:r>
              <w:rPr>
                <w:rFonts w:hint="eastAsia"/>
                <w:sz w:val="24"/>
                <w:u w:val="none"/>
                <w:lang w:val="en-US" w:eastAsia="zh-CN"/>
              </w:rPr>
              <w:t>颗粒物</w:t>
            </w:r>
            <w:r>
              <w:rPr>
                <w:rFonts w:hint="eastAsia"/>
                <w:sz w:val="24"/>
                <w:u w:val="none"/>
              </w:rPr>
              <w:t>有组织10mg/m</w:t>
            </w:r>
            <w:r>
              <w:rPr>
                <w:rFonts w:hint="eastAsia"/>
                <w:sz w:val="24"/>
                <w:u w:val="none"/>
                <w:vertAlign w:val="superscript"/>
              </w:rPr>
              <w:t>3</w:t>
            </w:r>
            <w:r>
              <w:rPr>
                <w:rFonts w:hint="eastAsia"/>
                <w:sz w:val="24"/>
                <w:u w:val="none"/>
              </w:rPr>
              <w:t>）要求</w:t>
            </w:r>
            <w:r>
              <w:rPr>
                <w:color w:val="000000"/>
                <w:sz w:val="24"/>
                <w:u w:val="none"/>
              </w:rPr>
              <w:t>。</w:t>
            </w:r>
          </w:p>
          <w:p w14:paraId="1CE9ACC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bCs/>
                <w:color w:val="000000"/>
                <w:sz w:val="24"/>
                <w:u w:val="none"/>
              </w:rPr>
            </w:pPr>
            <w:r>
              <w:rPr>
                <w:color w:val="000000"/>
                <w:sz w:val="24"/>
                <w:u w:val="none"/>
              </w:rPr>
              <w:t>废气集气效率按9</w:t>
            </w:r>
            <w:r>
              <w:rPr>
                <w:rFonts w:hint="eastAsia"/>
                <w:color w:val="000000"/>
                <w:sz w:val="24"/>
                <w:u w:val="none"/>
                <w:lang w:val="en-US" w:eastAsia="zh-CN"/>
              </w:rPr>
              <w:t>5</w:t>
            </w:r>
            <w:r>
              <w:rPr>
                <w:color w:val="000000"/>
                <w:sz w:val="24"/>
                <w:u w:val="none"/>
              </w:rPr>
              <w:t>%计</w:t>
            </w:r>
            <w:r>
              <w:rPr>
                <w:rFonts w:hint="eastAsia"/>
                <w:color w:val="000000"/>
                <w:sz w:val="24"/>
                <w:u w:val="none"/>
                <w:lang w:eastAsia="zh-CN"/>
              </w:rPr>
              <w:t>，</w:t>
            </w:r>
            <w:r>
              <w:rPr>
                <w:rFonts w:hint="eastAsia"/>
                <w:color w:val="000000"/>
                <w:sz w:val="24"/>
                <w:u w:val="none"/>
                <w:lang w:val="en-US" w:eastAsia="zh-CN"/>
              </w:rPr>
              <w:t>则有5%的颗粒物无组织排放，搅拌</w:t>
            </w:r>
            <w:r>
              <w:rPr>
                <w:bCs/>
                <w:color w:val="000000"/>
                <w:sz w:val="24"/>
                <w:u w:val="none"/>
              </w:rPr>
              <w:t>工序在封闭车间内进行，</w:t>
            </w:r>
            <w:r>
              <w:rPr>
                <w:rFonts w:hint="eastAsia"/>
                <w:bCs/>
                <w:color w:val="000000"/>
                <w:sz w:val="24"/>
                <w:u w:val="none"/>
                <w:lang w:val="en-US" w:eastAsia="zh-CN"/>
              </w:rPr>
              <w:t>搅拌工序</w:t>
            </w:r>
            <w:r>
              <w:rPr>
                <w:bCs/>
                <w:color w:val="000000"/>
                <w:sz w:val="24"/>
                <w:u w:val="none"/>
              </w:rPr>
              <w:t>无组织</w:t>
            </w:r>
            <w:r>
              <w:rPr>
                <w:rFonts w:hint="eastAsia"/>
                <w:bCs/>
                <w:color w:val="000000"/>
                <w:sz w:val="24"/>
                <w:u w:val="none"/>
                <w:lang w:val="en-US" w:eastAsia="zh-CN"/>
              </w:rPr>
              <w:t>颗粒物</w:t>
            </w:r>
            <w:r>
              <w:rPr>
                <w:bCs/>
                <w:color w:val="000000"/>
                <w:sz w:val="24"/>
                <w:u w:val="none"/>
              </w:rPr>
              <w:t>的排放量为</w:t>
            </w:r>
            <w:r>
              <w:rPr>
                <w:rFonts w:hint="eastAsia"/>
                <w:bCs/>
                <w:color w:val="000000"/>
                <w:sz w:val="24"/>
                <w:u w:val="none"/>
                <w:lang w:val="en-US" w:eastAsia="zh-CN"/>
              </w:rPr>
              <w:t>1.5</w:t>
            </w:r>
            <w:r>
              <w:rPr>
                <w:bCs/>
                <w:color w:val="000000"/>
                <w:sz w:val="24"/>
                <w:highlight w:val="none"/>
                <w:u w:val="none"/>
              </w:rPr>
              <w:t>t/a</w:t>
            </w:r>
            <w:r>
              <w:rPr>
                <w:rFonts w:hint="eastAsia"/>
                <w:bCs/>
                <w:color w:val="000000"/>
                <w:sz w:val="24"/>
                <w:highlight w:val="none"/>
                <w:u w:val="none"/>
              </w:rPr>
              <w:t>、</w:t>
            </w:r>
            <w:r>
              <w:rPr>
                <w:rFonts w:hint="eastAsia"/>
                <w:color w:val="000000"/>
                <w:sz w:val="24"/>
                <w:highlight w:val="none"/>
                <w:u w:val="none"/>
                <w:lang w:val="en-US" w:eastAsia="zh-CN"/>
              </w:rPr>
              <w:t>0.3125</w:t>
            </w:r>
            <w:r>
              <w:rPr>
                <w:color w:val="000000"/>
                <w:sz w:val="24"/>
                <w:highlight w:val="none"/>
                <w:u w:val="none"/>
              </w:rPr>
              <w:t>kg/h</w:t>
            </w:r>
            <w:r>
              <w:rPr>
                <w:bCs/>
                <w:color w:val="000000"/>
                <w:sz w:val="24"/>
                <w:highlight w:val="none"/>
                <w:u w:val="none"/>
              </w:rPr>
              <w:t>。</w:t>
            </w:r>
          </w:p>
          <w:p w14:paraId="32E2E64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color w:val="000000"/>
                <w:sz w:val="24"/>
                <w:highlight w:val="none"/>
                <w:u w:val="none"/>
              </w:rPr>
            </w:pPr>
            <w:r>
              <w:rPr>
                <w:rFonts w:hint="eastAsia" w:cs="Times New Roman"/>
                <w:bCs/>
                <w:color w:val="000000"/>
                <w:sz w:val="24"/>
                <w:highlight w:val="none"/>
                <w:u w:val="none"/>
                <w:lang w:val="en-US" w:eastAsia="zh-CN"/>
              </w:rPr>
              <w:t>无组织颗粒排放总量为3.35</w:t>
            </w:r>
            <w:r>
              <w:rPr>
                <w:bCs/>
                <w:color w:val="000000"/>
                <w:sz w:val="24"/>
                <w:highlight w:val="none"/>
                <w:u w:val="none"/>
              </w:rPr>
              <w:t>t/a</w:t>
            </w:r>
            <w:r>
              <w:rPr>
                <w:rFonts w:hint="eastAsia"/>
                <w:bCs/>
                <w:color w:val="000000"/>
                <w:sz w:val="24"/>
                <w:highlight w:val="none"/>
                <w:u w:val="none"/>
                <w:lang w:eastAsia="zh-CN"/>
              </w:rPr>
              <w:t>，</w:t>
            </w:r>
            <w:r>
              <w:rPr>
                <w:rFonts w:hint="eastAsia"/>
                <w:bCs/>
                <w:color w:val="000000"/>
                <w:sz w:val="24"/>
                <w:highlight w:val="none"/>
                <w:u w:val="none"/>
                <w:lang w:val="en-US" w:eastAsia="zh-CN"/>
              </w:rPr>
              <w:t>根据企业提供资料，厂房封闭+厂房顶部设置喷雾装置降低扬尘产生，处理效率为90%，那么无组织排放量为0.335</w:t>
            </w:r>
            <w:r>
              <w:rPr>
                <w:bCs/>
                <w:color w:val="000000"/>
                <w:sz w:val="24"/>
                <w:highlight w:val="none"/>
                <w:u w:val="none"/>
              </w:rPr>
              <w:t>t/a</w:t>
            </w:r>
            <w:r>
              <w:rPr>
                <w:rFonts w:hint="eastAsia"/>
                <w:bCs/>
                <w:color w:val="000000"/>
                <w:sz w:val="24"/>
                <w:highlight w:val="none"/>
                <w:u w:val="none"/>
                <w:lang w:eastAsia="zh-CN"/>
              </w:rPr>
              <w:t>。</w:t>
            </w:r>
            <w:r>
              <w:rPr>
                <w:rFonts w:hint="default" w:ascii="Times New Roman" w:hAnsi="Times New Roman" w:eastAsia="宋体" w:cs="Times New Roman"/>
                <w:bCs/>
                <w:color w:val="000000"/>
                <w:sz w:val="24"/>
                <w:highlight w:val="none"/>
                <w:u w:val="none"/>
              </w:rPr>
              <w:t>根据《除尘工程设计手册》，外部集气吸尘罩的排风量为:</w:t>
            </w:r>
          </w:p>
          <w:p w14:paraId="12DC2340">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default" w:ascii="Times New Roman" w:hAnsi="Times New Roman" w:eastAsia="宋体" w:cs="Times New Roman"/>
                <w:bCs/>
                <w:color w:val="000000"/>
                <w:sz w:val="24"/>
                <w:highlight w:val="none"/>
                <w:u w:val="none"/>
                <w:lang w:val="en-US" w:eastAsia="zh-CN"/>
              </w:rPr>
            </w:pPr>
            <w:r>
              <w:rPr>
                <w:rFonts w:hint="eastAsia" w:ascii="Times New Roman" w:hAnsi="Times New Roman" w:eastAsia="宋体" w:cs="Times New Roman"/>
                <w:bCs/>
                <w:color w:val="000000"/>
                <w:sz w:val="24"/>
                <w:highlight w:val="none"/>
                <w:u w:val="none"/>
                <w:lang w:val="en-US" w:eastAsia="zh-CN"/>
              </w:rPr>
              <w:t>Q=</w:t>
            </w:r>
            <w:r>
              <w:rPr>
                <w:rFonts w:hint="default" w:ascii="Times New Roman" w:hAnsi="Times New Roman" w:eastAsia="宋体" w:cs="Times New Roman"/>
                <w:bCs/>
                <w:color w:val="000000"/>
                <w:sz w:val="24"/>
                <w:highlight w:val="none"/>
                <w:u w:val="none"/>
              </w:rPr>
              <w:t>Vo</w:t>
            </w:r>
            <w:r>
              <w:rPr>
                <w:rFonts w:hint="eastAsia" w:ascii="Times New Roman" w:hAnsi="Times New Roman" w:eastAsia="宋体" w:cs="Times New Roman"/>
                <w:bCs/>
                <w:color w:val="000000"/>
                <w:sz w:val="24"/>
                <w:highlight w:val="none"/>
                <w:u w:val="none"/>
                <w:lang w:val="en-US" w:eastAsia="zh-CN"/>
              </w:rPr>
              <w:t>F</w:t>
            </w:r>
          </w:p>
          <w:p w14:paraId="0B8A130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color w:val="000000"/>
                <w:sz w:val="24"/>
                <w:highlight w:val="none"/>
                <w:u w:val="none"/>
                <w:lang w:val="en-US" w:eastAsia="zh-CN"/>
              </w:rPr>
            </w:pPr>
            <w:r>
              <w:rPr>
                <w:rFonts w:hint="default" w:ascii="Times New Roman" w:hAnsi="Times New Roman" w:eastAsia="宋体" w:cs="Times New Roman"/>
                <w:bCs/>
                <w:color w:val="000000"/>
                <w:sz w:val="24"/>
                <w:highlight w:val="none"/>
                <w:u w:val="none"/>
              </w:rPr>
              <w:t>其中，F</w:t>
            </w:r>
            <w:r>
              <w:rPr>
                <w:rFonts w:hint="eastAsia" w:ascii="Times New Roman" w:hAnsi="Times New Roman" w:eastAsia="宋体" w:cs="Times New Roman"/>
                <w:bCs/>
                <w:color w:val="000000"/>
                <w:sz w:val="24"/>
                <w:highlight w:val="none"/>
                <w:u w:val="none"/>
                <w:lang w:val="en-US" w:eastAsia="zh-CN"/>
              </w:rPr>
              <w:t>-</w:t>
            </w:r>
            <w:r>
              <w:rPr>
                <w:rFonts w:hint="default" w:ascii="Times New Roman" w:hAnsi="Times New Roman" w:eastAsia="宋体" w:cs="Times New Roman"/>
                <w:bCs/>
                <w:color w:val="000000"/>
                <w:sz w:val="24"/>
                <w:highlight w:val="none"/>
                <w:u w:val="none"/>
              </w:rPr>
              <w:t>罩口面积</w:t>
            </w:r>
            <w:r>
              <w:rPr>
                <w:rFonts w:hint="default" w:ascii="Times New Roman" w:hAnsi="Times New Roman" w:eastAsia="宋体" w:cs="Times New Roman"/>
                <w:bCs/>
                <w:color w:val="000000"/>
                <w:sz w:val="24"/>
                <w:highlight w:val="none"/>
                <w:u w:val="none"/>
                <w:lang w:val="en-US" w:eastAsia="zh-CN"/>
              </w:rPr>
              <w:t>，</w:t>
            </w:r>
            <w:r>
              <w:rPr>
                <w:rFonts w:hint="eastAsia" w:ascii="Times New Roman" w:hAnsi="Times New Roman" w:eastAsia="宋体" w:cs="Times New Roman"/>
                <w:bCs/>
                <w:color w:val="000000"/>
                <w:sz w:val="24"/>
                <w:highlight w:val="none"/>
                <w:u w:val="none"/>
                <w:lang w:val="en-US" w:eastAsia="zh-CN"/>
              </w:rPr>
              <w:t>m</w:t>
            </w:r>
            <w:r>
              <w:rPr>
                <w:rFonts w:hint="eastAsia" w:ascii="Times New Roman" w:hAnsi="Times New Roman" w:eastAsia="宋体" w:cs="Times New Roman"/>
                <w:bCs/>
                <w:color w:val="000000"/>
                <w:sz w:val="24"/>
                <w:highlight w:val="none"/>
                <w:u w:val="none"/>
                <w:vertAlign w:val="superscript"/>
                <w:lang w:val="en-US" w:eastAsia="zh-CN"/>
              </w:rPr>
              <w:t>2</w:t>
            </w:r>
            <w:r>
              <w:rPr>
                <w:rFonts w:hint="eastAsia" w:ascii="Times New Roman" w:hAnsi="Times New Roman" w:eastAsia="宋体" w:cs="Times New Roman"/>
                <w:bCs/>
                <w:color w:val="000000"/>
                <w:sz w:val="24"/>
                <w:highlight w:val="none"/>
                <w:u w:val="none"/>
                <w:lang w:val="en-US" w:eastAsia="zh-CN"/>
              </w:rPr>
              <w:t>;</w:t>
            </w:r>
          </w:p>
          <w:p w14:paraId="298F4CB9">
            <w:pPr>
              <w:keepNext w:val="0"/>
              <w:keepLines w:val="0"/>
              <w:pageBreakBefore w:val="0"/>
              <w:widowControl w:val="0"/>
              <w:kinsoku/>
              <w:wordWrap/>
              <w:overflowPunct/>
              <w:topLinePunct w:val="0"/>
              <w:autoSpaceDE/>
              <w:autoSpaceDN/>
              <w:bidi w:val="0"/>
              <w:adjustRightInd/>
              <w:snapToGrid/>
              <w:spacing w:line="500" w:lineRule="exact"/>
              <w:ind w:firstLine="1200" w:firstLineChars="500"/>
              <w:textAlignment w:val="auto"/>
              <w:rPr>
                <w:rFonts w:hint="default" w:ascii="Times New Roman" w:hAnsi="Times New Roman" w:eastAsia="宋体" w:cs="Times New Roman"/>
                <w:bCs/>
                <w:color w:val="000000"/>
                <w:sz w:val="24"/>
                <w:highlight w:val="none"/>
                <w:u w:val="none"/>
              </w:rPr>
            </w:pPr>
            <w:r>
              <w:rPr>
                <w:rFonts w:hint="default" w:ascii="Times New Roman" w:hAnsi="Times New Roman" w:eastAsia="宋体" w:cs="Times New Roman"/>
                <w:bCs/>
                <w:color w:val="000000"/>
                <w:sz w:val="24"/>
                <w:highlight w:val="none"/>
                <w:u w:val="none"/>
              </w:rPr>
              <w:t>Vo-罩口中的吸气平均速度</w:t>
            </w:r>
            <w:r>
              <w:rPr>
                <w:rFonts w:hint="default" w:ascii="Times New Roman" w:hAnsi="Times New Roman" w:eastAsia="宋体" w:cs="Times New Roman"/>
                <w:bCs/>
                <w:color w:val="000000"/>
                <w:sz w:val="24"/>
                <w:highlight w:val="none"/>
                <w:u w:val="none"/>
                <w:lang w:val="en-US" w:eastAsia="zh-CN"/>
              </w:rPr>
              <w:t>，</w:t>
            </w:r>
            <w:r>
              <w:rPr>
                <w:rFonts w:hint="default" w:ascii="Times New Roman" w:hAnsi="Times New Roman" w:eastAsia="宋体" w:cs="Times New Roman"/>
                <w:bCs/>
                <w:color w:val="000000"/>
                <w:sz w:val="24"/>
                <w:highlight w:val="none"/>
                <w:u w:val="none"/>
              </w:rPr>
              <w:t>m/s。</w:t>
            </w:r>
          </w:p>
          <w:p w14:paraId="7772A42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color w:val="000000"/>
                <w:sz w:val="24"/>
                <w:highlight w:val="none"/>
                <w:u w:val="none"/>
                <w:lang w:val="en-US" w:eastAsia="zh-CN"/>
              </w:rPr>
            </w:pPr>
            <w:r>
              <w:rPr>
                <w:rFonts w:hint="default" w:ascii="Times New Roman" w:hAnsi="Times New Roman" w:eastAsia="宋体" w:cs="Times New Roman"/>
                <w:bCs/>
                <w:color w:val="000000"/>
                <w:sz w:val="24"/>
                <w:highlight w:val="none"/>
                <w:u w:val="none"/>
                <w:lang w:val="en-US" w:eastAsia="zh-CN"/>
              </w:rPr>
              <w:t>本项目</w:t>
            </w:r>
            <w:r>
              <w:rPr>
                <w:rFonts w:hint="eastAsia" w:ascii="Times New Roman" w:hAnsi="Times New Roman" w:eastAsia="宋体" w:cs="Times New Roman"/>
                <w:bCs/>
                <w:color w:val="000000"/>
                <w:sz w:val="24"/>
                <w:highlight w:val="none"/>
                <w:u w:val="none"/>
                <w:lang w:val="en-US" w:eastAsia="zh-CN"/>
              </w:rPr>
              <w:t>风速</w:t>
            </w:r>
            <w:r>
              <w:rPr>
                <w:rFonts w:hint="default" w:ascii="Times New Roman" w:hAnsi="Times New Roman" w:eastAsia="宋体" w:cs="Times New Roman"/>
                <w:bCs/>
                <w:color w:val="000000"/>
                <w:sz w:val="24"/>
                <w:highlight w:val="none"/>
                <w:u w:val="none"/>
                <w:lang w:val="en-US" w:eastAsia="zh-CN"/>
              </w:rPr>
              <w:t>取0.</w:t>
            </w:r>
            <w:r>
              <w:rPr>
                <w:rFonts w:hint="eastAsia" w:ascii="Times New Roman" w:hAnsi="Times New Roman" w:eastAsia="宋体" w:cs="Times New Roman"/>
                <w:bCs/>
                <w:color w:val="000000"/>
                <w:sz w:val="24"/>
                <w:highlight w:val="none"/>
                <w:u w:val="none"/>
                <w:lang w:val="en-US" w:eastAsia="zh-CN"/>
              </w:rPr>
              <w:t>3</w:t>
            </w:r>
            <w:r>
              <w:rPr>
                <w:rFonts w:hint="default" w:ascii="Times New Roman" w:hAnsi="Times New Roman" w:eastAsia="宋体" w:cs="Times New Roman"/>
                <w:bCs/>
                <w:color w:val="000000"/>
                <w:sz w:val="24"/>
                <w:highlight w:val="none"/>
                <w:u w:val="none"/>
                <w:lang w:val="en-US" w:eastAsia="zh-CN"/>
              </w:rPr>
              <w:t>m/s，根据集气罩集气面积，本项目设计风量见下表。</w:t>
            </w:r>
          </w:p>
          <w:p w14:paraId="1CD51D70">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color w:val="000000"/>
                <w:sz w:val="24"/>
                <w:szCs w:val="24"/>
                <w:highlight w:val="none"/>
                <w:lang w:val="en-US" w:eastAsia="zh-CN"/>
              </w:rPr>
            </w:pPr>
            <w:r>
              <w:rPr>
                <w:rFonts w:hint="default" w:ascii="Times New Roman" w:hAnsi="Times New Roman" w:eastAsia="黑体" w:cs="Times New Roman"/>
                <w:b w:val="0"/>
                <w:bCs/>
                <w:color w:val="000000"/>
                <w:sz w:val="24"/>
                <w:szCs w:val="24"/>
                <w:highlight w:val="none"/>
                <w:lang w:val="en-US" w:eastAsia="zh-CN"/>
              </w:rPr>
              <w:t>表4-</w:t>
            </w:r>
            <w:r>
              <w:rPr>
                <w:rFonts w:hint="eastAsia" w:eastAsia="黑体" w:cs="Times New Roman"/>
                <w:b w:val="0"/>
                <w:bCs/>
                <w:color w:val="000000"/>
                <w:sz w:val="24"/>
                <w:szCs w:val="24"/>
                <w:highlight w:val="none"/>
                <w:lang w:val="en-US" w:eastAsia="zh-CN"/>
              </w:rPr>
              <w:t>6</w:t>
            </w:r>
            <w:r>
              <w:rPr>
                <w:rFonts w:hint="default" w:ascii="Times New Roman" w:hAnsi="Times New Roman" w:eastAsia="黑体" w:cs="Times New Roman"/>
                <w:b w:val="0"/>
                <w:bCs/>
                <w:color w:val="000000"/>
                <w:sz w:val="24"/>
                <w:szCs w:val="24"/>
                <w:highlight w:val="none"/>
                <w:lang w:val="en-US" w:eastAsia="zh-CN"/>
              </w:rPr>
              <w:t xml:space="preserve">  设计风机风量</w:t>
            </w:r>
          </w:p>
          <w:tbl>
            <w:tblPr>
              <w:tblStyle w:val="23"/>
              <w:tblW w:w="486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18"/>
              <w:gridCol w:w="1843"/>
              <w:gridCol w:w="2110"/>
              <w:gridCol w:w="2436"/>
            </w:tblGrid>
            <w:tr w14:paraId="3ECEB5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1319" w:type="dxa"/>
                  <w:tcBorders>
                    <w:tl2br w:val="nil"/>
                    <w:tr2bl w:val="nil"/>
                  </w:tcBorders>
                  <w:noWrap w:val="0"/>
                  <w:vAlign w:val="center"/>
                </w:tcPr>
                <w:p w14:paraId="241D43B9">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cs="Times New Roman"/>
                      <w:b w:val="0"/>
                      <w:bCs w:val="0"/>
                      <w:color w:val="000000"/>
                      <w:sz w:val="21"/>
                      <w:szCs w:val="21"/>
                      <w:highlight w:val="none"/>
                      <w:u w:val="none"/>
                      <w:lang w:val="en-US" w:eastAsia="zh-CN"/>
                    </w:rPr>
                    <w:t>排气筒编号</w:t>
                  </w:r>
                </w:p>
              </w:tc>
              <w:tc>
                <w:tcPr>
                  <w:tcW w:w="1844" w:type="dxa"/>
                  <w:tcBorders>
                    <w:tl2br w:val="nil"/>
                    <w:tr2bl w:val="nil"/>
                  </w:tcBorders>
                  <w:shd w:val="clear" w:color="auto" w:fill="auto"/>
                  <w:noWrap w:val="0"/>
                  <w:vAlign w:val="center"/>
                </w:tcPr>
                <w:p w14:paraId="478841EC">
                  <w:pPr>
                    <w:pStyle w:val="63"/>
                    <w:keepNext w:val="0"/>
                    <w:keepLines w:val="0"/>
                    <w:pageBreakBefore w:val="0"/>
                    <w:widowControl w:val="0"/>
                    <w:kinsoku w:val="0"/>
                    <w:wordWrap/>
                    <w:overflowPunct w:val="0"/>
                    <w:topLinePunct w:val="0"/>
                    <w:autoSpaceDE w:val="0"/>
                    <w:autoSpaceDN w:val="0"/>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000000"/>
                      <w:kern w:val="2"/>
                      <w:sz w:val="21"/>
                      <w:szCs w:val="21"/>
                      <w:highlight w:val="none"/>
                      <w:u w:val="none"/>
                      <w:lang w:val="en-US" w:eastAsia="zh-CN" w:bidi="ar"/>
                    </w:rPr>
                  </w:pPr>
                  <w:r>
                    <w:rPr>
                      <w:rStyle w:val="64"/>
                      <w:rFonts w:hint="default" w:ascii="Times New Roman" w:hAnsi="Times New Roman" w:eastAsia="宋体" w:cs="Times New Roman"/>
                      <w:b w:val="0"/>
                      <w:bCs w:val="0"/>
                      <w:color w:val="auto"/>
                      <w:sz w:val="21"/>
                      <w:szCs w:val="21"/>
                      <w:highlight w:val="none"/>
                      <w:lang w:val="en-US" w:eastAsia="zh-CN"/>
                    </w:rPr>
                    <w:t>总集气面积（m</w:t>
                  </w:r>
                  <w:r>
                    <w:rPr>
                      <w:rStyle w:val="64"/>
                      <w:rFonts w:hint="default" w:ascii="Times New Roman" w:hAnsi="Times New Roman" w:eastAsia="宋体" w:cs="Times New Roman"/>
                      <w:b w:val="0"/>
                      <w:bCs w:val="0"/>
                      <w:color w:val="auto"/>
                      <w:sz w:val="21"/>
                      <w:szCs w:val="21"/>
                      <w:highlight w:val="none"/>
                      <w:vertAlign w:val="superscript"/>
                      <w:lang w:val="en-US" w:eastAsia="zh-CN"/>
                    </w:rPr>
                    <w:t>2</w:t>
                  </w:r>
                  <w:r>
                    <w:rPr>
                      <w:rStyle w:val="64"/>
                      <w:rFonts w:hint="default" w:ascii="Times New Roman" w:hAnsi="Times New Roman" w:eastAsia="宋体" w:cs="Times New Roman"/>
                      <w:b w:val="0"/>
                      <w:bCs w:val="0"/>
                      <w:color w:val="auto"/>
                      <w:sz w:val="21"/>
                      <w:szCs w:val="21"/>
                      <w:highlight w:val="none"/>
                      <w:lang w:val="en-US" w:eastAsia="zh-CN"/>
                    </w:rPr>
                    <w:t>）</w:t>
                  </w:r>
                </w:p>
              </w:tc>
              <w:tc>
                <w:tcPr>
                  <w:tcW w:w="2111" w:type="dxa"/>
                  <w:tcBorders>
                    <w:tl2br w:val="nil"/>
                    <w:tr2bl w:val="nil"/>
                  </w:tcBorders>
                  <w:noWrap w:val="0"/>
                  <w:vAlign w:val="center"/>
                </w:tcPr>
                <w:p w14:paraId="673776B7">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eastAsia" w:ascii="Times New Roman" w:hAnsi="Times New Roman" w:eastAsia="宋体" w:cs="Times New Roman"/>
                      <w:b w:val="0"/>
                      <w:bCs w:val="0"/>
                      <w:color w:val="000000"/>
                      <w:sz w:val="21"/>
                      <w:szCs w:val="21"/>
                      <w:highlight w:val="none"/>
                      <w:u w:val="none"/>
                      <w:lang w:val="en-US" w:eastAsia="zh-CN"/>
                    </w:rPr>
                  </w:pPr>
                  <w:r>
                    <w:rPr>
                      <w:rStyle w:val="64"/>
                      <w:rFonts w:hint="default" w:ascii="Times New Roman" w:hAnsi="Times New Roman" w:eastAsia="宋体" w:cs="Times New Roman"/>
                      <w:b w:val="0"/>
                      <w:bCs w:val="0"/>
                      <w:color w:val="auto"/>
                      <w:sz w:val="21"/>
                      <w:szCs w:val="21"/>
                      <w:highlight w:val="none"/>
                      <w:lang w:val="en-US" w:eastAsia="zh-CN"/>
                    </w:rPr>
                    <w:t>控制风速（m/s</w:t>
                  </w:r>
                  <w:r>
                    <w:rPr>
                      <w:rStyle w:val="64"/>
                      <w:rFonts w:hint="eastAsia" w:ascii="Times New Roman" w:hAnsi="Times New Roman" w:eastAsia="宋体" w:cs="Times New Roman"/>
                      <w:b w:val="0"/>
                      <w:bCs w:val="0"/>
                      <w:color w:val="auto"/>
                      <w:sz w:val="21"/>
                      <w:szCs w:val="21"/>
                      <w:highlight w:val="none"/>
                      <w:lang w:val="en-US" w:eastAsia="zh-CN"/>
                    </w:rPr>
                    <w:t>）</w:t>
                  </w:r>
                </w:p>
              </w:tc>
              <w:tc>
                <w:tcPr>
                  <w:tcW w:w="2437" w:type="dxa"/>
                  <w:tcBorders>
                    <w:tl2br w:val="nil"/>
                    <w:tr2bl w:val="nil"/>
                  </w:tcBorders>
                  <w:noWrap w:val="0"/>
                  <w:vAlign w:val="center"/>
                </w:tcPr>
                <w:p w14:paraId="6A7C2AEB">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Style w:val="64"/>
                      <w:rFonts w:hint="default" w:ascii="Times New Roman" w:hAnsi="Times New Roman" w:eastAsia="宋体" w:cs="Times New Roman"/>
                      <w:b w:val="0"/>
                      <w:bCs w:val="0"/>
                      <w:color w:val="auto"/>
                      <w:sz w:val="21"/>
                      <w:szCs w:val="21"/>
                      <w:highlight w:val="none"/>
                      <w:lang w:val="en-US" w:eastAsia="zh-CN"/>
                    </w:rPr>
                    <w:t>风机总风量（m</w:t>
                  </w:r>
                  <w:r>
                    <w:rPr>
                      <w:rStyle w:val="64"/>
                      <w:rFonts w:hint="default" w:ascii="Times New Roman" w:hAnsi="Times New Roman" w:eastAsia="宋体" w:cs="Times New Roman"/>
                      <w:b w:val="0"/>
                      <w:bCs w:val="0"/>
                      <w:color w:val="auto"/>
                      <w:sz w:val="21"/>
                      <w:szCs w:val="21"/>
                      <w:highlight w:val="none"/>
                      <w:vertAlign w:val="superscript"/>
                      <w:lang w:val="en-US" w:eastAsia="zh-CN"/>
                    </w:rPr>
                    <w:t>3</w:t>
                  </w:r>
                  <w:r>
                    <w:rPr>
                      <w:rStyle w:val="64"/>
                      <w:rFonts w:hint="default" w:ascii="Times New Roman" w:hAnsi="Times New Roman" w:eastAsia="宋体" w:cs="Times New Roman"/>
                      <w:b w:val="0"/>
                      <w:bCs w:val="0"/>
                      <w:color w:val="auto"/>
                      <w:sz w:val="21"/>
                      <w:szCs w:val="21"/>
                      <w:highlight w:val="none"/>
                      <w:lang w:val="en-US" w:eastAsia="zh-CN"/>
                    </w:rPr>
                    <w:t>/h</w:t>
                  </w:r>
                  <w:r>
                    <w:rPr>
                      <w:rStyle w:val="64"/>
                      <w:rFonts w:hint="eastAsia" w:ascii="Times New Roman" w:hAnsi="Times New Roman" w:eastAsia="宋体" w:cs="Times New Roman"/>
                      <w:b w:val="0"/>
                      <w:bCs w:val="0"/>
                      <w:color w:val="auto"/>
                      <w:sz w:val="21"/>
                      <w:szCs w:val="21"/>
                      <w:highlight w:val="none"/>
                      <w:lang w:val="en-US" w:eastAsia="zh-CN"/>
                    </w:rPr>
                    <w:t>）</w:t>
                  </w:r>
                </w:p>
              </w:tc>
            </w:tr>
            <w:tr w14:paraId="7DB790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19" w:type="dxa"/>
                  <w:tcBorders>
                    <w:tl2br w:val="nil"/>
                    <w:tr2bl w:val="nil"/>
                  </w:tcBorders>
                  <w:noWrap w:val="0"/>
                  <w:vAlign w:val="center"/>
                </w:tcPr>
                <w:p w14:paraId="4B8B0A07">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Style w:val="64"/>
                      <w:rFonts w:hint="default" w:ascii="Times New Roman" w:hAnsi="Times New Roman" w:eastAsia="宋体" w:cs="Times New Roman"/>
                      <w:b w:val="0"/>
                      <w:bCs w:val="0"/>
                      <w:color w:val="auto"/>
                      <w:sz w:val="21"/>
                      <w:szCs w:val="21"/>
                      <w:highlight w:val="none"/>
                      <w:lang w:val="en-US" w:eastAsia="zh-CN"/>
                    </w:rPr>
                  </w:pPr>
                  <w:r>
                    <w:rPr>
                      <w:rStyle w:val="64"/>
                      <w:rFonts w:hint="eastAsia" w:ascii="Times New Roman" w:hAnsi="Times New Roman" w:cs="Times New Roman"/>
                      <w:b w:val="0"/>
                      <w:bCs w:val="0"/>
                      <w:color w:val="auto"/>
                      <w:sz w:val="21"/>
                      <w:szCs w:val="21"/>
                      <w:highlight w:val="none"/>
                      <w:lang w:val="en-US" w:eastAsia="zh-CN"/>
                    </w:rPr>
                    <w:t>DA001</w:t>
                  </w:r>
                </w:p>
              </w:tc>
              <w:tc>
                <w:tcPr>
                  <w:tcW w:w="1844" w:type="dxa"/>
                  <w:tcBorders>
                    <w:tl2br w:val="nil"/>
                    <w:tr2bl w:val="nil"/>
                  </w:tcBorders>
                  <w:shd w:val="clear" w:color="auto" w:fill="auto"/>
                  <w:noWrap w:val="0"/>
                  <w:vAlign w:val="center"/>
                </w:tcPr>
                <w:p w14:paraId="6B35B492">
                  <w:pPr>
                    <w:pStyle w:val="63"/>
                    <w:keepNext w:val="0"/>
                    <w:keepLines w:val="0"/>
                    <w:pageBreakBefore w:val="0"/>
                    <w:widowControl w:val="0"/>
                    <w:kinsoku w:val="0"/>
                    <w:wordWrap/>
                    <w:overflowPunct w:val="0"/>
                    <w:topLinePunct w:val="0"/>
                    <w:autoSpaceDE w:val="0"/>
                    <w:autoSpaceDN w:val="0"/>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
                    </w:rPr>
                  </w:pPr>
                  <w:r>
                    <w:rPr>
                      <w:rStyle w:val="64"/>
                      <w:rFonts w:hint="eastAsia" w:ascii="Times New Roman" w:hAnsi="Times New Roman" w:cs="Times New Roman"/>
                      <w:b w:val="0"/>
                      <w:bCs w:val="0"/>
                      <w:color w:val="auto"/>
                      <w:sz w:val="21"/>
                      <w:szCs w:val="21"/>
                      <w:highlight w:val="none"/>
                      <w:lang w:val="en-US" w:eastAsia="zh-CN"/>
                    </w:rPr>
                    <w:t>4.4</w:t>
                  </w:r>
                </w:p>
              </w:tc>
              <w:tc>
                <w:tcPr>
                  <w:tcW w:w="2111" w:type="dxa"/>
                  <w:tcBorders>
                    <w:tl2br w:val="nil"/>
                    <w:tr2bl w:val="nil"/>
                  </w:tcBorders>
                  <w:noWrap w:val="0"/>
                  <w:vAlign w:val="center"/>
                </w:tcPr>
                <w:p w14:paraId="076E2980">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Style w:val="64"/>
                      <w:rFonts w:hint="default" w:ascii="Times New Roman" w:hAnsi="Times New Roman" w:eastAsia="宋体" w:cs="Times New Roman"/>
                      <w:b w:val="0"/>
                      <w:bCs w:val="0"/>
                      <w:color w:val="auto"/>
                      <w:sz w:val="21"/>
                      <w:szCs w:val="21"/>
                      <w:highlight w:val="none"/>
                      <w:lang w:val="en-US" w:eastAsia="zh-CN"/>
                    </w:rPr>
                  </w:pPr>
                  <w:r>
                    <w:rPr>
                      <w:rStyle w:val="64"/>
                      <w:rFonts w:hint="eastAsia" w:ascii="Times New Roman" w:hAnsi="Times New Roman" w:cs="Times New Roman"/>
                      <w:b w:val="0"/>
                      <w:bCs w:val="0"/>
                      <w:color w:val="auto"/>
                      <w:sz w:val="21"/>
                      <w:szCs w:val="21"/>
                      <w:highlight w:val="none"/>
                      <w:lang w:val="en-US" w:eastAsia="zh-CN"/>
                    </w:rPr>
                    <w:t>0.3</w:t>
                  </w:r>
                </w:p>
              </w:tc>
              <w:tc>
                <w:tcPr>
                  <w:tcW w:w="2437" w:type="dxa"/>
                  <w:tcBorders>
                    <w:tl2br w:val="nil"/>
                    <w:tr2bl w:val="nil"/>
                  </w:tcBorders>
                  <w:noWrap w:val="0"/>
                  <w:vAlign w:val="center"/>
                </w:tcPr>
                <w:p w14:paraId="181A89F8">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Style w:val="64"/>
                      <w:rFonts w:hint="default" w:ascii="Times New Roman" w:hAnsi="Times New Roman" w:eastAsia="宋体" w:cs="Times New Roman"/>
                      <w:b w:val="0"/>
                      <w:bCs w:val="0"/>
                      <w:color w:val="auto"/>
                      <w:sz w:val="21"/>
                      <w:szCs w:val="21"/>
                      <w:highlight w:val="none"/>
                      <w:lang w:val="en-US" w:eastAsia="zh-CN"/>
                    </w:rPr>
                  </w:pPr>
                  <w:r>
                    <w:rPr>
                      <w:rStyle w:val="64"/>
                      <w:rFonts w:hint="eastAsia" w:ascii="Times New Roman" w:hAnsi="Times New Roman" w:cs="Times New Roman"/>
                      <w:b w:val="0"/>
                      <w:bCs w:val="0"/>
                      <w:color w:val="auto"/>
                      <w:sz w:val="21"/>
                      <w:szCs w:val="21"/>
                      <w:highlight w:val="none"/>
                      <w:lang w:val="en-US" w:eastAsia="zh-CN"/>
                    </w:rPr>
                    <w:t>4752</w:t>
                  </w:r>
                </w:p>
              </w:tc>
            </w:tr>
            <w:tr w14:paraId="34C81A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1319" w:type="dxa"/>
                  <w:tcBorders>
                    <w:tl2br w:val="nil"/>
                    <w:tr2bl w:val="nil"/>
                  </w:tcBorders>
                  <w:noWrap w:val="0"/>
                  <w:vAlign w:val="center"/>
                </w:tcPr>
                <w:p w14:paraId="1E7D6A06">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Style w:val="64"/>
                      <w:rFonts w:hint="default" w:ascii="Times New Roman" w:hAnsi="Times New Roman" w:cs="Times New Roman"/>
                      <w:b w:val="0"/>
                      <w:bCs w:val="0"/>
                      <w:color w:val="auto"/>
                      <w:sz w:val="21"/>
                      <w:szCs w:val="21"/>
                      <w:highlight w:val="none"/>
                      <w:lang w:val="en-US" w:eastAsia="zh-CN"/>
                    </w:rPr>
                  </w:pPr>
                  <w:r>
                    <w:rPr>
                      <w:rStyle w:val="64"/>
                      <w:rFonts w:hint="eastAsia" w:ascii="Times New Roman" w:hAnsi="Times New Roman" w:cs="Times New Roman"/>
                      <w:b w:val="0"/>
                      <w:bCs w:val="0"/>
                      <w:color w:val="auto"/>
                      <w:sz w:val="21"/>
                      <w:szCs w:val="21"/>
                      <w:highlight w:val="none"/>
                      <w:lang w:val="en-US" w:eastAsia="zh-CN"/>
                    </w:rPr>
                    <w:t>DA002</w:t>
                  </w:r>
                </w:p>
              </w:tc>
              <w:tc>
                <w:tcPr>
                  <w:tcW w:w="1844" w:type="dxa"/>
                  <w:tcBorders>
                    <w:tl2br w:val="nil"/>
                    <w:tr2bl w:val="nil"/>
                  </w:tcBorders>
                  <w:noWrap w:val="0"/>
                  <w:vAlign w:val="center"/>
                </w:tcPr>
                <w:p w14:paraId="322A0CCE">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Style w:val="64"/>
                      <w:rFonts w:hint="default" w:ascii="Times New Roman" w:hAnsi="Times New Roman" w:cs="Times New Roman"/>
                      <w:b w:val="0"/>
                      <w:bCs w:val="0"/>
                      <w:color w:val="auto"/>
                      <w:sz w:val="21"/>
                      <w:szCs w:val="21"/>
                      <w:highlight w:val="none"/>
                      <w:lang w:val="en-US" w:eastAsia="zh-CN"/>
                    </w:rPr>
                  </w:pPr>
                  <w:r>
                    <w:rPr>
                      <w:rStyle w:val="64"/>
                      <w:rFonts w:hint="eastAsia" w:ascii="Times New Roman" w:hAnsi="Times New Roman" w:cs="Times New Roman"/>
                      <w:b w:val="0"/>
                      <w:bCs w:val="0"/>
                      <w:color w:val="auto"/>
                      <w:sz w:val="21"/>
                      <w:szCs w:val="21"/>
                      <w:highlight w:val="none"/>
                      <w:lang w:val="en-US" w:eastAsia="zh-CN"/>
                    </w:rPr>
                    <w:t>12</w:t>
                  </w:r>
                </w:p>
              </w:tc>
              <w:tc>
                <w:tcPr>
                  <w:tcW w:w="2111" w:type="dxa"/>
                  <w:tcBorders>
                    <w:tl2br w:val="nil"/>
                    <w:tr2bl w:val="nil"/>
                  </w:tcBorders>
                  <w:noWrap w:val="0"/>
                  <w:vAlign w:val="center"/>
                </w:tcPr>
                <w:p w14:paraId="0657A17D">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Style w:val="64"/>
                      <w:rFonts w:hint="default" w:ascii="Times New Roman" w:hAnsi="Times New Roman" w:cs="Times New Roman"/>
                      <w:b w:val="0"/>
                      <w:bCs w:val="0"/>
                      <w:color w:val="auto"/>
                      <w:sz w:val="21"/>
                      <w:szCs w:val="21"/>
                      <w:highlight w:val="none"/>
                      <w:lang w:val="en-US" w:eastAsia="zh-CN"/>
                    </w:rPr>
                  </w:pPr>
                  <w:r>
                    <w:rPr>
                      <w:rStyle w:val="64"/>
                      <w:rFonts w:hint="eastAsia" w:ascii="Times New Roman" w:hAnsi="Times New Roman" w:cs="Times New Roman"/>
                      <w:b w:val="0"/>
                      <w:bCs w:val="0"/>
                      <w:color w:val="auto"/>
                      <w:sz w:val="21"/>
                      <w:szCs w:val="21"/>
                      <w:highlight w:val="none"/>
                      <w:lang w:val="en-US" w:eastAsia="zh-CN"/>
                    </w:rPr>
                    <w:t>0.3</w:t>
                  </w:r>
                </w:p>
              </w:tc>
              <w:tc>
                <w:tcPr>
                  <w:tcW w:w="2437" w:type="dxa"/>
                  <w:tcBorders>
                    <w:tl2br w:val="nil"/>
                    <w:tr2bl w:val="nil"/>
                  </w:tcBorders>
                  <w:noWrap w:val="0"/>
                  <w:vAlign w:val="center"/>
                </w:tcPr>
                <w:p w14:paraId="09A7EB35">
                  <w:pPr>
                    <w:pStyle w:val="63"/>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Style w:val="64"/>
                      <w:rFonts w:hint="default" w:ascii="Times New Roman" w:hAnsi="Times New Roman" w:cs="Times New Roman"/>
                      <w:b w:val="0"/>
                      <w:bCs w:val="0"/>
                      <w:color w:val="auto"/>
                      <w:sz w:val="21"/>
                      <w:szCs w:val="21"/>
                      <w:highlight w:val="none"/>
                      <w:lang w:val="en-US" w:eastAsia="zh-CN"/>
                    </w:rPr>
                  </w:pPr>
                  <w:r>
                    <w:rPr>
                      <w:rStyle w:val="64"/>
                      <w:rFonts w:hint="eastAsia" w:ascii="Times New Roman" w:hAnsi="Times New Roman" w:cs="Times New Roman"/>
                      <w:b w:val="0"/>
                      <w:bCs w:val="0"/>
                      <w:color w:val="auto"/>
                      <w:sz w:val="21"/>
                      <w:szCs w:val="21"/>
                      <w:highlight w:val="none"/>
                      <w:lang w:val="en-US" w:eastAsia="zh-CN"/>
                    </w:rPr>
                    <w:t>12960</w:t>
                  </w:r>
                </w:p>
              </w:tc>
            </w:tr>
          </w:tbl>
          <w:p w14:paraId="4A0853C3">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黑体" w:cs="Times New Roman"/>
                <w:color w:val="auto"/>
                <w:kern w:val="2"/>
                <w:sz w:val="24"/>
                <w:highlight w:val="none"/>
                <w:lang w:val="en-US" w:eastAsia="zh-CN" w:bidi="ar-SA"/>
              </w:rPr>
            </w:pPr>
            <w:r>
              <w:rPr>
                <w:rFonts w:hint="eastAsia" w:ascii="Times New Roman" w:hAnsi="Times New Roman" w:eastAsia="宋体" w:cs="Times New Roman"/>
                <w:bCs/>
                <w:color w:val="000000"/>
                <w:sz w:val="24"/>
                <w:highlight w:val="none"/>
                <w:u w:val="none"/>
                <w:lang w:val="en-US" w:eastAsia="zh-CN"/>
              </w:rPr>
              <w:t>根据计算，本项目</w:t>
            </w:r>
            <w:r>
              <w:rPr>
                <w:rFonts w:ascii="Times New Roman" w:hAnsi="Times New Roman" w:eastAsia="宋体" w:cs="Times New Roman"/>
                <w:bCs/>
                <w:color w:val="000000"/>
                <w:sz w:val="24"/>
                <w:highlight w:val="none"/>
                <w:u w:val="none"/>
              </w:rPr>
              <w:t>风机风量</w:t>
            </w:r>
            <w:r>
              <w:rPr>
                <w:rFonts w:hint="eastAsia" w:ascii="Times New Roman" w:hAnsi="Times New Roman" w:eastAsia="宋体" w:cs="Times New Roman"/>
                <w:bCs/>
                <w:color w:val="000000"/>
                <w:sz w:val="24"/>
                <w:highlight w:val="none"/>
                <w:u w:val="none"/>
                <w:lang w:val="en-US" w:eastAsia="zh-CN"/>
              </w:rPr>
              <w:t>设计可以满足需求。</w:t>
            </w:r>
            <w:r>
              <w:rPr>
                <w:rFonts w:hint="eastAsia" w:ascii="Times New Roman" w:hAnsi="Times New Roman" w:cs="Times New Roman"/>
                <w:color w:val="auto"/>
                <w:kern w:val="0"/>
                <w:sz w:val="24"/>
                <w:szCs w:val="24"/>
                <w:lang w:val="en-US" w:eastAsia="zh-CN"/>
              </w:rPr>
              <w:t>大气产污汇总如</w:t>
            </w:r>
            <w:r>
              <w:rPr>
                <w:rFonts w:hint="eastAsia" w:ascii="Times New Roman" w:hAnsi="Times New Roman" w:cs="Times New Roman"/>
                <w:color w:val="auto"/>
                <w:kern w:val="0"/>
                <w:sz w:val="24"/>
                <w:szCs w:val="24"/>
                <w:highlight w:val="none"/>
                <w:lang w:val="en-US" w:eastAsia="zh-CN"/>
              </w:rPr>
              <w:t>下表：</w:t>
            </w:r>
          </w:p>
          <w:p w14:paraId="514C3CD5">
            <w:pPr>
              <w:bidi w:val="0"/>
              <w:jc w:val="center"/>
              <w:rPr>
                <w:rFonts w:hint="default" w:ascii="Times New Roman" w:hAnsi="Times New Roman" w:eastAsia="黑体" w:cs="Times New Roman"/>
                <w:color w:val="auto"/>
                <w:kern w:val="2"/>
                <w:sz w:val="24"/>
                <w:highlight w:val="none"/>
                <w:lang w:val="en-US" w:eastAsia="zh-CN" w:bidi="ar-SA"/>
              </w:rPr>
            </w:pPr>
            <w:r>
              <w:rPr>
                <w:rFonts w:hint="eastAsia" w:ascii="Times New Roman" w:hAnsi="Times New Roman" w:eastAsia="黑体" w:cs="Times New Roman"/>
                <w:color w:val="auto"/>
                <w:kern w:val="2"/>
                <w:sz w:val="24"/>
                <w:highlight w:val="none"/>
                <w:lang w:val="en-US" w:eastAsia="zh-CN" w:bidi="ar-SA"/>
              </w:rPr>
              <w:t>表</w:t>
            </w:r>
            <w:r>
              <w:rPr>
                <w:rFonts w:hint="eastAsia" w:eastAsia="黑体" w:cs="Times New Roman"/>
                <w:color w:val="auto"/>
                <w:kern w:val="2"/>
                <w:sz w:val="24"/>
                <w:highlight w:val="none"/>
                <w:lang w:val="en-US" w:eastAsia="zh-CN" w:bidi="ar-SA"/>
              </w:rPr>
              <w:t xml:space="preserve">4-7 </w:t>
            </w:r>
            <w:r>
              <w:rPr>
                <w:rFonts w:hint="eastAsia" w:ascii="Times New Roman" w:hAnsi="Times New Roman" w:eastAsia="黑体" w:cs="Times New Roman"/>
                <w:color w:val="auto"/>
                <w:kern w:val="2"/>
                <w:sz w:val="24"/>
                <w:highlight w:val="none"/>
                <w:lang w:val="en-US" w:eastAsia="zh-CN" w:bidi="ar-SA"/>
              </w:rPr>
              <w:t xml:space="preserve"> 项目主要大气污染物治理设施及产排情况汇总表</w:t>
            </w:r>
          </w:p>
          <w:tbl>
            <w:tblPr>
              <w:tblStyle w:val="24"/>
              <w:tblW w:w="79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Layout w:type="fixed"/>
              <w:tblCellMar>
                <w:top w:w="0" w:type="dxa"/>
                <w:left w:w="108" w:type="dxa"/>
                <w:bottom w:w="0" w:type="dxa"/>
                <w:right w:w="108" w:type="dxa"/>
              </w:tblCellMar>
            </w:tblPr>
            <w:tblGrid>
              <w:gridCol w:w="487"/>
              <w:gridCol w:w="487"/>
              <w:gridCol w:w="522"/>
              <w:gridCol w:w="694"/>
              <w:gridCol w:w="801"/>
              <w:gridCol w:w="673"/>
              <w:gridCol w:w="586"/>
              <w:gridCol w:w="1360"/>
              <w:gridCol w:w="858"/>
              <w:gridCol w:w="769"/>
              <w:gridCol w:w="717"/>
            </w:tblGrid>
            <w:tr w14:paraId="15948F7D">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1599" w:hRule="atLeast"/>
              </w:trPr>
              <w:tc>
                <w:tcPr>
                  <w:tcW w:w="487" w:type="dxa"/>
                  <w:tcBorders>
                    <w:tl2br w:val="nil"/>
                    <w:tr2bl w:val="nil"/>
                  </w:tcBorders>
                  <w:vAlign w:val="center"/>
                </w:tcPr>
                <w:p w14:paraId="31A3E3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产品生产线</w:t>
                  </w:r>
                </w:p>
              </w:tc>
              <w:tc>
                <w:tcPr>
                  <w:tcW w:w="487" w:type="dxa"/>
                  <w:tcBorders>
                    <w:tl2br w:val="nil"/>
                    <w:tr2bl w:val="nil"/>
                  </w:tcBorders>
                  <w:vAlign w:val="center"/>
                </w:tcPr>
                <w:p w14:paraId="1FE762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zh-CN" w:eastAsia="zh-CN"/>
                    </w:rPr>
                    <w:t>产排污环节</w:t>
                  </w:r>
                </w:p>
              </w:tc>
              <w:tc>
                <w:tcPr>
                  <w:tcW w:w="522" w:type="dxa"/>
                  <w:tcBorders>
                    <w:tl2br w:val="nil"/>
                    <w:tr2bl w:val="nil"/>
                  </w:tcBorders>
                  <w:vAlign w:val="center"/>
                </w:tcPr>
                <w:p w14:paraId="67D126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zh-CN" w:eastAsia="zh-CN"/>
                    </w:rPr>
                    <w:t>污染物种类</w:t>
                  </w:r>
                </w:p>
              </w:tc>
              <w:tc>
                <w:tcPr>
                  <w:tcW w:w="694" w:type="dxa"/>
                  <w:tcBorders>
                    <w:tl2br w:val="nil"/>
                    <w:tr2bl w:val="nil"/>
                  </w:tcBorders>
                  <w:vAlign w:val="center"/>
                </w:tcPr>
                <w:p w14:paraId="779ABB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zh-CN" w:eastAsia="zh-CN"/>
                    </w:rPr>
                    <w:t>污染物</w:t>
                  </w:r>
                  <w:r>
                    <w:rPr>
                      <w:rFonts w:hint="eastAsia" w:cs="Times New Roman"/>
                      <w:b/>
                      <w:bCs/>
                      <w:color w:val="auto"/>
                      <w:sz w:val="21"/>
                      <w:szCs w:val="21"/>
                      <w:highlight w:val="none"/>
                      <w:vertAlign w:val="baseline"/>
                      <w:lang w:val="en-US" w:eastAsia="zh-CN"/>
                    </w:rPr>
                    <w:t>收集</w:t>
                  </w:r>
                  <w:r>
                    <w:rPr>
                      <w:rFonts w:hint="eastAsia" w:ascii="Times New Roman" w:hAnsi="Times New Roman" w:eastAsia="宋体" w:cs="Times New Roman"/>
                      <w:b/>
                      <w:bCs/>
                      <w:color w:val="auto"/>
                      <w:sz w:val="21"/>
                      <w:szCs w:val="21"/>
                      <w:highlight w:val="none"/>
                      <w:vertAlign w:val="baseline"/>
                      <w:lang w:val="zh-CN" w:eastAsia="zh-CN"/>
                    </w:rPr>
                    <w:t>量</w:t>
                  </w:r>
                  <w:r>
                    <w:rPr>
                      <w:rFonts w:hint="eastAsia" w:ascii="Times New Roman" w:hAnsi="Times New Roman" w:eastAsia="宋体" w:cs="Times New Roman"/>
                      <w:b/>
                      <w:bCs/>
                      <w:color w:val="auto"/>
                      <w:sz w:val="21"/>
                      <w:szCs w:val="21"/>
                      <w:highlight w:val="none"/>
                      <w:vertAlign w:val="baseline"/>
                      <w:lang w:val="en-US" w:eastAsia="zh-CN"/>
                    </w:rPr>
                    <w:t>t/a</w:t>
                  </w:r>
                </w:p>
              </w:tc>
              <w:tc>
                <w:tcPr>
                  <w:tcW w:w="801" w:type="dxa"/>
                  <w:tcBorders>
                    <w:tl2br w:val="nil"/>
                    <w:tr2bl w:val="nil"/>
                  </w:tcBorders>
                  <w:vAlign w:val="center"/>
                </w:tcPr>
                <w:p w14:paraId="4C3BE7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highlight w:val="none"/>
                      <w:vertAlign w:val="baseline"/>
                      <w:lang w:val="zh-CN" w:eastAsia="zh-CN" w:bidi="ar-SA"/>
                    </w:rPr>
                  </w:pPr>
                  <w:r>
                    <w:rPr>
                      <w:rFonts w:hint="eastAsia" w:ascii="Times New Roman" w:hAnsi="Times New Roman" w:eastAsia="宋体" w:cs="Times New Roman"/>
                      <w:b/>
                      <w:bCs/>
                      <w:color w:val="auto"/>
                      <w:sz w:val="21"/>
                      <w:szCs w:val="21"/>
                      <w:highlight w:val="none"/>
                      <w:vertAlign w:val="baseline"/>
                      <w:lang w:val="zh-CN" w:eastAsia="zh-CN"/>
                    </w:rPr>
                    <w:t>污染物</w:t>
                  </w:r>
                  <w:r>
                    <w:rPr>
                      <w:rFonts w:hint="eastAsia" w:cs="Times New Roman"/>
                      <w:b/>
                      <w:bCs/>
                      <w:color w:val="auto"/>
                      <w:sz w:val="21"/>
                      <w:szCs w:val="21"/>
                      <w:highlight w:val="none"/>
                      <w:vertAlign w:val="baseline"/>
                      <w:lang w:val="en-US" w:eastAsia="zh-CN"/>
                    </w:rPr>
                    <w:t>产生</w:t>
                  </w:r>
                  <w:r>
                    <w:rPr>
                      <w:rFonts w:hint="eastAsia" w:ascii="Times New Roman" w:hAnsi="Times New Roman" w:eastAsia="宋体" w:cs="Times New Roman"/>
                      <w:b/>
                      <w:bCs/>
                      <w:color w:val="auto"/>
                      <w:sz w:val="21"/>
                      <w:szCs w:val="21"/>
                      <w:highlight w:val="none"/>
                      <w:vertAlign w:val="baseline"/>
                      <w:lang w:val="zh-CN" w:eastAsia="zh-CN"/>
                    </w:rPr>
                    <w:t>浓度mg/m</w:t>
                  </w:r>
                  <w:r>
                    <w:rPr>
                      <w:rFonts w:hint="eastAsia" w:ascii="Times New Roman" w:hAnsi="Times New Roman" w:eastAsia="宋体" w:cs="Times New Roman"/>
                      <w:b/>
                      <w:bCs/>
                      <w:color w:val="auto"/>
                      <w:sz w:val="21"/>
                      <w:szCs w:val="21"/>
                      <w:highlight w:val="none"/>
                      <w:vertAlign w:val="superscript"/>
                      <w:lang w:val="zh-CN" w:eastAsia="zh-CN"/>
                    </w:rPr>
                    <w:t>3</w:t>
                  </w:r>
                </w:p>
              </w:tc>
              <w:tc>
                <w:tcPr>
                  <w:tcW w:w="673" w:type="dxa"/>
                  <w:tcBorders>
                    <w:tl2br w:val="nil"/>
                    <w:tr2bl w:val="nil"/>
                  </w:tcBorders>
                  <w:vAlign w:val="center"/>
                </w:tcPr>
                <w:p w14:paraId="6F0A2F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highlight w:val="none"/>
                      <w:vertAlign w:val="baseline"/>
                      <w:lang w:val="zh-CN" w:eastAsia="zh-CN" w:bidi="ar-SA"/>
                    </w:rPr>
                  </w:pPr>
                  <w:r>
                    <w:rPr>
                      <w:rFonts w:hint="eastAsia" w:ascii="Times New Roman" w:hAnsi="Times New Roman" w:eastAsia="宋体" w:cs="Times New Roman"/>
                      <w:b/>
                      <w:bCs/>
                      <w:color w:val="auto"/>
                      <w:sz w:val="21"/>
                      <w:szCs w:val="21"/>
                      <w:highlight w:val="none"/>
                      <w:vertAlign w:val="baseline"/>
                      <w:lang w:val="zh-CN" w:eastAsia="zh-CN"/>
                    </w:rPr>
                    <w:t>污染物</w:t>
                  </w:r>
                  <w:r>
                    <w:rPr>
                      <w:rFonts w:hint="eastAsia" w:cs="Times New Roman"/>
                      <w:b/>
                      <w:bCs/>
                      <w:color w:val="auto"/>
                      <w:sz w:val="21"/>
                      <w:szCs w:val="21"/>
                      <w:highlight w:val="none"/>
                      <w:vertAlign w:val="baseline"/>
                      <w:lang w:val="en-US" w:eastAsia="zh-CN"/>
                    </w:rPr>
                    <w:t>产生</w:t>
                  </w:r>
                  <w:r>
                    <w:rPr>
                      <w:rFonts w:hint="eastAsia" w:ascii="Times New Roman" w:hAnsi="Times New Roman" w:eastAsia="宋体" w:cs="Times New Roman"/>
                      <w:b/>
                      <w:bCs/>
                      <w:color w:val="auto"/>
                      <w:sz w:val="21"/>
                      <w:szCs w:val="21"/>
                      <w:highlight w:val="none"/>
                      <w:vertAlign w:val="baseline"/>
                      <w:lang w:val="zh-CN" w:eastAsia="zh-CN"/>
                    </w:rPr>
                    <w:t>速率</w:t>
                  </w:r>
                  <w:r>
                    <w:rPr>
                      <w:rFonts w:hint="eastAsia" w:ascii="Times New Roman" w:hAnsi="Times New Roman" w:eastAsia="宋体" w:cs="Times New Roman"/>
                      <w:b/>
                      <w:bCs/>
                      <w:color w:val="auto"/>
                      <w:sz w:val="21"/>
                      <w:szCs w:val="21"/>
                      <w:highlight w:val="none"/>
                      <w:vertAlign w:val="baseline"/>
                      <w:lang w:val="en-US" w:eastAsia="zh-CN"/>
                    </w:rPr>
                    <w:t>kg/h</w:t>
                  </w:r>
                </w:p>
              </w:tc>
              <w:tc>
                <w:tcPr>
                  <w:tcW w:w="586" w:type="dxa"/>
                  <w:tcBorders>
                    <w:tl2br w:val="nil"/>
                    <w:tr2bl w:val="nil"/>
                  </w:tcBorders>
                  <w:vAlign w:val="center"/>
                </w:tcPr>
                <w:p w14:paraId="73159A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vertAlign w:val="baseline"/>
                      <w:lang w:val="zh-CN" w:eastAsia="zh-CN"/>
                    </w:rPr>
                  </w:pPr>
                  <w:r>
                    <w:rPr>
                      <w:rFonts w:hint="eastAsia" w:ascii="Times New Roman" w:hAnsi="Times New Roman" w:eastAsia="宋体" w:cs="Times New Roman"/>
                      <w:b/>
                      <w:bCs/>
                      <w:color w:val="auto"/>
                      <w:sz w:val="21"/>
                      <w:szCs w:val="21"/>
                      <w:highlight w:val="none"/>
                      <w:vertAlign w:val="baseline"/>
                      <w:lang w:val="zh-CN" w:eastAsia="zh-CN"/>
                    </w:rPr>
                    <w:t>排放</w:t>
                  </w:r>
                </w:p>
                <w:p w14:paraId="39CA52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zh-CN" w:eastAsia="zh-CN"/>
                    </w:rPr>
                    <w:t>形式</w:t>
                  </w:r>
                </w:p>
              </w:tc>
              <w:tc>
                <w:tcPr>
                  <w:tcW w:w="1360" w:type="dxa"/>
                  <w:tcBorders>
                    <w:tl2br w:val="nil"/>
                    <w:tr2bl w:val="nil"/>
                  </w:tcBorders>
                  <w:vAlign w:val="center"/>
                </w:tcPr>
                <w:p w14:paraId="4FB413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zh-CN" w:eastAsia="zh-CN"/>
                    </w:rPr>
                    <w:t>治理设施（名称、处理能力、收集效率、去除率）</w:t>
                  </w:r>
                </w:p>
              </w:tc>
              <w:tc>
                <w:tcPr>
                  <w:tcW w:w="858" w:type="dxa"/>
                  <w:tcBorders>
                    <w:tl2br w:val="nil"/>
                    <w:tr2bl w:val="nil"/>
                  </w:tcBorders>
                  <w:vAlign w:val="center"/>
                </w:tcPr>
                <w:p w14:paraId="4D9814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zh-CN" w:eastAsia="zh-CN"/>
                    </w:rPr>
                    <w:t>污染物排放浓度mg/m</w:t>
                  </w:r>
                  <w:r>
                    <w:rPr>
                      <w:rFonts w:hint="eastAsia" w:ascii="Times New Roman" w:hAnsi="Times New Roman" w:eastAsia="宋体" w:cs="Times New Roman"/>
                      <w:b/>
                      <w:bCs/>
                      <w:color w:val="auto"/>
                      <w:sz w:val="21"/>
                      <w:szCs w:val="21"/>
                      <w:highlight w:val="none"/>
                      <w:vertAlign w:val="superscript"/>
                      <w:lang w:val="zh-CN" w:eastAsia="zh-CN"/>
                    </w:rPr>
                    <w:t>3</w:t>
                  </w:r>
                </w:p>
              </w:tc>
              <w:tc>
                <w:tcPr>
                  <w:tcW w:w="769" w:type="dxa"/>
                  <w:tcBorders>
                    <w:tl2br w:val="nil"/>
                    <w:tr2bl w:val="nil"/>
                  </w:tcBorders>
                  <w:vAlign w:val="center"/>
                </w:tcPr>
                <w:p w14:paraId="481903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zh-CN" w:eastAsia="zh-CN"/>
                    </w:rPr>
                    <w:t>污染物排放速率</w:t>
                  </w:r>
                  <w:r>
                    <w:rPr>
                      <w:rFonts w:hint="eastAsia" w:ascii="Times New Roman" w:hAnsi="Times New Roman" w:eastAsia="宋体" w:cs="Times New Roman"/>
                      <w:b/>
                      <w:bCs/>
                      <w:color w:val="auto"/>
                      <w:sz w:val="21"/>
                      <w:szCs w:val="21"/>
                      <w:highlight w:val="none"/>
                      <w:vertAlign w:val="baseline"/>
                      <w:lang w:val="en-US" w:eastAsia="zh-CN"/>
                    </w:rPr>
                    <w:t>kg/h</w:t>
                  </w:r>
                </w:p>
              </w:tc>
              <w:tc>
                <w:tcPr>
                  <w:tcW w:w="717" w:type="dxa"/>
                  <w:tcBorders>
                    <w:tl2br w:val="nil"/>
                    <w:tr2bl w:val="nil"/>
                  </w:tcBorders>
                  <w:vAlign w:val="center"/>
                </w:tcPr>
                <w:p w14:paraId="294D09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zh-CN" w:eastAsia="zh-CN"/>
                    </w:rPr>
                    <w:t>污染物排放量t/a</w:t>
                  </w:r>
                </w:p>
              </w:tc>
            </w:tr>
            <w:tr w14:paraId="51DF37BF">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919" w:hRule="atLeast"/>
              </w:trPr>
              <w:tc>
                <w:tcPr>
                  <w:tcW w:w="487" w:type="dxa"/>
                  <w:vMerge w:val="restart"/>
                  <w:tcBorders>
                    <w:tl2br w:val="nil"/>
                    <w:tr2bl w:val="nil"/>
                  </w:tcBorders>
                  <w:vAlign w:val="center"/>
                </w:tcPr>
                <w:p w14:paraId="37CE5F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砂石生产线</w:t>
                  </w:r>
                </w:p>
              </w:tc>
              <w:tc>
                <w:tcPr>
                  <w:tcW w:w="487" w:type="dxa"/>
                  <w:vMerge w:val="restart"/>
                  <w:tcBorders>
                    <w:tl2br w:val="nil"/>
                    <w:tr2bl w:val="nil"/>
                  </w:tcBorders>
                  <w:vAlign w:val="center"/>
                </w:tcPr>
                <w:p w14:paraId="2704ED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喂料机给料工序</w:t>
                  </w:r>
                </w:p>
              </w:tc>
              <w:tc>
                <w:tcPr>
                  <w:tcW w:w="522" w:type="dxa"/>
                  <w:vMerge w:val="restart"/>
                  <w:tcBorders>
                    <w:tl2br w:val="nil"/>
                    <w:tr2bl w:val="nil"/>
                  </w:tcBorders>
                  <w:vAlign w:val="center"/>
                </w:tcPr>
                <w:p w14:paraId="41F061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颗粒物</w:t>
                  </w:r>
                </w:p>
              </w:tc>
              <w:tc>
                <w:tcPr>
                  <w:tcW w:w="694" w:type="dxa"/>
                  <w:vMerge w:val="restart"/>
                  <w:tcBorders>
                    <w:tl2br w:val="nil"/>
                    <w:tr2bl w:val="nil"/>
                  </w:tcBorders>
                  <w:vAlign w:val="center"/>
                </w:tcPr>
                <w:p w14:paraId="578C99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4.75</w:t>
                  </w:r>
                </w:p>
              </w:tc>
              <w:tc>
                <w:tcPr>
                  <w:tcW w:w="801" w:type="dxa"/>
                  <w:vMerge w:val="restart"/>
                  <w:tcBorders>
                    <w:tl2br w:val="nil"/>
                    <w:tr2bl w:val="nil"/>
                  </w:tcBorders>
                  <w:vAlign w:val="center"/>
                </w:tcPr>
                <w:p w14:paraId="00288D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197.92</w:t>
                  </w:r>
                </w:p>
              </w:tc>
              <w:tc>
                <w:tcPr>
                  <w:tcW w:w="673" w:type="dxa"/>
                  <w:vMerge w:val="restart"/>
                  <w:tcBorders>
                    <w:tl2br w:val="nil"/>
                    <w:tr2bl w:val="nil"/>
                  </w:tcBorders>
                  <w:vAlign w:val="center"/>
                </w:tcPr>
                <w:p w14:paraId="174CF0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0.99</w:t>
                  </w:r>
                </w:p>
              </w:tc>
              <w:tc>
                <w:tcPr>
                  <w:tcW w:w="586" w:type="dxa"/>
                  <w:tcBorders>
                    <w:tl2br w:val="nil"/>
                    <w:tr2bl w:val="nil"/>
                  </w:tcBorders>
                  <w:vAlign w:val="center"/>
                </w:tcPr>
                <w:p w14:paraId="526DA7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有组织</w:t>
                  </w:r>
                </w:p>
              </w:tc>
              <w:tc>
                <w:tcPr>
                  <w:tcW w:w="1360" w:type="dxa"/>
                  <w:vMerge w:val="restart"/>
                  <w:tcBorders>
                    <w:tl2br w:val="nil"/>
                    <w:tr2bl w:val="nil"/>
                  </w:tcBorders>
                  <w:vAlign w:val="center"/>
                </w:tcPr>
                <w:p w14:paraId="4A943C1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u w:val="none"/>
                      <w:vertAlign w:val="baseline"/>
                      <w:lang w:val="en-US" w:eastAsia="zh-CN"/>
                    </w:rPr>
                  </w:pPr>
                  <w:r>
                    <w:rPr>
                      <w:rFonts w:hint="eastAsia" w:ascii="Times New Roman" w:hAnsi="Times New Roman" w:cs="Times New Roman"/>
                      <w:color w:val="auto"/>
                      <w:sz w:val="21"/>
                      <w:szCs w:val="21"/>
                      <w:highlight w:val="none"/>
                      <w:u w:val="none"/>
                      <w:vertAlign w:val="baseline"/>
                      <w:lang w:val="en-US" w:eastAsia="zh-CN"/>
                    </w:rPr>
                    <w:t>给料工序、</w:t>
                  </w:r>
                  <w:r>
                    <w:rPr>
                      <w:rFonts w:hint="eastAsia" w:cs="Times New Roman"/>
                      <w:color w:val="auto"/>
                      <w:sz w:val="21"/>
                      <w:szCs w:val="21"/>
                      <w:highlight w:val="none"/>
                      <w:u w:val="none"/>
                      <w:vertAlign w:val="baseline"/>
                      <w:lang w:val="en-US" w:eastAsia="zh-CN"/>
                    </w:rPr>
                    <w:t>颚</w:t>
                  </w:r>
                  <w:r>
                    <w:rPr>
                      <w:rFonts w:hint="eastAsia" w:ascii="Times New Roman" w:hAnsi="Times New Roman" w:cs="Times New Roman"/>
                      <w:color w:val="auto"/>
                      <w:sz w:val="21"/>
                      <w:szCs w:val="21"/>
                      <w:highlight w:val="none"/>
                      <w:u w:val="none"/>
                      <w:vertAlign w:val="baseline"/>
                      <w:lang w:val="en-US" w:eastAsia="zh-CN"/>
                    </w:rPr>
                    <w:t>破工序、产尘点</w:t>
                  </w:r>
                  <w:r>
                    <w:rPr>
                      <w:rFonts w:hint="eastAsia" w:cs="Times New Roman"/>
                      <w:color w:val="auto"/>
                      <w:sz w:val="21"/>
                      <w:szCs w:val="21"/>
                      <w:highlight w:val="none"/>
                      <w:u w:val="none"/>
                      <w:vertAlign w:val="baseline"/>
                      <w:lang w:val="en-US" w:eastAsia="zh-CN"/>
                    </w:rPr>
                    <w:t>处</w:t>
                  </w:r>
                  <w:r>
                    <w:rPr>
                      <w:rFonts w:hint="eastAsia" w:ascii="Times New Roman" w:hAnsi="Times New Roman" w:cs="Times New Roman"/>
                      <w:color w:val="auto"/>
                      <w:sz w:val="21"/>
                      <w:szCs w:val="21"/>
                      <w:highlight w:val="none"/>
                      <w:u w:val="none"/>
                      <w:vertAlign w:val="baseline"/>
                      <w:lang w:val="en-US" w:eastAsia="zh-CN"/>
                    </w:rPr>
                    <w:t>设置集气罩</w:t>
                  </w:r>
                  <w:r>
                    <w:rPr>
                      <w:rFonts w:hint="eastAsia" w:cs="Times New Roman"/>
                      <w:color w:val="auto"/>
                      <w:sz w:val="21"/>
                      <w:szCs w:val="21"/>
                      <w:highlight w:val="none"/>
                      <w:u w:val="none"/>
                      <w:vertAlign w:val="baseline"/>
                      <w:lang w:val="en-US" w:eastAsia="zh-CN"/>
                    </w:rPr>
                    <w:t>，将废气收集起来再进入袋式除</w:t>
                  </w:r>
                  <w:r>
                    <w:rPr>
                      <w:rFonts w:hint="eastAsia" w:ascii="Times New Roman" w:hAnsi="Times New Roman" w:eastAsia="宋体" w:cs="Times New Roman"/>
                      <w:color w:val="auto"/>
                      <w:sz w:val="21"/>
                      <w:szCs w:val="21"/>
                      <w:highlight w:val="none"/>
                      <w:u w:val="none"/>
                      <w:vertAlign w:val="baseline"/>
                      <w:lang w:val="en-US" w:eastAsia="zh-CN"/>
                    </w:rPr>
                    <w:t>尘器处理后排入15m高排气筒（DA001）达标排放（</w:t>
                  </w:r>
                  <w:r>
                    <w:rPr>
                      <w:rFonts w:hint="default" w:ascii="Times New Roman" w:hAnsi="Times New Roman" w:eastAsia="宋体" w:cs="Times New Roman"/>
                      <w:color w:val="auto"/>
                      <w:sz w:val="21"/>
                      <w:szCs w:val="21"/>
                      <w:highlight w:val="none"/>
                      <w:u w:val="none"/>
                      <w:vertAlign w:val="baseline"/>
                      <w:lang w:val="en-US" w:eastAsia="zh-CN"/>
                    </w:rPr>
                    <w:t>风机风量为</w:t>
                  </w:r>
                  <w:r>
                    <w:rPr>
                      <w:rFonts w:hint="eastAsia" w:cs="Times New Roman"/>
                      <w:color w:val="auto"/>
                      <w:sz w:val="21"/>
                      <w:szCs w:val="21"/>
                      <w:highlight w:val="none"/>
                      <w:u w:val="none"/>
                      <w:vertAlign w:val="baseline"/>
                      <w:lang w:val="en-US" w:eastAsia="zh-CN"/>
                    </w:rPr>
                    <w:t>5</w:t>
                  </w:r>
                  <w:r>
                    <w:rPr>
                      <w:rFonts w:hint="eastAsia" w:ascii="Times New Roman" w:hAnsi="Times New Roman" w:eastAsia="宋体" w:cs="Times New Roman"/>
                      <w:color w:val="auto"/>
                      <w:sz w:val="21"/>
                      <w:szCs w:val="21"/>
                      <w:highlight w:val="none"/>
                      <w:u w:val="none"/>
                      <w:vertAlign w:val="baseline"/>
                      <w:lang w:val="en-US" w:eastAsia="zh-CN"/>
                    </w:rPr>
                    <w:t>000</w:t>
                  </w:r>
                  <w:r>
                    <w:rPr>
                      <w:rFonts w:hint="default" w:ascii="Times New Roman" w:hAnsi="Times New Roman" w:eastAsia="宋体" w:cs="Times New Roman"/>
                      <w:color w:val="auto"/>
                      <w:sz w:val="21"/>
                      <w:szCs w:val="21"/>
                      <w:highlight w:val="none"/>
                      <w:u w:val="none"/>
                      <w:vertAlign w:val="baseline"/>
                      <w:lang w:val="en-US" w:eastAsia="zh-CN"/>
                    </w:rPr>
                    <w:t>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vertAlign w:val="baseline"/>
                      <w:lang w:val="en-US" w:eastAsia="zh-CN"/>
                    </w:rPr>
                    <w:t>/h</w:t>
                  </w:r>
                  <w:r>
                    <w:rPr>
                      <w:rFonts w:hint="eastAsia" w:ascii="Times New Roman" w:hAnsi="Times New Roman" w:cs="Times New Roman"/>
                      <w:color w:val="auto"/>
                      <w:sz w:val="21"/>
                      <w:szCs w:val="21"/>
                      <w:highlight w:val="none"/>
                      <w:u w:val="none"/>
                      <w:vertAlign w:val="baseline"/>
                      <w:lang w:val="en-US" w:eastAsia="zh-CN"/>
                    </w:rPr>
                    <w:t>）</w:t>
                  </w:r>
                  <w:r>
                    <w:rPr>
                      <w:rFonts w:hint="default" w:ascii="Times New Roman" w:hAnsi="Times New Roman" w:eastAsia="宋体" w:cs="Times New Roman"/>
                      <w:color w:val="auto"/>
                      <w:sz w:val="21"/>
                      <w:szCs w:val="21"/>
                      <w:highlight w:val="none"/>
                      <w:u w:val="none"/>
                      <w:vertAlign w:val="baseline"/>
                      <w:lang w:val="en-US" w:eastAsia="zh-CN"/>
                    </w:rPr>
                    <w:t>，</w:t>
                  </w:r>
                  <w:r>
                    <w:rPr>
                      <w:rFonts w:hint="eastAsia" w:ascii="Times New Roman" w:hAnsi="Times New Roman" w:eastAsia="宋体" w:cs="Times New Roman"/>
                      <w:color w:val="auto"/>
                      <w:sz w:val="21"/>
                      <w:szCs w:val="21"/>
                      <w:highlight w:val="none"/>
                      <w:u w:val="none"/>
                      <w:vertAlign w:val="baseline"/>
                      <w:lang w:val="en-US" w:eastAsia="zh-CN"/>
                    </w:rPr>
                    <w:t>收集</w:t>
                  </w:r>
                  <w:r>
                    <w:rPr>
                      <w:rFonts w:hint="default" w:ascii="Times New Roman" w:hAnsi="Times New Roman" w:eastAsia="宋体" w:cs="Times New Roman"/>
                      <w:color w:val="auto"/>
                      <w:sz w:val="21"/>
                      <w:szCs w:val="21"/>
                      <w:highlight w:val="none"/>
                      <w:u w:val="none"/>
                      <w:vertAlign w:val="baseline"/>
                      <w:lang w:val="en-US" w:eastAsia="zh-CN"/>
                    </w:rPr>
                    <w:t>效率为</w:t>
                  </w:r>
                  <w:r>
                    <w:rPr>
                      <w:rFonts w:hint="eastAsia" w:ascii="Times New Roman" w:hAnsi="Times New Roman" w:eastAsia="宋体" w:cs="Times New Roman"/>
                      <w:color w:val="auto"/>
                      <w:sz w:val="21"/>
                      <w:szCs w:val="21"/>
                      <w:highlight w:val="none"/>
                      <w:u w:val="none"/>
                      <w:vertAlign w:val="baseline"/>
                      <w:lang w:val="en-US" w:eastAsia="zh-CN"/>
                    </w:rPr>
                    <w:t>9</w:t>
                  </w:r>
                  <w:r>
                    <w:rPr>
                      <w:rFonts w:hint="eastAsia" w:cs="Times New Roman"/>
                      <w:color w:val="auto"/>
                      <w:sz w:val="21"/>
                      <w:szCs w:val="21"/>
                      <w:highlight w:val="none"/>
                      <w:u w:val="none"/>
                      <w:vertAlign w:val="baseline"/>
                      <w:lang w:val="en-US" w:eastAsia="zh-CN"/>
                    </w:rPr>
                    <w:t>5</w:t>
                  </w:r>
                  <w:r>
                    <w:rPr>
                      <w:rFonts w:hint="default" w:ascii="Times New Roman" w:hAnsi="Times New Roman" w:eastAsia="宋体" w:cs="Times New Roman"/>
                      <w:color w:val="auto"/>
                      <w:sz w:val="21"/>
                      <w:szCs w:val="21"/>
                      <w:highlight w:val="none"/>
                      <w:u w:val="none"/>
                      <w:vertAlign w:val="baseline"/>
                      <w:lang w:val="en-US" w:eastAsia="zh-CN"/>
                    </w:rPr>
                    <w:t>%</w:t>
                  </w:r>
                  <w:r>
                    <w:rPr>
                      <w:rFonts w:hint="eastAsia" w:ascii="Times New Roman" w:hAnsi="Times New Roman" w:eastAsia="宋体" w:cs="Times New Roman"/>
                      <w:color w:val="auto"/>
                      <w:sz w:val="21"/>
                      <w:szCs w:val="21"/>
                      <w:highlight w:val="none"/>
                      <w:u w:val="none"/>
                      <w:vertAlign w:val="baseline"/>
                      <w:lang w:val="en-US" w:eastAsia="zh-CN"/>
                    </w:rPr>
                    <w:t>，废气处理效率为9</w:t>
                  </w:r>
                  <w:r>
                    <w:rPr>
                      <w:rFonts w:hint="eastAsia" w:cs="Times New Roman"/>
                      <w:color w:val="auto"/>
                      <w:sz w:val="21"/>
                      <w:szCs w:val="21"/>
                      <w:highlight w:val="none"/>
                      <w:u w:val="none"/>
                      <w:vertAlign w:val="baseline"/>
                      <w:lang w:val="en-US" w:eastAsia="zh-CN"/>
                    </w:rPr>
                    <w:t>9.9</w:t>
                  </w:r>
                  <w:r>
                    <w:rPr>
                      <w:rFonts w:hint="eastAsia" w:ascii="Times New Roman" w:hAnsi="Times New Roman" w:eastAsia="宋体" w:cs="Times New Roman"/>
                      <w:color w:val="auto"/>
                      <w:sz w:val="21"/>
                      <w:szCs w:val="21"/>
                      <w:highlight w:val="none"/>
                      <w:u w:val="none"/>
                      <w:vertAlign w:val="baseline"/>
                      <w:lang w:val="en-US" w:eastAsia="zh-CN"/>
                    </w:rPr>
                    <w:t>%）</w:t>
                  </w:r>
                </w:p>
              </w:tc>
              <w:tc>
                <w:tcPr>
                  <w:tcW w:w="858" w:type="dxa"/>
                  <w:tcBorders>
                    <w:tl2br w:val="nil"/>
                    <w:tr2bl w:val="nil"/>
                  </w:tcBorders>
                  <w:vAlign w:val="center"/>
                </w:tcPr>
                <w:p w14:paraId="3469B7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0.1979</w:t>
                  </w:r>
                </w:p>
              </w:tc>
              <w:tc>
                <w:tcPr>
                  <w:tcW w:w="769" w:type="dxa"/>
                  <w:tcBorders>
                    <w:tl2br w:val="nil"/>
                    <w:tr2bl w:val="nil"/>
                  </w:tcBorders>
                  <w:vAlign w:val="center"/>
                </w:tcPr>
                <w:p w14:paraId="6B9FE7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0.001</w:t>
                  </w:r>
                </w:p>
              </w:tc>
              <w:tc>
                <w:tcPr>
                  <w:tcW w:w="717" w:type="dxa"/>
                  <w:tcBorders>
                    <w:tl2br w:val="nil"/>
                    <w:tr2bl w:val="nil"/>
                  </w:tcBorders>
                  <w:vAlign w:val="center"/>
                </w:tcPr>
                <w:p w14:paraId="0DC908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0.00475</w:t>
                  </w:r>
                </w:p>
              </w:tc>
            </w:tr>
            <w:tr w14:paraId="691916B3">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87" w:type="dxa"/>
                  <w:vMerge w:val="continue"/>
                  <w:tcBorders>
                    <w:tl2br w:val="nil"/>
                    <w:tr2bl w:val="nil"/>
                  </w:tcBorders>
                  <w:vAlign w:val="center"/>
                </w:tcPr>
                <w:p w14:paraId="57D77A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olor w:val="auto"/>
                      <w:sz w:val="21"/>
                      <w:szCs w:val="21"/>
                      <w:highlight w:val="none"/>
                      <w:vertAlign w:val="baseline"/>
                      <w:lang w:val="en-US" w:eastAsia="zh-CN"/>
                    </w:rPr>
                  </w:pPr>
                </w:p>
              </w:tc>
              <w:tc>
                <w:tcPr>
                  <w:tcW w:w="487" w:type="dxa"/>
                  <w:vMerge w:val="continue"/>
                  <w:tcBorders>
                    <w:tl2br w:val="nil"/>
                    <w:tr2bl w:val="nil"/>
                  </w:tcBorders>
                  <w:vAlign w:val="center"/>
                </w:tcPr>
                <w:p w14:paraId="2F9BB3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olor w:val="auto"/>
                      <w:sz w:val="21"/>
                      <w:szCs w:val="21"/>
                      <w:highlight w:val="none"/>
                      <w:vertAlign w:val="baseline"/>
                      <w:lang w:val="en-US" w:eastAsia="zh-CN"/>
                    </w:rPr>
                  </w:pPr>
                </w:p>
              </w:tc>
              <w:tc>
                <w:tcPr>
                  <w:tcW w:w="522" w:type="dxa"/>
                  <w:vMerge w:val="continue"/>
                  <w:tcBorders>
                    <w:tl2br w:val="nil"/>
                    <w:tr2bl w:val="nil"/>
                  </w:tcBorders>
                  <w:vAlign w:val="center"/>
                </w:tcPr>
                <w:p w14:paraId="4DCF22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94" w:type="dxa"/>
                  <w:vMerge w:val="continue"/>
                  <w:tcBorders>
                    <w:tl2br w:val="nil"/>
                    <w:tr2bl w:val="nil"/>
                  </w:tcBorders>
                  <w:vAlign w:val="center"/>
                </w:tcPr>
                <w:p w14:paraId="78CA41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olor w:val="auto"/>
                      <w:sz w:val="21"/>
                      <w:szCs w:val="21"/>
                      <w:highlight w:val="none"/>
                      <w:vertAlign w:val="baseline"/>
                      <w:lang w:val="en-US" w:eastAsia="zh-CN"/>
                    </w:rPr>
                  </w:pPr>
                </w:p>
              </w:tc>
              <w:tc>
                <w:tcPr>
                  <w:tcW w:w="801" w:type="dxa"/>
                  <w:vMerge w:val="continue"/>
                  <w:tcBorders>
                    <w:tl2br w:val="nil"/>
                    <w:tr2bl w:val="nil"/>
                  </w:tcBorders>
                  <w:vAlign w:val="center"/>
                </w:tcPr>
                <w:p w14:paraId="064CA4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vertAlign w:val="baseline"/>
                      <w:lang w:val="en-US" w:eastAsia="zh-CN"/>
                    </w:rPr>
                  </w:pPr>
                </w:p>
              </w:tc>
              <w:tc>
                <w:tcPr>
                  <w:tcW w:w="673" w:type="dxa"/>
                  <w:vMerge w:val="continue"/>
                  <w:tcBorders>
                    <w:tl2br w:val="nil"/>
                    <w:tr2bl w:val="nil"/>
                  </w:tcBorders>
                  <w:vAlign w:val="center"/>
                </w:tcPr>
                <w:p w14:paraId="4A7B03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vertAlign w:val="baseline"/>
                      <w:lang w:val="en-US" w:eastAsia="zh-CN"/>
                    </w:rPr>
                  </w:pPr>
                </w:p>
              </w:tc>
              <w:tc>
                <w:tcPr>
                  <w:tcW w:w="586" w:type="dxa"/>
                  <w:tcBorders>
                    <w:tl2br w:val="nil"/>
                    <w:tr2bl w:val="nil"/>
                  </w:tcBorders>
                  <w:vAlign w:val="center"/>
                </w:tcPr>
                <w:p w14:paraId="0A60AD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无组织</w:t>
                  </w:r>
                </w:p>
              </w:tc>
              <w:tc>
                <w:tcPr>
                  <w:tcW w:w="1360" w:type="dxa"/>
                  <w:vMerge w:val="continue"/>
                  <w:tcBorders>
                    <w:tl2br w:val="nil"/>
                    <w:tr2bl w:val="nil"/>
                  </w:tcBorders>
                  <w:vAlign w:val="center"/>
                </w:tcPr>
                <w:p w14:paraId="3061147C">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u w:val="none"/>
                      <w:vertAlign w:val="baseline"/>
                      <w:lang w:val="en-US" w:eastAsia="zh-CN"/>
                    </w:rPr>
                  </w:pPr>
                </w:p>
              </w:tc>
              <w:tc>
                <w:tcPr>
                  <w:tcW w:w="858" w:type="dxa"/>
                  <w:tcBorders>
                    <w:tl2br w:val="nil"/>
                    <w:tr2bl w:val="nil"/>
                  </w:tcBorders>
                  <w:vAlign w:val="center"/>
                </w:tcPr>
                <w:p w14:paraId="65DB97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olor w:val="auto"/>
                      <w:sz w:val="21"/>
                      <w:szCs w:val="21"/>
                      <w:highlight w:val="none"/>
                      <w:vertAlign w:val="baseline"/>
                      <w:lang w:val="en-US" w:eastAsia="zh-CN"/>
                    </w:rPr>
                    <w:t>/</w:t>
                  </w:r>
                </w:p>
              </w:tc>
              <w:tc>
                <w:tcPr>
                  <w:tcW w:w="769" w:type="dxa"/>
                  <w:tcBorders>
                    <w:tl2br w:val="nil"/>
                    <w:tr2bl w:val="nil"/>
                  </w:tcBorders>
                  <w:vAlign w:val="center"/>
                </w:tcPr>
                <w:p w14:paraId="16B701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0.05</w:t>
                  </w:r>
                </w:p>
                <w:p w14:paraId="2462B1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21</w:t>
                  </w:r>
                </w:p>
              </w:tc>
              <w:tc>
                <w:tcPr>
                  <w:tcW w:w="717" w:type="dxa"/>
                  <w:tcBorders>
                    <w:tl2br w:val="nil"/>
                    <w:tr2bl w:val="nil"/>
                  </w:tcBorders>
                  <w:vAlign w:val="center"/>
                </w:tcPr>
                <w:p w14:paraId="79509B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0.25</w:t>
                  </w:r>
                </w:p>
              </w:tc>
            </w:tr>
            <w:tr w14:paraId="0FA747AB">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781" w:hRule="atLeast"/>
              </w:trPr>
              <w:tc>
                <w:tcPr>
                  <w:tcW w:w="487" w:type="dxa"/>
                  <w:vMerge w:val="continue"/>
                  <w:tcBorders>
                    <w:tl2br w:val="nil"/>
                    <w:tr2bl w:val="nil"/>
                  </w:tcBorders>
                  <w:vAlign w:val="center"/>
                </w:tcPr>
                <w:p w14:paraId="3AA706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p>
              </w:tc>
              <w:tc>
                <w:tcPr>
                  <w:tcW w:w="487" w:type="dxa"/>
                  <w:vMerge w:val="restart"/>
                  <w:tcBorders>
                    <w:tl2br w:val="nil"/>
                    <w:tr2bl w:val="nil"/>
                  </w:tcBorders>
                  <w:vAlign w:val="center"/>
                </w:tcPr>
                <w:p w14:paraId="5E7638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颚破工序</w:t>
                  </w:r>
                </w:p>
              </w:tc>
              <w:tc>
                <w:tcPr>
                  <w:tcW w:w="522" w:type="dxa"/>
                  <w:vMerge w:val="restart"/>
                  <w:tcBorders>
                    <w:tl2br w:val="nil"/>
                    <w:tr2bl w:val="nil"/>
                  </w:tcBorders>
                  <w:vAlign w:val="center"/>
                </w:tcPr>
                <w:p w14:paraId="23CA8C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颗粒物</w:t>
                  </w:r>
                </w:p>
              </w:tc>
              <w:tc>
                <w:tcPr>
                  <w:tcW w:w="694" w:type="dxa"/>
                  <w:vMerge w:val="restart"/>
                  <w:tcBorders>
                    <w:tl2br w:val="nil"/>
                    <w:tr2bl w:val="nil"/>
                  </w:tcBorders>
                  <w:vAlign w:val="center"/>
                </w:tcPr>
                <w:p w14:paraId="2F8F5A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23.75</w:t>
                  </w:r>
                </w:p>
              </w:tc>
              <w:tc>
                <w:tcPr>
                  <w:tcW w:w="801" w:type="dxa"/>
                  <w:vMerge w:val="restart"/>
                  <w:tcBorders>
                    <w:tl2br w:val="nil"/>
                    <w:tr2bl w:val="nil"/>
                  </w:tcBorders>
                  <w:vAlign w:val="center"/>
                </w:tcPr>
                <w:p w14:paraId="1E97F9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989.58</w:t>
                  </w:r>
                </w:p>
              </w:tc>
              <w:tc>
                <w:tcPr>
                  <w:tcW w:w="673" w:type="dxa"/>
                  <w:vMerge w:val="restart"/>
                  <w:tcBorders>
                    <w:tl2br w:val="nil"/>
                    <w:tr2bl w:val="nil"/>
                  </w:tcBorders>
                  <w:vAlign w:val="center"/>
                </w:tcPr>
                <w:p w14:paraId="3E879A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4.95</w:t>
                  </w:r>
                </w:p>
              </w:tc>
              <w:tc>
                <w:tcPr>
                  <w:tcW w:w="586" w:type="dxa"/>
                  <w:tcBorders>
                    <w:tl2br w:val="nil"/>
                    <w:tr2bl w:val="nil"/>
                  </w:tcBorders>
                  <w:vAlign w:val="center"/>
                </w:tcPr>
                <w:p w14:paraId="456A99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有组织</w:t>
                  </w:r>
                </w:p>
              </w:tc>
              <w:tc>
                <w:tcPr>
                  <w:tcW w:w="1360" w:type="dxa"/>
                  <w:vMerge w:val="continue"/>
                  <w:tcBorders>
                    <w:tl2br w:val="nil"/>
                    <w:tr2bl w:val="nil"/>
                  </w:tcBorders>
                  <w:vAlign w:val="center"/>
                </w:tcPr>
                <w:p w14:paraId="1F0061E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ascii="Times New Roman" w:hAnsi="Times New Roman" w:eastAsia="宋体"/>
                      <w:color w:val="auto"/>
                      <w:sz w:val="21"/>
                      <w:szCs w:val="21"/>
                      <w:highlight w:val="none"/>
                      <w:u w:val="single"/>
                      <w:vertAlign w:val="baseline"/>
                      <w:lang w:val="en-US" w:eastAsia="zh-CN"/>
                    </w:rPr>
                  </w:pPr>
                </w:p>
              </w:tc>
              <w:tc>
                <w:tcPr>
                  <w:tcW w:w="858" w:type="dxa"/>
                  <w:tcBorders>
                    <w:tl2br w:val="nil"/>
                    <w:tr2bl w:val="nil"/>
                  </w:tcBorders>
                  <w:vAlign w:val="center"/>
                </w:tcPr>
                <w:p w14:paraId="487321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0.9896</w:t>
                  </w:r>
                </w:p>
              </w:tc>
              <w:tc>
                <w:tcPr>
                  <w:tcW w:w="769" w:type="dxa"/>
                  <w:tcBorders>
                    <w:tl2br w:val="nil"/>
                    <w:tr2bl w:val="nil"/>
                  </w:tcBorders>
                  <w:vAlign w:val="center"/>
                </w:tcPr>
                <w:p w14:paraId="079E88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w:t>
                  </w:r>
                </w:p>
                <w:p w14:paraId="71FB93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w:t>
                  </w:r>
                </w:p>
              </w:tc>
              <w:tc>
                <w:tcPr>
                  <w:tcW w:w="717" w:type="dxa"/>
                  <w:tcBorders>
                    <w:tl2br w:val="nil"/>
                    <w:tr2bl w:val="nil"/>
                  </w:tcBorders>
                  <w:vAlign w:val="center"/>
                </w:tcPr>
                <w:p w14:paraId="51D364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0.023</w:t>
                  </w:r>
                </w:p>
                <w:p w14:paraId="226F87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75</w:t>
                  </w:r>
                </w:p>
              </w:tc>
            </w:tr>
            <w:tr w14:paraId="73DEB990">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771" w:hRule="atLeast"/>
              </w:trPr>
              <w:tc>
                <w:tcPr>
                  <w:tcW w:w="487" w:type="dxa"/>
                  <w:vMerge w:val="continue"/>
                  <w:tcBorders>
                    <w:tl2br w:val="nil"/>
                    <w:tr2bl w:val="nil"/>
                  </w:tcBorders>
                  <w:vAlign w:val="center"/>
                </w:tcPr>
                <w:p w14:paraId="222005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olor w:val="auto"/>
                      <w:sz w:val="21"/>
                      <w:szCs w:val="21"/>
                      <w:highlight w:val="none"/>
                    </w:rPr>
                  </w:pPr>
                </w:p>
              </w:tc>
              <w:tc>
                <w:tcPr>
                  <w:tcW w:w="487" w:type="dxa"/>
                  <w:vMerge w:val="continue"/>
                  <w:tcBorders>
                    <w:tl2br w:val="nil"/>
                    <w:tr2bl w:val="nil"/>
                  </w:tcBorders>
                  <w:vAlign w:val="center"/>
                </w:tcPr>
                <w:p w14:paraId="642024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olor w:val="auto"/>
                      <w:sz w:val="21"/>
                      <w:szCs w:val="21"/>
                      <w:highlight w:val="none"/>
                    </w:rPr>
                  </w:pPr>
                </w:p>
              </w:tc>
              <w:tc>
                <w:tcPr>
                  <w:tcW w:w="522" w:type="dxa"/>
                  <w:vMerge w:val="continue"/>
                  <w:tcBorders>
                    <w:tl2br w:val="nil"/>
                    <w:tr2bl w:val="nil"/>
                  </w:tcBorders>
                  <w:vAlign w:val="center"/>
                </w:tcPr>
                <w:p w14:paraId="7E077B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olor w:val="auto"/>
                      <w:sz w:val="21"/>
                      <w:szCs w:val="21"/>
                      <w:highlight w:val="none"/>
                    </w:rPr>
                  </w:pPr>
                </w:p>
              </w:tc>
              <w:tc>
                <w:tcPr>
                  <w:tcW w:w="694" w:type="dxa"/>
                  <w:vMerge w:val="continue"/>
                  <w:tcBorders>
                    <w:tl2br w:val="nil"/>
                    <w:tr2bl w:val="nil"/>
                  </w:tcBorders>
                  <w:vAlign w:val="center"/>
                </w:tcPr>
                <w:p w14:paraId="12F0D71F">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olor w:val="auto"/>
                      <w:sz w:val="21"/>
                      <w:szCs w:val="21"/>
                      <w:highlight w:val="none"/>
                      <w:lang w:val="en-US" w:eastAsia="zh-CN"/>
                    </w:rPr>
                  </w:pPr>
                </w:p>
              </w:tc>
              <w:tc>
                <w:tcPr>
                  <w:tcW w:w="801" w:type="dxa"/>
                  <w:vMerge w:val="continue"/>
                  <w:tcBorders>
                    <w:tl2br w:val="nil"/>
                    <w:tr2bl w:val="nil"/>
                  </w:tcBorders>
                  <w:vAlign w:val="center"/>
                </w:tcPr>
                <w:p w14:paraId="6604CD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lang w:val="en-US" w:eastAsia="zh-CN"/>
                    </w:rPr>
                  </w:pPr>
                </w:p>
              </w:tc>
              <w:tc>
                <w:tcPr>
                  <w:tcW w:w="673" w:type="dxa"/>
                  <w:vMerge w:val="continue"/>
                  <w:tcBorders>
                    <w:tl2br w:val="nil"/>
                    <w:tr2bl w:val="nil"/>
                  </w:tcBorders>
                  <w:vAlign w:val="center"/>
                </w:tcPr>
                <w:p w14:paraId="43D1A3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lang w:val="en-US" w:eastAsia="zh-CN"/>
                    </w:rPr>
                  </w:pPr>
                </w:p>
              </w:tc>
              <w:tc>
                <w:tcPr>
                  <w:tcW w:w="586" w:type="dxa"/>
                  <w:tcBorders>
                    <w:tl2br w:val="nil"/>
                    <w:tr2bl w:val="nil"/>
                  </w:tcBorders>
                  <w:vAlign w:val="center"/>
                </w:tcPr>
                <w:p w14:paraId="700596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无组织</w:t>
                  </w:r>
                </w:p>
              </w:tc>
              <w:tc>
                <w:tcPr>
                  <w:tcW w:w="1360" w:type="dxa"/>
                  <w:vMerge w:val="continue"/>
                  <w:tcBorders>
                    <w:tl2br w:val="nil"/>
                    <w:tr2bl w:val="nil"/>
                  </w:tcBorders>
                  <w:vAlign w:val="center"/>
                </w:tcPr>
                <w:p w14:paraId="20144C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olor w:val="auto"/>
                      <w:sz w:val="21"/>
                      <w:szCs w:val="21"/>
                      <w:highlight w:val="none"/>
                      <w:u w:val="single"/>
                      <w:vertAlign w:val="baseline"/>
                      <w:lang w:val="en-US" w:eastAsia="zh-CN"/>
                    </w:rPr>
                  </w:pPr>
                </w:p>
              </w:tc>
              <w:tc>
                <w:tcPr>
                  <w:tcW w:w="858" w:type="dxa"/>
                  <w:tcBorders>
                    <w:tl2br w:val="nil"/>
                    <w:tr2bl w:val="nil"/>
                  </w:tcBorders>
                  <w:vAlign w:val="center"/>
                </w:tcPr>
                <w:p w14:paraId="7BB3D1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769" w:type="dxa"/>
                  <w:tcBorders>
                    <w:tl2br w:val="nil"/>
                    <w:tr2bl w:val="nil"/>
                  </w:tcBorders>
                  <w:vAlign w:val="center"/>
                </w:tcPr>
                <w:p w14:paraId="70BB41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0.2604</w:t>
                  </w:r>
                </w:p>
              </w:tc>
              <w:tc>
                <w:tcPr>
                  <w:tcW w:w="717" w:type="dxa"/>
                  <w:tcBorders>
                    <w:tl2br w:val="nil"/>
                    <w:tr2bl w:val="nil"/>
                  </w:tcBorders>
                  <w:vAlign w:val="center"/>
                </w:tcPr>
                <w:p w14:paraId="0998AF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1.25</w:t>
                  </w:r>
                </w:p>
              </w:tc>
            </w:tr>
            <w:tr w14:paraId="45244A4F">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87" w:type="dxa"/>
                  <w:vMerge w:val="continue"/>
                  <w:tcBorders>
                    <w:tl2br w:val="nil"/>
                    <w:tr2bl w:val="nil"/>
                  </w:tcBorders>
                  <w:vAlign w:val="center"/>
                </w:tcPr>
                <w:p w14:paraId="448694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487" w:type="dxa"/>
                  <w:tcBorders>
                    <w:tl2br w:val="nil"/>
                    <w:tr2bl w:val="nil"/>
                  </w:tcBorders>
                  <w:vAlign w:val="center"/>
                </w:tcPr>
                <w:p w14:paraId="186582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排气筒DA001汇总</w:t>
                  </w:r>
                </w:p>
              </w:tc>
              <w:tc>
                <w:tcPr>
                  <w:tcW w:w="522" w:type="dxa"/>
                  <w:tcBorders>
                    <w:tl2br w:val="nil"/>
                    <w:tr2bl w:val="nil"/>
                  </w:tcBorders>
                  <w:vAlign w:val="center"/>
                </w:tcPr>
                <w:p w14:paraId="23E9A6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olor w:val="auto"/>
                      <w:sz w:val="21"/>
                      <w:szCs w:val="21"/>
                      <w:highlight w:val="none"/>
                      <w:vertAlign w:val="baseline"/>
                      <w:lang w:val="en-US" w:eastAsia="zh-CN"/>
                    </w:rPr>
                    <w:t>颗粒物</w:t>
                  </w:r>
                </w:p>
              </w:tc>
              <w:tc>
                <w:tcPr>
                  <w:tcW w:w="694" w:type="dxa"/>
                  <w:tcBorders>
                    <w:tl2br w:val="nil"/>
                    <w:tr2bl w:val="nil"/>
                  </w:tcBorders>
                  <w:vAlign w:val="center"/>
                </w:tcPr>
                <w:p w14:paraId="437DB4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28.5</w:t>
                  </w:r>
                </w:p>
              </w:tc>
              <w:tc>
                <w:tcPr>
                  <w:tcW w:w="801" w:type="dxa"/>
                  <w:tcBorders>
                    <w:tl2br w:val="nil"/>
                    <w:tr2bl w:val="nil"/>
                  </w:tcBorders>
                  <w:vAlign w:val="center"/>
                </w:tcPr>
                <w:p w14:paraId="65F0F0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1187.5</w:t>
                  </w:r>
                </w:p>
              </w:tc>
              <w:tc>
                <w:tcPr>
                  <w:tcW w:w="673" w:type="dxa"/>
                  <w:tcBorders>
                    <w:tl2br w:val="nil"/>
                    <w:tr2bl w:val="nil"/>
                  </w:tcBorders>
                  <w:vAlign w:val="center"/>
                </w:tcPr>
                <w:p w14:paraId="142E23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5.9375</w:t>
                  </w:r>
                </w:p>
              </w:tc>
              <w:tc>
                <w:tcPr>
                  <w:tcW w:w="586" w:type="dxa"/>
                  <w:tcBorders>
                    <w:tl2br w:val="nil"/>
                    <w:tr2bl w:val="nil"/>
                  </w:tcBorders>
                  <w:vAlign w:val="center"/>
                </w:tcPr>
                <w:p w14:paraId="65447F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有组织</w:t>
                  </w:r>
                </w:p>
              </w:tc>
              <w:tc>
                <w:tcPr>
                  <w:tcW w:w="1360" w:type="dxa"/>
                  <w:vMerge w:val="continue"/>
                  <w:tcBorders>
                    <w:tl2br w:val="nil"/>
                    <w:tr2bl w:val="nil"/>
                  </w:tcBorders>
                  <w:vAlign w:val="center"/>
                </w:tcPr>
                <w:p w14:paraId="556B949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u w:val="single"/>
                      <w:vertAlign w:val="baseline"/>
                      <w:lang w:val="en-US" w:eastAsia="zh-CN" w:bidi="ar-SA"/>
                    </w:rPr>
                  </w:pPr>
                </w:p>
              </w:tc>
              <w:tc>
                <w:tcPr>
                  <w:tcW w:w="858" w:type="dxa"/>
                  <w:tcBorders>
                    <w:tl2br w:val="nil"/>
                    <w:tr2bl w:val="nil"/>
                  </w:tcBorders>
                  <w:vAlign w:val="center"/>
                </w:tcPr>
                <w:p w14:paraId="6EFF2C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1.1875</w:t>
                  </w:r>
                </w:p>
              </w:tc>
              <w:tc>
                <w:tcPr>
                  <w:tcW w:w="769" w:type="dxa"/>
                  <w:tcBorders>
                    <w:tl2br w:val="nil"/>
                    <w:tr2bl w:val="nil"/>
                  </w:tcBorders>
                  <w:vAlign w:val="center"/>
                </w:tcPr>
                <w:p w14:paraId="201071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0.00</w:t>
                  </w:r>
                </w:p>
                <w:p w14:paraId="306ADD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59</w:t>
                  </w:r>
                </w:p>
              </w:tc>
              <w:tc>
                <w:tcPr>
                  <w:tcW w:w="717" w:type="dxa"/>
                  <w:tcBorders>
                    <w:tl2br w:val="nil"/>
                    <w:tr2bl w:val="nil"/>
                  </w:tcBorders>
                  <w:vAlign w:val="center"/>
                </w:tcPr>
                <w:p w14:paraId="2C213F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0.02</w:t>
                  </w:r>
                </w:p>
                <w:p w14:paraId="76C912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85</w:t>
                  </w:r>
                </w:p>
              </w:tc>
            </w:tr>
            <w:tr w14:paraId="707F42D0">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845" w:hRule="atLeast"/>
              </w:trPr>
              <w:tc>
                <w:tcPr>
                  <w:tcW w:w="487" w:type="dxa"/>
                  <w:vMerge w:val="restart"/>
                  <w:tcBorders>
                    <w:tl2br w:val="nil"/>
                    <w:tr2bl w:val="nil"/>
                  </w:tcBorders>
                  <w:vAlign w:val="center"/>
                </w:tcPr>
                <w:p w14:paraId="489094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水泥稳定土生产线</w:t>
                  </w:r>
                </w:p>
              </w:tc>
              <w:tc>
                <w:tcPr>
                  <w:tcW w:w="487" w:type="dxa"/>
                  <w:tcBorders>
                    <w:tl2br w:val="nil"/>
                    <w:tr2bl w:val="nil"/>
                  </w:tcBorders>
                  <w:vAlign w:val="center"/>
                </w:tcPr>
                <w:p w14:paraId="44B1D6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#1水泥筒仓</w:t>
                  </w:r>
                </w:p>
              </w:tc>
              <w:tc>
                <w:tcPr>
                  <w:tcW w:w="522" w:type="dxa"/>
                  <w:vMerge w:val="restart"/>
                  <w:tcBorders>
                    <w:tl2br w:val="nil"/>
                    <w:tr2bl w:val="nil"/>
                  </w:tcBorders>
                  <w:vAlign w:val="center"/>
                </w:tcPr>
                <w:p w14:paraId="3DECD9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颗粒物</w:t>
                  </w:r>
                </w:p>
              </w:tc>
              <w:tc>
                <w:tcPr>
                  <w:tcW w:w="694" w:type="dxa"/>
                  <w:tcBorders>
                    <w:tl2br w:val="nil"/>
                    <w:tr2bl w:val="nil"/>
                  </w:tcBorders>
                  <w:vAlign w:val="center"/>
                </w:tcPr>
                <w:p w14:paraId="4656BD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7.5</w:t>
                  </w:r>
                </w:p>
              </w:tc>
              <w:tc>
                <w:tcPr>
                  <w:tcW w:w="801" w:type="dxa"/>
                  <w:tcBorders>
                    <w:tl2br w:val="nil"/>
                    <w:tr2bl w:val="nil"/>
                  </w:tcBorders>
                  <w:vAlign w:val="center"/>
                </w:tcPr>
                <w:p w14:paraId="1D6790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781.25</w:t>
                  </w:r>
                </w:p>
              </w:tc>
              <w:tc>
                <w:tcPr>
                  <w:tcW w:w="673" w:type="dxa"/>
                  <w:tcBorders>
                    <w:tl2br w:val="nil"/>
                    <w:tr2bl w:val="nil"/>
                  </w:tcBorders>
                  <w:vAlign w:val="center"/>
                </w:tcPr>
                <w:p w14:paraId="576B6F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1.56</w:t>
                  </w:r>
                </w:p>
              </w:tc>
              <w:tc>
                <w:tcPr>
                  <w:tcW w:w="586" w:type="dxa"/>
                  <w:tcBorders>
                    <w:tl2br w:val="nil"/>
                    <w:tr2bl w:val="nil"/>
                  </w:tcBorders>
                  <w:vAlign w:val="center"/>
                </w:tcPr>
                <w:p w14:paraId="0B6943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有组织</w:t>
                  </w:r>
                </w:p>
              </w:tc>
              <w:tc>
                <w:tcPr>
                  <w:tcW w:w="1360" w:type="dxa"/>
                  <w:vMerge w:val="restart"/>
                  <w:tcBorders>
                    <w:tl2br w:val="nil"/>
                    <w:tr2bl w:val="nil"/>
                  </w:tcBorders>
                  <w:vAlign w:val="center"/>
                </w:tcPr>
                <w:p w14:paraId="3F266C6F">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水泥筒仓废气利用配套除尘器收集处理（</w:t>
                  </w:r>
                  <w:r>
                    <w:rPr>
                      <w:rFonts w:hint="eastAsia" w:ascii="Times New Roman" w:hAnsi="Times New Roman" w:eastAsia="宋体" w:cs="Times New Roman"/>
                      <w:color w:val="auto"/>
                      <w:sz w:val="21"/>
                      <w:szCs w:val="21"/>
                      <w:highlight w:val="none"/>
                      <w:u w:val="none"/>
                      <w:vertAlign w:val="baseline"/>
                      <w:lang w:val="en-US" w:eastAsia="zh-CN"/>
                    </w:rPr>
                    <w:t>废气处理效率为9</w:t>
                  </w:r>
                  <w:r>
                    <w:rPr>
                      <w:rFonts w:hint="eastAsia" w:cs="Times New Roman"/>
                      <w:color w:val="auto"/>
                      <w:sz w:val="21"/>
                      <w:szCs w:val="21"/>
                      <w:highlight w:val="none"/>
                      <w:u w:val="none"/>
                      <w:vertAlign w:val="baseline"/>
                      <w:lang w:val="en-US" w:eastAsia="zh-CN"/>
                    </w:rPr>
                    <w:t>9</w:t>
                  </w:r>
                  <w:r>
                    <w:rPr>
                      <w:rFonts w:hint="eastAsia" w:ascii="Times New Roman" w:hAnsi="Times New Roman" w:eastAsia="宋体" w:cs="Times New Roman"/>
                      <w:color w:val="auto"/>
                      <w:sz w:val="21"/>
                      <w:szCs w:val="21"/>
                      <w:highlight w:val="none"/>
                      <w:u w:val="none"/>
                      <w:vertAlign w:val="baseline"/>
                      <w:lang w:val="en-US" w:eastAsia="zh-CN"/>
                    </w:rPr>
                    <w:t>%，</w:t>
                  </w:r>
                  <w:r>
                    <w:rPr>
                      <w:rFonts w:hint="default" w:ascii="Times New Roman" w:hAnsi="Times New Roman" w:eastAsia="宋体" w:cs="Times New Roman"/>
                      <w:color w:val="auto"/>
                      <w:sz w:val="21"/>
                      <w:szCs w:val="21"/>
                      <w:highlight w:val="none"/>
                      <w:u w:val="none"/>
                      <w:vertAlign w:val="baseline"/>
                      <w:lang w:val="en-US" w:eastAsia="zh-CN"/>
                    </w:rPr>
                    <w:t>风机风量</w:t>
                  </w:r>
                  <w:r>
                    <w:rPr>
                      <w:rFonts w:hint="eastAsia" w:ascii="Times New Roman" w:hAnsi="Times New Roman" w:eastAsia="宋体" w:cs="Times New Roman"/>
                      <w:color w:val="auto"/>
                      <w:sz w:val="21"/>
                      <w:szCs w:val="21"/>
                      <w:highlight w:val="none"/>
                      <w:u w:val="none"/>
                      <w:vertAlign w:val="baseline"/>
                      <w:lang w:val="en-US" w:eastAsia="zh-CN"/>
                    </w:rPr>
                    <w:t>各</w:t>
                  </w:r>
                  <w:r>
                    <w:rPr>
                      <w:rFonts w:hint="default" w:ascii="Times New Roman" w:hAnsi="Times New Roman" w:eastAsia="宋体" w:cs="Times New Roman"/>
                      <w:color w:val="auto"/>
                      <w:sz w:val="21"/>
                      <w:szCs w:val="21"/>
                      <w:highlight w:val="none"/>
                      <w:u w:val="none"/>
                      <w:vertAlign w:val="baseline"/>
                      <w:lang w:val="en-US" w:eastAsia="zh-CN"/>
                    </w:rPr>
                    <w:t>为</w:t>
                  </w:r>
                  <w:r>
                    <w:rPr>
                      <w:rFonts w:hint="eastAsia" w:cs="Times New Roman"/>
                      <w:color w:val="auto"/>
                      <w:sz w:val="21"/>
                      <w:szCs w:val="21"/>
                      <w:highlight w:val="none"/>
                      <w:u w:val="none"/>
                      <w:vertAlign w:val="baseline"/>
                      <w:lang w:val="en-US" w:eastAsia="zh-CN"/>
                    </w:rPr>
                    <w:t>2</w:t>
                  </w:r>
                  <w:r>
                    <w:rPr>
                      <w:rFonts w:hint="eastAsia" w:ascii="Times New Roman" w:hAnsi="Times New Roman" w:eastAsia="宋体" w:cs="Times New Roman"/>
                      <w:color w:val="auto"/>
                      <w:sz w:val="21"/>
                      <w:szCs w:val="21"/>
                      <w:highlight w:val="none"/>
                      <w:u w:val="none"/>
                      <w:vertAlign w:val="baseline"/>
                      <w:lang w:val="en-US" w:eastAsia="zh-CN"/>
                    </w:rPr>
                    <w:t>000</w:t>
                  </w:r>
                  <w:r>
                    <w:rPr>
                      <w:rFonts w:hint="default" w:ascii="Times New Roman" w:hAnsi="Times New Roman" w:eastAsia="宋体" w:cs="Times New Roman"/>
                      <w:color w:val="auto"/>
                      <w:sz w:val="21"/>
                      <w:szCs w:val="21"/>
                      <w:highlight w:val="none"/>
                      <w:u w:val="none"/>
                      <w:vertAlign w:val="baseline"/>
                      <w:lang w:val="en-US" w:eastAsia="zh-CN"/>
                    </w:rPr>
                    <w:t>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vertAlign w:val="baseline"/>
                      <w:lang w:val="en-US" w:eastAsia="zh-CN"/>
                    </w:rPr>
                    <w:t>/h</w:t>
                  </w:r>
                  <w:r>
                    <w:rPr>
                      <w:rFonts w:hint="eastAsia" w:ascii="Times New Roman" w:hAnsi="Times New Roman" w:eastAsia="宋体"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u w:val="none"/>
                      <w:vertAlign w:val="baseline"/>
                      <w:lang w:val="en-US" w:eastAsia="zh-CN"/>
                    </w:rPr>
                    <w:t>排气筒（DA002）达标排放</w:t>
                  </w:r>
                </w:p>
              </w:tc>
              <w:tc>
                <w:tcPr>
                  <w:tcW w:w="858" w:type="dxa"/>
                  <w:tcBorders>
                    <w:tl2br w:val="nil"/>
                    <w:tr2bl w:val="nil"/>
                  </w:tcBorders>
                  <w:vAlign w:val="center"/>
                </w:tcPr>
                <w:p w14:paraId="1C1D71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7.8</w:t>
                  </w:r>
                </w:p>
              </w:tc>
              <w:tc>
                <w:tcPr>
                  <w:tcW w:w="769" w:type="dxa"/>
                  <w:tcBorders>
                    <w:tl2br w:val="nil"/>
                    <w:tr2bl w:val="nil"/>
                  </w:tcBorders>
                  <w:vAlign w:val="center"/>
                </w:tcPr>
                <w:p w14:paraId="2AD84E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0.01</w:t>
                  </w:r>
                </w:p>
                <w:p w14:paraId="59ABF7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56</w:t>
                  </w:r>
                </w:p>
              </w:tc>
              <w:tc>
                <w:tcPr>
                  <w:tcW w:w="717" w:type="dxa"/>
                  <w:tcBorders>
                    <w:tl2br w:val="nil"/>
                    <w:tr2bl w:val="nil"/>
                  </w:tcBorders>
                  <w:vAlign w:val="center"/>
                </w:tcPr>
                <w:p w14:paraId="7A0B16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0.075</w:t>
                  </w:r>
                </w:p>
              </w:tc>
            </w:tr>
            <w:tr w14:paraId="7A160CDE">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1276" w:hRule="atLeast"/>
              </w:trPr>
              <w:tc>
                <w:tcPr>
                  <w:tcW w:w="487" w:type="dxa"/>
                  <w:vMerge w:val="continue"/>
                  <w:tcBorders>
                    <w:tl2br w:val="nil"/>
                    <w:tr2bl w:val="nil"/>
                  </w:tcBorders>
                  <w:vAlign w:val="center"/>
                </w:tcPr>
                <w:p w14:paraId="178505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olor w:val="auto"/>
                      <w:sz w:val="21"/>
                      <w:szCs w:val="21"/>
                      <w:highlight w:val="none"/>
                      <w:vertAlign w:val="baseline"/>
                      <w:lang w:val="en-US" w:eastAsia="zh-CN"/>
                    </w:rPr>
                  </w:pPr>
                </w:p>
              </w:tc>
              <w:tc>
                <w:tcPr>
                  <w:tcW w:w="487" w:type="dxa"/>
                  <w:tcBorders>
                    <w:tl2br w:val="nil"/>
                    <w:tr2bl w:val="nil"/>
                  </w:tcBorders>
                  <w:vAlign w:val="center"/>
                </w:tcPr>
                <w:p w14:paraId="7B8629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olor w:val="auto"/>
                      <w:sz w:val="21"/>
                      <w:szCs w:val="21"/>
                      <w:highlight w:val="none"/>
                      <w:vertAlign w:val="baseline"/>
                      <w:lang w:val="en-US" w:eastAsia="zh-CN"/>
                    </w:rPr>
                    <w:t>#2水泥筒仓</w:t>
                  </w:r>
                </w:p>
              </w:tc>
              <w:tc>
                <w:tcPr>
                  <w:tcW w:w="522" w:type="dxa"/>
                  <w:vMerge w:val="continue"/>
                  <w:tcBorders>
                    <w:tl2br w:val="nil"/>
                    <w:tr2bl w:val="nil"/>
                  </w:tcBorders>
                  <w:vAlign w:val="center"/>
                </w:tcPr>
                <w:p w14:paraId="1F30BB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694" w:type="dxa"/>
                  <w:tcBorders>
                    <w:tl2br w:val="nil"/>
                    <w:tr2bl w:val="nil"/>
                  </w:tcBorders>
                  <w:shd w:val="clear" w:color="auto" w:fill="auto"/>
                  <w:vAlign w:val="center"/>
                </w:tcPr>
                <w:p w14:paraId="5C46DB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7.5</w:t>
                  </w:r>
                </w:p>
              </w:tc>
              <w:tc>
                <w:tcPr>
                  <w:tcW w:w="801" w:type="dxa"/>
                  <w:tcBorders>
                    <w:tl2br w:val="nil"/>
                    <w:tr2bl w:val="nil"/>
                  </w:tcBorders>
                  <w:shd w:val="clear" w:color="auto" w:fill="auto"/>
                  <w:vAlign w:val="center"/>
                </w:tcPr>
                <w:p w14:paraId="3CB204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781.25</w:t>
                  </w:r>
                </w:p>
              </w:tc>
              <w:tc>
                <w:tcPr>
                  <w:tcW w:w="673" w:type="dxa"/>
                  <w:tcBorders>
                    <w:tl2br w:val="nil"/>
                    <w:tr2bl w:val="nil"/>
                  </w:tcBorders>
                  <w:shd w:val="clear" w:color="auto" w:fill="auto"/>
                  <w:vAlign w:val="center"/>
                </w:tcPr>
                <w:p w14:paraId="1C6161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1.56</w:t>
                  </w:r>
                </w:p>
              </w:tc>
              <w:tc>
                <w:tcPr>
                  <w:tcW w:w="586" w:type="dxa"/>
                  <w:tcBorders>
                    <w:tl2br w:val="nil"/>
                    <w:tr2bl w:val="nil"/>
                  </w:tcBorders>
                  <w:vAlign w:val="center"/>
                </w:tcPr>
                <w:p w14:paraId="300229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有组织</w:t>
                  </w:r>
                </w:p>
              </w:tc>
              <w:tc>
                <w:tcPr>
                  <w:tcW w:w="1360" w:type="dxa"/>
                  <w:vMerge w:val="continue"/>
                  <w:tcBorders>
                    <w:tl2br w:val="nil"/>
                    <w:tr2bl w:val="nil"/>
                  </w:tcBorders>
                  <w:vAlign w:val="center"/>
                </w:tcPr>
                <w:p w14:paraId="7B5517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858" w:type="dxa"/>
                  <w:tcBorders>
                    <w:tl2br w:val="nil"/>
                    <w:tr2bl w:val="nil"/>
                  </w:tcBorders>
                  <w:shd w:val="clear" w:color="auto" w:fill="auto"/>
                  <w:vAlign w:val="center"/>
                </w:tcPr>
                <w:p w14:paraId="4F017E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7.8</w:t>
                  </w:r>
                </w:p>
              </w:tc>
              <w:tc>
                <w:tcPr>
                  <w:tcW w:w="769" w:type="dxa"/>
                  <w:tcBorders>
                    <w:tl2br w:val="nil"/>
                    <w:tr2bl w:val="nil"/>
                  </w:tcBorders>
                  <w:shd w:val="clear" w:color="auto" w:fill="auto"/>
                  <w:vAlign w:val="center"/>
                </w:tcPr>
                <w:p w14:paraId="528B47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0.01</w:t>
                  </w:r>
                </w:p>
                <w:p w14:paraId="3A95B9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56</w:t>
                  </w:r>
                </w:p>
              </w:tc>
              <w:tc>
                <w:tcPr>
                  <w:tcW w:w="717" w:type="dxa"/>
                  <w:tcBorders>
                    <w:tl2br w:val="nil"/>
                    <w:tr2bl w:val="nil"/>
                  </w:tcBorders>
                  <w:shd w:val="clear" w:color="auto" w:fill="auto"/>
                  <w:vAlign w:val="center"/>
                </w:tcPr>
                <w:p w14:paraId="59DC69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0.075</w:t>
                  </w:r>
                </w:p>
              </w:tc>
            </w:tr>
            <w:tr w14:paraId="071004BC">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934" w:hRule="atLeast"/>
              </w:trPr>
              <w:tc>
                <w:tcPr>
                  <w:tcW w:w="487" w:type="dxa"/>
                  <w:vMerge w:val="continue"/>
                  <w:tcBorders>
                    <w:tl2br w:val="nil"/>
                    <w:tr2bl w:val="nil"/>
                  </w:tcBorders>
                  <w:vAlign w:val="center"/>
                </w:tcPr>
                <w:p w14:paraId="652915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487" w:type="dxa"/>
                  <w:vMerge w:val="restart"/>
                  <w:tcBorders>
                    <w:tl2br w:val="nil"/>
                    <w:tr2bl w:val="nil"/>
                  </w:tcBorders>
                  <w:vAlign w:val="center"/>
                </w:tcPr>
                <w:p w14:paraId="586A85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配料工序</w:t>
                  </w:r>
                </w:p>
              </w:tc>
              <w:tc>
                <w:tcPr>
                  <w:tcW w:w="522" w:type="dxa"/>
                  <w:vMerge w:val="restart"/>
                  <w:tcBorders>
                    <w:tl2br w:val="nil"/>
                    <w:tr2bl w:val="nil"/>
                  </w:tcBorders>
                  <w:vAlign w:val="center"/>
                </w:tcPr>
                <w:p w14:paraId="5DBEFB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颗粒物</w:t>
                  </w:r>
                </w:p>
              </w:tc>
              <w:tc>
                <w:tcPr>
                  <w:tcW w:w="694" w:type="dxa"/>
                  <w:vMerge w:val="restart"/>
                  <w:tcBorders>
                    <w:tl2br w:val="nil"/>
                    <w:tr2bl w:val="nil"/>
                  </w:tcBorders>
                  <w:vAlign w:val="center"/>
                </w:tcPr>
                <w:p w14:paraId="383B7E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6.65</w:t>
                  </w:r>
                </w:p>
              </w:tc>
              <w:tc>
                <w:tcPr>
                  <w:tcW w:w="801" w:type="dxa"/>
                  <w:vMerge w:val="restart"/>
                  <w:tcBorders>
                    <w:tl2br w:val="nil"/>
                    <w:tr2bl w:val="nil"/>
                  </w:tcBorders>
                  <w:vAlign w:val="center"/>
                </w:tcPr>
                <w:p w14:paraId="530CED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138.54</w:t>
                  </w:r>
                </w:p>
              </w:tc>
              <w:tc>
                <w:tcPr>
                  <w:tcW w:w="673" w:type="dxa"/>
                  <w:vMerge w:val="restart"/>
                  <w:tcBorders>
                    <w:tl2br w:val="nil"/>
                    <w:tr2bl w:val="nil"/>
                  </w:tcBorders>
                  <w:vAlign w:val="center"/>
                </w:tcPr>
                <w:p w14:paraId="440633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1.39</w:t>
                  </w:r>
                </w:p>
              </w:tc>
              <w:tc>
                <w:tcPr>
                  <w:tcW w:w="586" w:type="dxa"/>
                  <w:tcBorders>
                    <w:tl2br w:val="nil"/>
                    <w:tr2bl w:val="nil"/>
                  </w:tcBorders>
                  <w:vAlign w:val="center"/>
                </w:tcPr>
                <w:p w14:paraId="53AC4A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有组织</w:t>
                  </w:r>
                </w:p>
              </w:tc>
              <w:tc>
                <w:tcPr>
                  <w:tcW w:w="1360" w:type="dxa"/>
                  <w:vMerge w:val="restart"/>
                  <w:tcBorders>
                    <w:tl2br w:val="nil"/>
                    <w:tr2bl w:val="nil"/>
                  </w:tcBorders>
                  <w:vAlign w:val="center"/>
                </w:tcPr>
                <w:p w14:paraId="24E90A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给料工序、搅拌工序废气通过集气罩收集后共用1套袋式除尘器</w:t>
                  </w:r>
                  <w:r>
                    <w:rPr>
                      <w:rFonts w:hint="eastAsia" w:ascii="Times New Roman" w:hAnsi="Times New Roman" w:eastAsia="宋体" w:cs="Times New Roman"/>
                      <w:color w:val="auto"/>
                      <w:sz w:val="21"/>
                      <w:szCs w:val="21"/>
                      <w:highlight w:val="none"/>
                      <w:u w:val="none"/>
                      <w:vertAlign w:val="baseline"/>
                      <w:lang w:val="en-US" w:eastAsia="zh-CN"/>
                    </w:rPr>
                    <w:t>处理排入15m高排气筒（DA002）达标排放（</w:t>
                  </w:r>
                  <w:r>
                    <w:rPr>
                      <w:rFonts w:hint="default" w:ascii="Times New Roman" w:hAnsi="Times New Roman" w:eastAsia="宋体" w:cs="Times New Roman"/>
                      <w:color w:val="auto"/>
                      <w:sz w:val="21"/>
                      <w:szCs w:val="21"/>
                      <w:highlight w:val="none"/>
                      <w:u w:val="none"/>
                      <w:vertAlign w:val="baseline"/>
                      <w:lang w:val="en-US" w:eastAsia="zh-CN"/>
                    </w:rPr>
                    <w:t>风机风量为</w:t>
                  </w:r>
                  <w:r>
                    <w:rPr>
                      <w:rFonts w:hint="eastAsia" w:cs="Times New Roman"/>
                      <w:color w:val="auto"/>
                      <w:sz w:val="21"/>
                      <w:szCs w:val="21"/>
                      <w:highlight w:val="none"/>
                      <w:u w:val="none"/>
                      <w:vertAlign w:val="baseline"/>
                      <w:lang w:val="en-US" w:eastAsia="zh-CN"/>
                    </w:rPr>
                    <w:t>10</w:t>
                  </w:r>
                  <w:r>
                    <w:rPr>
                      <w:rFonts w:hint="eastAsia" w:ascii="Times New Roman" w:hAnsi="Times New Roman" w:eastAsia="宋体" w:cs="Times New Roman"/>
                      <w:color w:val="auto"/>
                      <w:sz w:val="21"/>
                      <w:szCs w:val="21"/>
                      <w:highlight w:val="none"/>
                      <w:u w:val="none"/>
                      <w:vertAlign w:val="baseline"/>
                      <w:lang w:val="en-US" w:eastAsia="zh-CN"/>
                    </w:rPr>
                    <w:t>000</w:t>
                  </w:r>
                  <w:r>
                    <w:rPr>
                      <w:rFonts w:hint="default" w:ascii="Times New Roman" w:hAnsi="Times New Roman" w:eastAsia="宋体" w:cs="Times New Roman"/>
                      <w:color w:val="auto"/>
                      <w:sz w:val="21"/>
                      <w:szCs w:val="21"/>
                      <w:highlight w:val="none"/>
                      <w:u w:val="none"/>
                      <w:vertAlign w:val="baseline"/>
                      <w:lang w:val="en-US" w:eastAsia="zh-CN"/>
                    </w:rPr>
                    <w:t>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vertAlign w:val="baseline"/>
                      <w:lang w:val="en-US" w:eastAsia="zh-CN"/>
                    </w:rPr>
                    <w:t>/h</w:t>
                  </w:r>
                  <w:r>
                    <w:rPr>
                      <w:rFonts w:hint="eastAsia" w:ascii="Times New Roman" w:hAnsi="Times New Roman" w:cs="Times New Roman"/>
                      <w:color w:val="auto"/>
                      <w:sz w:val="21"/>
                      <w:szCs w:val="21"/>
                      <w:highlight w:val="none"/>
                      <w:u w:val="none"/>
                      <w:vertAlign w:val="baseline"/>
                      <w:lang w:val="en-US" w:eastAsia="zh-CN"/>
                    </w:rPr>
                    <w:t>）</w:t>
                  </w:r>
                  <w:r>
                    <w:rPr>
                      <w:rFonts w:hint="default" w:ascii="Times New Roman" w:hAnsi="Times New Roman" w:eastAsia="宋体" w:cs="Times New Roman"/>
                      <w:color w:val="auto"/>
                      <w:sz w:val="21"/>
                      <w:szCs w:val="21"/>
                      <w:highlight w:val="none"/>
                      <w:u w:val="none"/>
                      <w:vertAlign w:val="baseline"/>
                      <w:lang w:val="en-US" w:eastAsia="zh-CN"/>
                    </w:rPr>
                    <w:t>，</w:t>
                  </w:r>
                  <w:r>
                    <w:rPr>
                      <w:rFonts w:hint="eastAsia" w:ascii="Times New Roman" w:hAnsi="Times New Roman" w:eastAsia="宋体" w:cs="Times New Roman"/>
                      <w:color w:val="auto"/>
                      <w:sz w:val="21"/>
                      <w:szCs w:val="21"/>
                      <w:highlight w:val="none"/>
                      <w:u w:val="none"/>
                      <w:vertAlign w:val="baseline"/>
                      <w:lang w:val="en-US" w:eastAsia="zh-CN"/>
                    </w:rPr>
                    <w:t>收集</w:t>
                  </w:r>
                  <w:r>
                    <w:rPr>
                      <w:rFonts w:hint="default" w:ascii="Times New Roman" w:hAnsi="Times New Roman" w:eastAsia="宋体" w:cs="Times New Roman"/>
                      <w:color w:val="auto"/>
                      <w:sz w:val="21"/>
                      <w:szCs w:val="21"/>
                      <w:highlight w:val="none"/>
                      <w:u w:val="none"/>
                      <w:vertAlign w:val="baseline"/>
                      <w:lang w:val="en-US" w:eastAsia="zh-CN"/>
                    </w:rPr>
                    <w:t>效率为</w:t>
                  </w:r>
                  <w:r>
                    <w:rPr>
                      <w:rFonts w:hint="eastAsia" w:ascii="Times New Roman" w:hAnsi="Times New Roman" w:eastAsia="宋体" w:cs="Times New Roman"/>
                      <w:color w:val="auto"/>
                      <w:sz w:val="21"/>
                      <w:szCs w:val="21"/>
                      <w:highlight w:val="none"/>
                      <w:u w:val="none"/>
                      <w:vertAlign w:val="baseline"/>
                      <w:lang w:val="en-US" w:eastAsia="zh-CN"/>
                    </w:rPr>
                    <w:t>9</w:t>
                  </w:r>
                  <w:r>
                    <w:rPr>
                      <w:rFonts w:hint="eastAsia" w:cs="Times New Roman"/>
                      <w:color w:val="auto"/>
                      <w:sz w:val="21"/>
                      <w:szCs w:val="21"/>
                      <w:highlight w:val="none"/>
                      <w:u w:val="none"/>
                      <w:vertAlign w:val="baseline"/>
                      <w:lang w:val="en-US" w:eastAsia="zh-CN"/>
                    </w:rPr>
                    <w:t>5</w:t>
                  </w:r>
                  <w:r>
                    <w:rPr>
                      <w:rFonts w:hint="default" w:ascii="Times New Roman" w:hAnsi="Times New Roman" w:eastAsia="宋体" w:cs="Times New Roman"/>
                      <w:color w:val="auto"/>
                      <w:sz w:val="21"/>
                      <w:szCs w:val="21"/>
                      <w:highlight w:val="none"/>
                      <w:u w:val="none"/>
                      <w:vertAlign w:val="baseline"/>
                      <w:lang w:val="en-US" w:eastAsia="zh-CN"/>
                    </w:rPr>
                    <w:t>%</w:t>
                  </w:r>
                  <w:r>
                    <w:rPr>
                      <w:rFonts w:hint="eastAsia" w:ascii="Times New Roman" w:hAnsi="Times New Roman" w:eastAsia="宋体" w:cs="Times New Roman"/>
                      <w:color w:val="auto"/>
                      <w:sz w:val="21"/>
                      <w:szCs w:val="21"/>
                      <w:highlight w:val="none"/>
                      <w:u w:val="none"/>
                      <w:vertAlign w:val="baseline"/>
                      <w:lang w:val="en-US" w:eastAsia="zh-CN"/>
                    </w:rPr>
                    <w:t>，废气处理效率为9</w:t>
                  </w:r>
                  <w:r>
                    <w:rPr>
                      <w:rFonts w:hint="eastAsia" w:cs="Times New Roman"/>
                      <w:color w:val="auto"/>
                      <w:sz w:val="21"/>
                      <w:szCs w:val="21"/>
                      <w:highlight w:val="none"/>
                      <w:u w:val="none"/>
                      <w:vertAlign w:val="baseline"/>
                      <w:lang w:val="en-US" w:eastAsia="zh-CN"/>
                    </w:rPr>
                    <w:t>9</w:t>
                  </w:r>
                  <w:r>
                    <w:rPr>
                      <w:rFonts w:hint="eastAsia" w:ascii="Times New Roman" w:hAnsi="Times New Roman" w:eastAsia="宋体" w:cs="Times New Roman"/>
                      <w:color w:val="auto"/>
                      <w:sz w:val="21"/>
                      <w:szCs w:val="21"/>
                      <w:highlight w:val="none"/>
                      <w:u w:val="none"/>
                      <w:vertAlign w:val="baseline"/>
                      <w:lang w:val="en-US" w:eastAsia="zh-CN"/>
                    </w:rPr>
                    <w:t>%）</w:t>
                  </w:r>
                </w:p>
              </w:tc>
              <w:tc>
                <w:tcPr>
                  <w:tcW w:w="858" w:type="dxa"/>
                  <w:tcBorders>
                    <w:tl2br w:val="nil"/>
                    <w:tr2bl w:val="nil"/>
                  </w:tcBorders>
                  <w:vAlign w:val="center"/>
                </w:tcPr>
                <w:p w14:paraId="577616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1.39</w:t>
                  </w:r>
                </w:p>
              </w:tc>
              <w:tc>
                <w:tcPr>
                  <w:tcW w:w="769" w:type="dxa"/>
                  <w:tcBorders>
                    <w:tl2br w:val="nil"/>
                    <w:tr2bl w:val="nil"/>
                  </w:tcBorders>
                  <w:vAlign w:val="center"/>
                </w:tcPr>
                <w:p w14:paraId="3F9FE6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0.0139</w:t>
                  </w:r>
                </w:p>
              </w:tc>
              <w:tc>
                <w:tcPr>
                  <w:tcW w:w="717" w:type="dxa"/>
                  <w:tcBorders>
                    <w:tl2br w:val="nil"/>
                    <w:tr2bl w:val="nil"/>
                  </w:tcBorders>
                  <w:vAlign w:val="center"/>
                </w:tcPr>
                <w:p w14:paraId="4F3E61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0.0665</w:t>
                  </w:r>
                </w:p>
              </w:tc>
            </w:tr>
            <w:tr w14:paraId="26B54FD6">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914" w:hRule="atLeast"/>
              </w:trPr>
              <w:tc>
                <w:tcPr>
                  <w:tcW w:w="487" w:type="dxa"/>
                  <w:vMerge w:val="continue"/>
                  <w:tcBorders>
                    <w:tl2br w:val="nil"/>
                    <w:tr2bl w:val="nil"/>
                  </w:tcBorders>
                  <w:vAlign w:val="center"/>
                </w:tcPr>
                <w:p w14:paraId="354152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487" w:type="dxa"/>
                  <w:vMerge w:val="continue"/>
                  <w:tcBorders>
                    <w:tl2br w:val="nil"/>
                    <w:tr2bl w:val="nil"/>
                  </w:tcBorders>
                  <w:vAlign w:val="center"/>
                </w:tcPr>
                <w:p w14:paraId="053B12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522" w:type="dxa"/>
                  <w:vMerge w:val="continue"/>
                  <w:tcBorders>
                    <w:tl2br w:val="nil"/>
                    <w:tr2bl w:val="nil"/>
                  </w:tcBorders>
                  <w:vAlign w:val="center"/>
                </w:tcPr>
                <w:p w14:paraId="53138B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94" w:type="dxa"/>
                  <w:vMerge w:val="continue"/>
                  <w:tcBorders>
                    <w:tl2br w:val="nil"/>
                    <w:tr2bl w:val="nil"/>
                  </w:tcBorders>
                  <w:vAlign w:val="center"/>
                </w:tcPr>
                <w:p w14:paraId="3FAEF6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801" w:type="dxa"/>
                  <w:vMerge w:val="continue"/>
                  <w:tcBorders>
                    <w:tl2br w:val="nil"/>
                    <w:tr2bl w:val="nil"/>
                  </w:tcBorders>
                  <w:vAlign w:val="center"/>
                </w:tcPr>
                <w:p w14:paraId="52A7D9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73" w:type="dxa"/>
                  <w:vMerge w:val="continue"/>
                  <w:tcBorders>
                    <w:tl2br w:val="nil"/>
                    <w:tr2bl w:val="nil"/>
                  </w:tcBorders>
                  <w:vAlign w:val="center"/>
                </w:tcPr>
                <w:p w14:paraId="60916F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586" w:type="dxa"/>
                  <w:tcBorders>
                    <w:tl2br w:val="nil"/>
                    <w:tr2bl w:val="nil"/>
                  </w:tcBorders>
                  <w:vAlign w:val="center"/>
                </w:tcPr>
                <w:p w14:paraId="5B7C9D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无组织</w:t>
                  </w:r>
                </w:p>
              </w:tc>
              <w:tc>
                <w:tcPr>
                  <w:tcW w:w="1360" w:type="dxa"/>
                  <w:vMerge w:val="continue"/>
                  <w:tcBorders>
                    <w:tl2br w:val="nil"/>
                    <w:tr2bl w:val="nil"/>
                  </w:tcBorders>
                  <w:vAlign w:val="center"/>
                </w:tcPr>
                <w:p w14:paraId="4EF593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858" w:type="dxa"/>
                  <w:tcBorders>
                    <w:tl2br w:val="nil"/>
                    <w:tr2bl w:val="nil"/>
                  </w:tcBorders>
                  <w:vAlign w:val="center"/>
                </w:tcPr>
                <w:p w14:paraId="36543F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769" w:type="dxa"/>
                  <w:tcBorders>
                    <w:tl2br w:val="nil"/>
                    <w:tr2bl w:val="nil"/>
                  </w:tcBorders>
                  <w:vAlign w:val="center"/>
                </w:tcPr>
                <w:p w14:paraId="6A22B7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0.07</w:t>
                  </w:r>
                </w:p>
              </w:tc>
              <w:tc>
                <w:tcPr>
                  <w:tcW w:w="717" w:type="dxa"/>
                  <w:tcBorders>
                    <w:tl2br w:val="nil"/>
                    <w:tr2bl w:val="nil"/>
                  </w:tcBorders>
                  <w:vAlign w:val="center"/>
                </w:tcPr>
                <w:p w14:paraId="35D073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0.35</w:t>
                  </w:r>
                </w:p>
              </w:tc>
            </w:tr>
            <w:tr w14:paraId="0105C58D">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964" w:hRule="atLeast"/>
              </w:trPr>
              <w:tc>
                <w:tcPr>
                  <w:tcW w:w="487" w:type="dxa"/>
                  <w:vMerge w:val="continue"/>
                  <w:tcBorders>
                    <w:tl2br w:val="nil"/>
                    <w:tr2bl w:val="nil"/>
                  </w:tcBorders>
                  <w:vAlign w:val="center"/>
                </w:tcPr>
                <w:p w14:paraId="1F6431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487" w:type="dxa"/>
                  <w:vMerge w:val="restart"/>
                  <w:tcBorders>
                    <w:tl2br w:val="nil"/>
                    <w:tr2bl w:val="nil"/>
                  </w:tcBorders>
                  <w:vAlign w:val="center"/>
                </w:tcPr>
                <w:p w14:paraId="333763A1">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搅拌工序</w:t>
                  </w:r>
                </w:p>
              </w:tc>
              <w:tc>
                <w:tcPr>
                  <w:tcW w:w="522" w:type="dxa"/>
                  <w:vMerge w:val="restart"/>
                  <w:tcBorders>
                    <w:tl2br w:val="nil"/>
                    <w:tr2bl w:val="nil"/>
                  </w:tcBorders>
                  <w:vAlign w:val="center"/>
                </w:tcPr>
                <w:p w14:paraId="59AF27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颗粒物</w:t>
                  </w:r>
                </w:p>
              </w:tc>
              <w:tc>
                <w:tcPr>
                  <w:tcW w:w="694" w:type="dxa"/>
                  <w:vMerge w:val="restart"/>
                  <w:tcBorders>
                    <w:tl2br w:val="nil"/>
                    <w:tr2bl w:val="nil"/>
                  </w:tcBorders>
                  <w:vAlign w:val="center"/>
                </w:tcPr>
                <w:p w14:paraId="1ED5EB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28.5</w:t>
                  </w:r>
                </w:p>
              </w:tc>
              <w:tc>
                <w:tcPr>
                  <w:tcW w:w="801" w:type="dxa"/>
                  <w:vMerge w:val="restart"/>
                  <w:tcBorders>
                    <w:tl2br w:val="nil"/>
                    <w:tr2bl w:val="nil"/>
                  </w:tcBorders>
                  <w:vAlign w:val="center"/>
                </w:tcPr>
                <w:p w14:paraId="58FE12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593.75</w:t>
                  </w:r>
                </w:p>
              </w:tc>
              <w:tc>
                <w:tcPr>
                  <w:tcW w:w="673" w:type="dxa"/>
                  <w:vMerge w:val="restart"/>
                  <w:tcBorders>
                    <w:tl2br w:val="nil"/>
                    <w:tr2bl w:val="nil"/>
                  </w:tcBorders>
                  <w:vAlign w:val="center"/>
                </w:tcPr>
                <w:p w14:paraId="0D81C8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5.9375</w:t>
                  </w:r>
                </w:p>
              </w:tc>
              <w:tc>
                <w:tcPr>
                  <w:tcW w:w="586" w:type="dxa"/>
                  <w:tcBorders>
                    <w:tl2br w:val="nil"/>
                    <w:tr2bl w:val="nil"/>
                  </w:tcBorders>
                  <w:vAlign w:val="center"/>
                </w:tcPr>
                <w:p w14:paraId="18AFE9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有组织</w:t>
                  </w:r>
                </w:p>
              </w:tc>
              <w:tc>
                <w:tcPr>
                  <w:tcW w:w="1360" w:type="dxa"/>
                  <w:vMerge w:val="continue"/>
                  <w:tcBorders>
                    <w:tl2br w:val="nil"/>
                    <w:tr2bl w:val="nil"/>
                  </w:tcBorders>
                  <w:vAlign w:val="center"/>
                </w:tcPr>
                <w:p w14:paraId="61356DE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858" w:type="dxa"/>
                  <w:tcBorders>
                    <w:tl2br w:val="nil"/>
                    <w:tr2bl w:val="nil"/>
                  </w:tcBorders>
                  <w:vAlign w:val="center"/>
                </w:tcPr>
                <w:p w14:paraId="46F695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5.94</w:t>
                  </w:r>
                </w:p>
              </w:tc>
              <w:tc>
                <w:tcPr>
                  <w:tcW w:w="769" w:type="dxa"/>
                  <w:tcBorders>
                    <w:tl2br w:val="nil"/>
                    <w:tr2bl w:val="nil"/>
                  </w:tcBorders>
                  <w:vAlign w:val="center"/>
                </w:tcPr>
                <w:p w14:paraId="4D9D66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0.0594</w:t>
                  </w:r>
                </w:p>
              </w:tc>
              <w:tc>
                <w:tcPr>
                  <w:tcW w:w="717" w:type="dxa"/>
                  <w:tcBorders>
                    <w:tl2br w:val="nil"/>
                    <w:tr2bl w:val="nil"/>
                  </w:tcBorders>
                  <w:vAlign w:val="center"/>
                </w:tcPr>
                <w:p w14:paraId="687621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0.285</w:t>
                  </w:r>
                </w:p>
              </w:tc>
            </w:tr>
            <w:tr w14:paraId="57AD7FE2">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906" w:hRule="atLeast"/>
              </w:trPr>
              <w:tc>
                <w:tcPr>
                  <w:tcW w:w="487" w:type="dxa"/>
                  <w:vMerge w:val="continue"/>
                  <w:tcBorders>
                    <w:tl2br w:val="nil"/>
                    <w:tr2bl w:val="nil"/>
                  </w:tcBorders>
                  <w:vAlign w:val="center"/>
                </w:tcPr>
                <w:p w14:paraId="3C07DE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487" w:type="dxa"/>
                  <w:vMerge w:val="continue"/>
                  <w:tcBorders>
                    <w:tl2br w:val="nil"/>
                    <w:tr2bl w:val="nil"/>
                  </w:tcBorders>
                  <w:vAlign w:val="center"/>
                </w:tcPr>
                <w:p w14:paraId="74C110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522" w:type="dxa"/>
                  <w:vMerge w:val="continue"/>
                  <w:tcBorders>
                    <w:tl2br w:val="nil"/>
                    <w:tr2bl w:val="nil"/>
                  </w:tcBorders>
                  <w:vAlign w:val="center"/>
                </w:tcPr>
                <w:p w14:paraId="1B8F0D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694" w:type="dxa"/>
                  <w:vMerge w:val="continue"/>
                  <w:tcBorders>
                    <w:tl2br w:val="nil"/>
                    <w:tr2bl w:val="nil"/>
                  </w:tcBorders>
                  <w:vAlign w:val="center"/>
                </w:tcPr>
                <w:p w14:paraId="6FC48D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801" w:type="dxa"/>
                  <w:vMerge w:val="continue"/>
                  <w:tcBorders>
                    <w:tl2br w:val="nil"/>
                    <w:tr2bl w:val="nil"/>
                  </w:tcBorders>
                  <w:vAlign w:val="center"/>
                </w:tcPr>
                <w:p w14:paraId="69467D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673" w:type="dxa"/>
                  <w:vMerge w:val="continue"/>
                  <w:tcBorders>
                    <w:tl2br w:val="nil"/>
                    <w:tr2bl w:val="nil"/>
                  </w:tcBorders>
                  <w:vAlign w:val="center"/>
                </w:tcPr>
                <w:p w14:paraId="104566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586" w:type="dxa"/>
                  <w:tcBorders>
                    <w:tl2br w:val="nil"/>
                    <w:tr2bl w:val="nil"/>
                  </w:tcBorders>
                  <w:vAlign w:val="center"/>
                </w:tcPr>
                <w:p w14:paraId="602789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无组织</w:t>
                  </w:r>
                </w:p>
              </w:tc>
              <w:tc>
                <w:tcPr>
                  <w:tcW w:w="1360" w:type="dxa"/>
                  <w:vMerge w:val="continue"/>
                  <w:tcBorders>
                    <w:tl2br w:val="nil"/>
                    <w:tr2bl w:val="nil"/>
                  </w:tcBorders>
                  <w:vAlign w:val="center"/>
                </w:tcPr>
                <w:p w14:paraId="6248C0F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858" w:type="dxa"/>
                  <w:tcBorders>
                    <w:tl2br w:val="nil"/>
                    <w:tr2bl w:val="nil"/>
                  </w:tcBorders>
                  <w:vAlign w:val="center"/>
                </w:tcPr>
                <w:p w14:paraId="518618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769" w:type="dxa"/>
                  <w:tcBorders>
                    <w:tl2br w:val="nil"/>
                    <w:tr2bl w:val="nil"/>
                  </w:tcBorders>
                  <w:vAlign w:val="center"/>
                </w:tcPr>
                <w:p w14:paraId="6145CD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0.3125</w:t>
                  </w:r>
                </w:p>
              </w:tc>
              <w:tc>
                <w:tcPr>
                  <w:tcW w:w="717" w:type="dxa"/>
                  <w:tcBorders>
                    <w:tl2br w:val="nil"/>
                    <w:tr2bl w:val="nil"/>
                  </w:tcBorders>
                  <w:vAlign w:val="center"/>
                </w:tcPr>
                <w:p w14:paraId="7D8837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w:t>
                  </w:r>
                </w:p>
              </w:tc>
            </w:tr>
            <w:tr w14:paraId="3EEEF5DB">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522" w:hRule="atLeast"/>
              </w:trPr>
              <w:tc>
                <w:tcPr>
                  <w:tcW w:w="487" w:type="dxa"/>
                  <w:vMerge w:val="continue"/>
                  <w:tcBorders>
                    <w:tl2br w:val="nil"/>
                    <w:tr2bl w:val="nil"/>
                  </w:tcBorders>
                  <w:vAlign w:val="center"/>
                </w:tcPr>
                <w:p w14:paraId="386A22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p>
              </w:tc>
              <w:tc>
                <w:tcPr>
                  <w:tcW w:w="487" w:type="dxa"/>
                  <w:tcBorders>
                    <w:tl2br w:val="nil"/>
                    <w:tr2bl w:val="nil"/>
                  </w:tcBorders>
                  <w:vAlign w:val="center"/>
                </w:tcPr>
                <w:p w14:paraId="216B67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排气筒DA002汇总</w:t>
                  </w:r>
                </w:p>
              </w:tc>
              <w:tc>
                <w:tcPr>
                  <w:tcW w:w="522" w:type="dxa"/>
                  <w:tcBorders>
                    <w:tl2br w:val="nil"/>
                    <w:tr2bl w:val="nil"/>
                  </w:tcBorders>
                  <w:vAlign w:val="center"/>
                </w:tcPr>
                <w:p w14:paraId="637E67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颗粒物</w:t>
                  </w:r>
                </w:p>
              </w:tc>
              <w:tc>
                <w:tcPr>
                  <w:tcW w:w="694" w:type="dxa"/>
                  <w:tcBorders>
                    <w:tl2br w:val="nil"/>
                    <w:tr2bl w:val="nil"/>
                  </w:tcBorders>
                  <w:vAlign w:val="center"/>
                </w:tcPr>
                <w:p w14:paraId="052A0F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50.15</w:t>
                  </w:r>
                </w:p>
              </w:tc>
              <w:tc>
                <w:tcPr>
                  <w:tcW w:w="801" w:type="dxa"/>
                  <w:tcBorders>
                    <w:tl2br w:val="nil"/>
                    <w:tr2bl w:val="nil"/>
                  </w:tcBorders>
                  <w:vAlign w:val="center"/>
                </w:tcPr>
                <w:p w14:paraId="4E4ACE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746.28</w:t>
                  </w:r>
                </w:p>
              </w:tc>
              <w:tc>
                <w:tcPr>
                  <w:tcW w:w="673" w:type="dxa"/>
                  <w:tcBorders>
                    <w:tl2br w:val="nil"/>
                    <w:tr2bl w:val="nil"/>
                  </w:tcBorders>
                  <w:vAlign w:val="center"/>
                </w:tcPr>
                <w:p w14:paraId="0335F1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10.45</w:t>
                  </w:r>
                </w:p>
              </w:tc>
              <w:tc>
                <w:tcPr>
                  <w:tcW w:w="586" w:type="dxa"/>
                  <w:tcBorders>
                    <w:tl2br w:val="nil"/>
                    <w:tr2bl w:val="nil"/>
                  </w:tcBorders>
                  <w:vAlign w:val="center"/>
                </w:tcPr>
                <w:p w14:paraId="48637C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有组织</w:t>
                  </w:r>
                </w:p>
              </w:tc>
              <w:tc>
                <w:tcPr>
                  <w:tcW w:w="1360" w:type="dxa"/>
                  <w:tcBorders>
                    <w:tl2br w:val="nil"/>
                    <w:tr2bl w:val="nil"/>
                  </w:tcBorders>
                  <w:vAlign w:val="center"/>
                </w:tcPr>
                <w:p w14:paraId="481687D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DA002排气筒排放废气</w:t>
                  </w:r>
                </w:p>
                <w:p w14:paraId="788D3BC1">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（总风量14000</w:t>
                  </w:r>
                  <w:r>
                    <w:rPr>
                      <w:rFonts w:hint="default" w:ascii="Times New Roman" w:hAnsi="Times New Roman" w:eastAsia="宋体" w:cs="Times New Roman"/>
                      <w:color w:val="auto"/>
                      <w:sz w:val="21"/>
                      <w:szCs w:val="21"/>
                      <w:highlight w:val="none"/>
                      <w:u w:val="none"/>
                      <w:vertAlign w:val="baseline"/>
                      <w:lang w:val="en-US" w:eastAsia="zh-CN"/>
                    </w:rPr>
                    <w:t>m</w:t>
                  </w:r>
                  <w:r>
                    <w:rPr>
                      <w:rFonts w:hint="default" w:ascii="Times New Roman" w:hAnsi="Times New Roman" w:eastAsia="宋体" w:cs="Times New Roman"/>
                      <w:color w:val="auto"/>
                      <w:sz w:val="21"/>
                      <w:szCs w:val="21"/>
                      <w:highlight w:val="none"/>
                      <w:u w:val="none"/>
                      <w:vertAlign w:val="superscript"/>
                      <w:lang w:val="en-US" w:eastAsia="zh-CN"/>
                    </w:rPr>
                    <w:t>3</w:t>
                  </w:r>
                  <w:r>
                    <w:rPr>
                      <w:rFonts w:hint="default" w:ascii="Times New Roman" w:hAnsi="Times New Roman" w:eastAsia="宋体" w:cs="Times New Roman"/>
                      <w:color w:val="auto"/>
                      <w:sz w:val="21"/>
                      <w:szCs w:val="21"/>
                      <w:highlight w:val="none"/>
                      <w:u w:val="none"/>
                      <w:vertAlign w:val="baseline"/>
                      <w:lang w:val="en-US" w:eastAsia="zh-CN"/>
                    </w:rPr>
                    <w:t>/h</w:t>
                  </w:r>
                  <w:r>
                    <w:rPr>
                      <w:rFonts w:hint="eastAsia" w:cs="Times New Roman"/>
                      <w:color w:val="auto"/>
                      <w:sz w:val="21"/>
                      <w:szCs w:val="21"/>
                      <w:highlight w:val="none"/>
                      <w:vertAlign w:val="baseline"/>
                      <w:lang w:val="en-US" w:eastAsia="zh-CN"/>
                    </w:rPr>
                    <w:t>）</w:t>
                  </w:r>
                </w:p>
              </w:tc>
              <w:tc>
                <w:tcPr>
                  <w:tcW w:w="858" w:type="dxa"/>
                  <w:tcBorders>
                    <w:tl2br w:val="nil"/>
                    <w:tr2bl w:val="nil"/>
                  </w:tcBorders>
                  <w:vAlign w:val="center"/>
                </w:tcPr>
                <w:p w14:paraId="1A51C5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7.46</w:t>
                  </w:r>
                </w:p>
              </w:tc>
              <w:tc>
                <w:tcPr>
                  <w:tcW w:w="769" w:type="dxa"/>
                  <w:tcBorders>
                    <w:tl2br w:val="nil"/>
                    <w:tr2bl w:val="nil"/>
                  </w:tcBorders>
                  <w:vAlign w:val="center"/>
                </w:tcPr>
                <w:p w14:paraId="270249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0.1045</w:t>
                  </w:r>
                </w:p>
              </w:tc>
              <w:tc>
                <w:tcPr>
                  <w:tcW w:w="717" w:type="dxa"/>
                  <w:tcBorders>
                    <w:tl2br w:val="nil"/>
                    <w:tr2bl w:val="nil"/>
                  </w:tcBorders>
                  <w:vAlign w:val="center"/>
                </w:tcPr>
                <w:p w14:paraId="5B7962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0.5015</w:t>
                  </w:r>
                </w:p>
              </w:tc>
            </w:tr>
            <w:tr w14:paraId="5DF6A4B4">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421" w:hRule="atLeast"/>
              </w:trPr>
              <w:tc>
                <w:tcPr>
                  <w:tcW w:w="1496" w:type="dxa"/>
                  <w:gridSpan w:val="3"/>
                  <w:vMerge w:val="restart"/>
                  <w:tcBorders>
                    <w:tl2br w:val="nil"/>
                    <w:tr2bl w:val="nil"/>
                  </w:tcBorders>
                  <w:vAlign w:val="center"/>
                </w:tcPr>
                <w:p w14:paraId="3BE8EF48">
                  <w:pPr>
                    <w:pStyle w:val="6"/>
                    <w:pageBreakBefore w:val="0"/>
                    <w:widowControl w:val="0"/>
                    <w:kinsoku/>
                    <w:wordWrap w:val="0"/>
                    <w:overflowPunct/>
                    <w:topLinePunct w:val="0"/>
                    <w:autoSpaceDE/>
                    <w:autoSpaceDN/>
                    <w:bidi w:val="0"/>
                    <w:ind w:left="0" w:leftChars="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sz w:val="21"/>
                      <w:szCs w:val="21"/>
                      <w:highlight w:val="none"/>
                      <w:lang w:val="en-US" w:eastAsia="zh-CN"/>
                    </w:rPr>
                    <w:t>总计</w:t>
                  </w:r>
                </w:p>
              </w:tc>
              <w:tc>
                <w:tcPr>
                  <w:tcW w:w="6458" w:type="dxa"/>
                  <w:gridSpan w:val="8"/>
                  <w:tcBorders>
                    <w:tl2br w:val="nil"/>
                    <w:tr2bl w:val="nil"/>
                  </w:tcBorders>
                  <w:vAlign w:val="center"/>
                </w:tcPr>
                <w:p w14:paraId="30BCE226">
                  <w:pPr>
                    <w:pStyle w:val="6"/>
                    <w:pageBreakBefore w:val="0"/>
                    <w:widowControl w:val="0"/>
                    <w:kinsoku/>
                    <w:wordWrap w:val="0"/>
                    <w:overflowPunct/>
                    <w:topLinePunct w:val="0"/>
                    <w:autoSpaceDE/>
                    <w:autoSpaceDN/>
                    <w:bidi w:val="0"/>
                    <w:ind w:left="0" w:leftChars="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sz w:val="21"/>
                      <w:szCs w:val="21"/>
                      <w:highlight w:val="none"/>
                      <w:lang w:val="en-US" w:eastAsia="zh-CN"/>
                    </w:rPr>
                    <w:t>产生量：颗粒物82</w:t>
                  </w:r>
                  <w:r>
                    <w:rPr>
                      <w:rFonts w:hint="default" w:ascii="Times New Roman" w:hAnsi="Times New Roman" w:cs="Times New Roman"/>
                      <w:sz w:val="21"/>
                      <w:szCs w:val="21"/>
                      <w:highlight w:val="none"/>
                      <w:lang w:val="en-US" w:eastAsia="zh-CN"/>
                    </w:rPr>
                    <w:t>t/a</w:t>
                  </w:r>
                </w:p>
              </w:tc>
            </w:tr>
            <w:tr w14:paraId="6637A896">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614" w:hRule="atLeast"/>
              </w:trPr>
              <w:tc>
                <w:tcPr>
                  <w:tcW w:w="1496" w:type="dxa"/>
                  <w:gridSpan w:val="3"/>
                  <w:vMerge w:val="continue"/>
                  <w:tcBorders>
                    <w:tl2br w:val="nil"/>
                    <w:tr2bl w:val="nil"/>
                  </w:tcBorders>
                  <w:vAlign w:val="center"/>
                </w:tcPr>
                <w:p w14:paraId="46378261">
                  <w:pPr>
                    <w:pStyle w:val="6"/>
                    <w:pageBreakBefore w:val="0"/>
                    <w:widowControl w:val="0"/>
                    <w:kinsoku/>
                    <w:wordWrap w:val="0"/>
                    <w:overflowPunct/>
                    <w:topLinePunct w:val="0"/>
                    <w:autoSpaceDE/>
                    <w:autoSpaceDN/>
                    <w:bidi w:val="0"/>
                    <w:ind w:left="0" w:leftChars="0" w:firstLine="0" w:firstLineChars="0"/>
                    <w:jc w:val="center"/>
                    <w:textAlignment w:val="auto"/>
                    <w:rPr>
                      <w:rFonts w:hint="eastAsia" w:ascii="Times New Roman" w:hAnsi="Times New Roman"/>
                      <w:sz w:val="21"/>
                      <w:szCs w:val="21"/>
                      <w:highlight w:val="none"/>
                      <w:lang w:val="en-US" w:eastAsia="zh-CN"/>
                    </w:rPr>
                  </w:pPr>
                </w:p>
              </w:tc>
              <w:tc>
                <w:tcPr>
                  <w:tcW w:w="6458" w:type="dxa"/>
                  <w:gridSpan w:val="8"/>
                  <w:tcBorders>
                    <w:tl2br w:val="nil"/>
                    <w:tr2bl w:val="nil"/>
                  </w:tcBorders>
                  <w:vAlign w:val="center"/>
                </w:tcPr>
                <w:p w14:paraId="2AE60AD3">
                  <w:pPr>
                    <w:pStyle w:val="6"/>
                    <w:pageBreakBefore w:val="0"/>
                    <w:widowControl w:val="0"/>
                    <w:kinsoku/>
                    <w:wordWrap w:val="0"/>
                    <w:overflowPunct/>
                    <w:topLinePunct w:val="0"/>
                    <w:autoSpaceDE/>
                    <w:autoSpaceDN/>
                    <w:bidi w:val="0"/>
                    <w:ind w:left="0" w:leftChars="0" w:firstLine="0" w:firstLineChars="0"/>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有组织排放量：颗粒物0.53</w:t>
                  </w:r>
                  <w:r>
                    <w:rPr>
                      <w:rFonts w:hint="default" w:ascii="Times New Roman" w:hAnsi="Times New Roman" w:cs="Times New Roman"/>
                      <w:sz w:val="21"/>
                      <w:szCs w:val="21"/>
                      <w:highlight w:val="none"/>
                      <w:lang w:val="en-US" w:eastAsia="zh-CN"/>
                    </w:rPr>
                    <w:t>t/a</w:t>
                  </w:r>
                </w:p>
                <w:p w14:paraId="20CE5CB4">
                  <w:pPr>
                    <w:pStyle w:val="6"/>
                    <w:pageBreakBefore w:val="0"/>
                    <w:widowControl w:val="0"/>
                    <w:kinsoku/>
                    <w:wordWrap w:val="0"/>
                    <w:overflowPunct/>
                    <w:topLinePunct w:val="0"/>
                    <w:autoSpaceDE/>
                    <w:autoSpaceDN/>
                    <w:bidi w:val="0"/>
                    <w:ind w:left="0" w:leftChars="0" w:firstLine="0" w:firstLineChars="0"/>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无组织排放量：无组织颗粒物0.335</w:t>
                  </w:r>
                  <w:r>
                    <w:rPr>
                      <w:rFonts w:hint="default" w:ascii="Times New Roman" w:hAnsi="Times New Roman" w:cs="Times New Roman"/>
                      <w:sz w:val="21"/>
                      <w:szCs w:val="21"/>
                      <w:highlight w:val="none"/>
                      <w:lang w:val="en-US" w:eastAsia="zh-CN"/>
                    </w:rPr>
                    <w:t>t/a</w:t>
                  </w:r>
                </w:p>
              </w:tc>
            </w:tr>
          </w:tbl>
          <w:p w14:paraId="39DB998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eastAsia="宋体"/>
                <w:bCs/>
                <w:sz w:val="24"/>
                <w:lang w:val="en-US" w:eastAsia="zh-CN"/>
              </w:rPr>
            </w:pPr>
            <w:r>
              <w:rPr>
                <w:rFonts w:hint="eastAsia"/>
                <w:bCs/>
                <w:sz w:val="24"/>
              </w:rPr>
              <w:t>1.</w:t>
            </w:r>
            <w:r>
              <w:rPr>
                <w:rFonts w:hint="eastAsia"/>
                <w:bCs/>
                <w:sz w:val="24"/>
                <w:lang w:val="en-US" w:eastAsia="zh-CN"/>
              </w:rPr>
              <w:t>3废气</w:t>
            </w:r>
            <w:r>
              <w:rPr>
                <w:rFonts w:hint="eastAsia"/>
                <w:bCs/>
                <w:sz w:val="24"/>
              </w:rPr>
              <w:t>非正常工况排放</w:t>
            </w:r>
            <w:r>
              <w:rPr>
                <w:rFonts w:hint="eastAsia"/>
                <w:bCs/>
                <w:sz w:val="24"/>
                <w:lang w:val="en-US" w:eastAsia="zh-CN"/>
              </w:rPr>
              <w:t>分析</w:t>
            </w:r>
          </w:p>
          <w:p w14:paraId="1B2041F8">
            <w:pPr>
              <w:keepNext w:val="0"/>
              <w:keepLines w:val="0"/>
              <w:pageBreakBefore w:val="0"/>
              <w:widowControl w:val="0"/>
              <w:kinsoku/>
              <w:wordWrap/>
              <w:overflowPunct/>
              <w:topLinePunct w:val="0"/>
              <w:autoSpaceDE/>
              <w:autoSpaceDN/>
              <w:bidi w:val="0"/>
              <w:spacing w:line="500" w:lineRule="exact"/>
              <w:ind w:firstLine="480"/>
              <w:textAlignment w:val="auto"/>
              <w:rPr>
                <w:rFonts w:hint="eastAsia" w:ascii="Times New Roman" w:hAnsi="Times New Roman"/>
                <w:lang w:val="en-US" w:eastAsia="zh-CN"/>
              </w:rPr>
            </w:pPr>
            <w:r>
              <w:rPr>
                <w:rFonts w:ascii="Times New Roman" w:hAnsi="Times New Roman"/>
                <w:color w:val="auto"/>
                <w:sz w:val="24"/>
                <w:szCs w:val="32"/>
              </w:rPr>
              <w:t>非正常生产排污包括以下几方面：</w:t>
            </w:r>
            <w:r>
              <w:rPr>
                <w:rFonts w:hint="eastAsia"/>
                <w:color w:val="auto"/>
                <w:sz w:val="24"/>
                <w:szCs w:val="32"/>
                <w:lang w:val="en-US" w:eastAsia="zh-CN"/>
              </w:rPr>
              <w:t>环保设施</w:t>
            </w:r>
            <w:r>
              <w:rPr>
                <w:rFonts w:ascii="Times New Roman" w:hAnsi="Times New Roman"/>
                <w:color w:val="auto"/>
                <w:sz w:val="24"/>
                <w:szCs w:val="32"/>
              </w:rPr>
              <w:t>临时性故障等。本项目非正常生产时大气的主要污染源为生产车间的</w:t>
            </w:r>
            <w:r>
              <w:rPr>
                <w:rFonts w:hint="eastAsia"/>
                <w:color w:val="auto"/>
                <w:sz w:val="24"/>
                <w:szCs w:val="32"/>
                <w:lang w:val="en-US" w:eastAsia="zh-CN"/>
              </w:rPr>
              <w:t>颗粒物</w:t>
            </w:r>
            <w:r>
              <w:rPr>
                <w:rFonts w:ascii="Times New Roman" w:hAnsi="Times New Roman"/>
                <w:color w:val="auto"/>
                <w:sz w:val="24"/>
                <w:szCs w:val="32"/>
              </w:rPr>
              <w:t>污染。公司应加强管理，避免在运行期间可能发生的非正常工况污染物排放的突发性事故。避免工人长时间停留在通风不良的生产车间内。</w:t>
            </w:r>
          </w:p>
          <w:p w14:paraId="58123E1A">
            <w:pPr>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eastAsia"/>
                <w:sz w:val="24"/>
                <w:lang w:bidi="zh-TW"/>
              </w:rPr>
            </w:pPr>
            <w:r>
              <w:rPr>
                <w:rFonts w:ascii="Times New Roman" w:hAnsi="Times New Roman"/>
                <w:color w:val="auto"/>
                <w:sz w:val="24"/>
                <w:szCs w:val="32"/>
                <w:u w:val="none"/>
              </w:rPr>
              <w:t>项目</w:t>
            </w:r>
            <w:r>
              <w:rPr>
                <w:rFonts w:hint="eastAsia" w:ascii="Times New Roman" w:hAnsi="Times New Roman"/>
                <w:color w:val="auto"/>
                <w:sz w:val="24"/>
                <w:szCs w:val="32"/>
                <w:u w:val="none"/>
                <w:lang w:val="en-US" w:eastAsia="zh-CN"/>
              </w:rPr>
              <w:t>生产过程</w:t>
            </w:r>
            <w:r>
              <w:rPr>
                <w:rFonts w:hint="eastAsia"/>
                <w:color w:val="auto"/>
                <w:sz w:val="24"/>
                <w:szCs w:val="32"/>
                <w:u w:val="none"/>
                <w:lang w:val="en-US" w:eastAsia="zh-CN"/>
              </w:rPr>
              <w:t>中生产废水是循环回用，生产</w:t>
            </w:r>
            <w:r>
              <w:rPr>
                <w:rFonts w:hint="eastAsia" w:ascii="Times New Roman" w:hAnsi="Times New Roman"/>
                <w:color w:val="auto"/>
                <w:sz w:val="24"/>
                <w:szCs w:val="32"/>
                <w:u w:val="none"/>
                <w:lang w:val="en-US" w:eastAsia="zh-CN"/>
              </w:rPr>
              <w:t>废水</w:t>
            </w:r>
            <w:r>
              <w:rPr>
                <w:rFonts w:hint="eastAsia"/>
                <w:color w:val="auto"/>
                <w:sz w:val="24"/>
                <w:szCs w:val="32"/>
                <w:u w:val="none"/>
                <w:lang w:val="en-US" w:eastAsia="zh-CN"/>
              </w:rPr>
              <w:t>不外排</w:t>
            </w:r>
            <w:r>
              <w:rPr>
                <w:rFonts w:hint="eastAsia" w:ascii="Times New Roman" w:hAnsi="Times New Roman"/>
                <w:color w:val="auto"/>
                <w:sz w:val="24"/>
                <w:szCs w:val="32"/>
                <w:u w:val="none"/>
                <w:lang w:val="en-US" w:eastAsia="zh-CN"/>
              </w:rPr>
              <w:t>，</w:t>
            </w:r>
            <w:r>
              <w:rPr>
                <w:rFonts w:ascii="Times New Roman" w:hAnsi="Times New Roman"/>
                <w:color w:val="auto"/>
                <w:sz w:val="24"/>
                <w:szCs w:val="32"/>
                <w:u w:val="none"/>
              </w:rPr>
              <w:t>不会对外环境产生明显不利影响。经分析，集气装置非正常工况易于及时发现，</w:t>
            </w:r>
            <w:r>
              <w:rPr>
                <w:rFonts w:hint="eastAsia" w:ascii="Times New Roman" w:hAnsi="Times New Roman"/>
                <w:color w:val="auto"/>
                <w:sz w:val="24"/>
                <w:szCs w:val="32"/>
                <w:u w:val="none"/>
                <w:lang w:val="en-US" w:eastAsia="zh-CN"/>
              </w:rPr>
              <w:t>若发生集气装置异常时，可及时停产，</w:t>
            </w:r>
            <w:r>
              <w:rPr>
                <w:rFonts w:ascii="Times New Roman" w:hAnsi="Times New Roman"/>
                <w:color w:val="auto"/>
                <w:sz w:val="24"/>
                <w:szCs w:val="32"/>
                <w:u w:val="none"/>
              </w:rPr>
              <w:t>而废气处理装置非正常工况不易及时发现，因此本次评价主要分析废气处理系统非正常工况情况即集气装置正常，废气处理装置处理效率均为0</w:t>
            </w:r>
            <w:r>
              <w:rPr>
                <w:rFonts w:hint="eastAsia" w:ascii="Times New Roman" w:hAnsi="Times New Roman"/>
                <w:color w:val="auto"/>
                <w:sz w:val="24"/>
                <w:szCs w:val="32"/>
                <w:u w:val="none"/>
                <w:lang w:eastAsia="zh-CN"/>
              </w:rPr>
              <w:t>，</w:t>
            </w:r>
            <w:r>
              <w:rPr>
                <w:rFonts w:hint="eastAsia"/>
                <w:sz w:val="24"/>
                <w:lang w:bidi="zh-TW"/>
              </w:rPr>
              <w:t>拟定发生频次为1次/年</w:t>
            </w:r>
            <w:r>
              <w:rPr>
                <w:rFonts w:hint="eastAsia"/>
                <w:sz w:val="24"/>
                <w:lang w:eastAsia="zh-CN" w:bidi="zh-TW"/>
              </w:rPr>
              <w:t>，</w:t>
            </w:r>
            <w:r>
              <w:rPr>
                <w:rFonts w:hint="eastAsia"/>
                <w:sz w:val="24"/>
                <w:lang w:val="en-US" w:eastAsia="zh-CN" w:bidi="zh-TW"/>
              </w:rPr>
              <w:t>持续时间为1.0h</w:t>
            </w:r>
            <w:r>
              <w:rPr>
                <w:rFonts w:hint="eastAsia"/>
                <w:sz w:val="24"/>
                <w:lang w:bidi="zh-TW"/>
              </w:rPr>
              <w:t>。在拟定的非正常工况下，项目废气污染物排放情况见下表。</w:t>
            </w:r>
          </w:p>
          <w:p w14:paraId="472337D6">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eastAsia="黑体" w:cs="Times New Roman"/>
                <w:color w:val="auto"/>
                <w:kern w:val="2"/>
                <w:sz w:val="24"/>
                <w:lang w:val="en-US" w:eastAsia="zh-CN" w:bidi="ar-SA"/>
              </w:rPr>
            </w:pPr>
            <w:r>
              <w:rPr>
                <w:rFonts w:hint="eastAsia" w:ascii="Times New Roman" w:hAnsi="Times New Roman" w:eastAsia="黑体" w:cs="Times New Roman"/>
                <w:color w:val="auto"/>
                <w:kern w:val="2"/>
                <w:sz w:val="24"/>
                <w:lang w:val="en-US" w:eastAsia="zh-CN" w:bidi="ar-SA"/>
              </w:rPr>
              <w:t>表</w:t>
            </w:r>
            <w:r>
              <w:rPr>
                <w:rFonts w:hint="eastAsia" w:eastAsia="黑体" w:cs="Times New Roman"/>
                <w:color w:val="auto"/>
                <w:kern w:val="2"/>
                <w:sz w:val="24"/>
                <w:lang w:val="en-US" w:eastAsia="zh-CN" w:bidi="ar-SA"/>
              </w:rPr>
              <w:t xml:space="preserve">4-8 </w:t>
            </w:r>
            <w:r>
              <w:rPr>
                <w:rFonts w:hint="eastAsia" w:ascii="Times New Roman" w:hAnsi="Times New Roman" w:eastAsia="黑体" w:cs="Times New Roman"/>
                <w:color w:val="auto"/>
                <w:kern w:val="2"/>
                <w:sz w:val="24"/>
                <w:lang w:val="en-US" w:eastAsia="zh-CN" w:bidi="ar-SA"/>
              </w:rPr>
              <w:t>非正常工况下主要污染源汇总表</w:t>
            </w:r>
          </w:p>
          <w:tbl>
            <w:tblPr>
              <w:tblStyle w:val="23"/>
              <w:tblW w:w="76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Layout w:type="fixed"/>
              <w:tblCellMar>
                <w:top w:w="0" w:type="dxa"/>
                <w:left w:w="108" w:type="dxa"/>
                <w:bottom w:w="0" w:type="dxa"/>
                <w:right w:w="108" w:type="dxa"/>
              </w:tblCellMar>
            </w:tblPr>
            <w:tblGrid>
              <w:gridCol w:w="1208"/>
              <w:gridCol w:w="847"/>
              <w:gridCol w:w="840"/>
              <w:gridCol w:w="1371"/>
              <w:gridCol w:w="752"/>
              <w:gridCol w:w="789"/>
              <w:gridCol w:w="691"/>
              <w:gridCol w:w="1198"/>
            </w:tblGrid>
            <w:tr w14:paraId="73EDC8FF">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682" w:hRule="atLeast"/>
                <w:jc w:val="center"/>
              </w:trPr>
              <w:tc>
                <w:tcPr>
                  <w:tcW w:w="1208" w:type="dxa"/>
                  <w:tcBorders>
                    <w:tl2br w:val="nil"/>
                    <w:tr2bl w:val="nil"/>
                  </w:tcBorders>
                  <w:noWrap w:val="0"/>
                  <w:vAlign w:val="center"/>
                </w:tcPr>
                <w:p w14:paraId="10AC73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bCs/>
                      <w:color w:val="000000"/>
                      <w:sz w:val="21"/>
                      <w:szCs w:val="21"/>
                    </w:rPr>
                  </w:pPr>
                  <w:r>
                    <w:rPr>
                      <w:rFonts w:ascii="Times New Roman" w:hAnsi="Times New Roman"/>
                      <w:b/>
                      <w:bCs/>
                      <w:color w:val="000000"/>
                      <w:sz w:val="21"/>
                      <w:szCs w:val="21"/>
                    </w:rPr>
                    <w:t>污染源</w:t>
                  </w:r>
                </w:p>
              </w:tc>
              <w:tc>
                <w:tcPr>
                  <w:tcW w:w="847" w:type="dxa"/>
                  <w:tcBorders>
                    <w:tl2br w:val="nil"/>
                    <w:tr2bl w:val="nil"/>
                  </w:tcBorders>
                  <w:noWrap w:val="0"/>
                  <w:vAlign w:val="center"/>
                </w:tcPr>
                <w:p w14:paraId="712C72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bCs/>
                      <w:color w:val="000000"/>
                      <w:sz w:val="21"/>
                      <w:szCs w:val="21"/>
                    </w:rPr>
                  </w:pPr>
                  <w:r>
                    <w:rPr>
                      <w:rFonts w:ascii="Times New Roman" w:hAnsi="Times New Roman"/>
                      <w:b/>
                      <w:bCs/>
                      <w:color w:val="000000"/>
                      <w:sz w:val="21"/>
                      <w:szCs w:val="21"/>
                    </w:rPr>
                    <w:t>污染物</w:t>
                  </w:r>
                </w:p>
              </w:tc>
              <w:tc>
                <w:tcPr>
                  <w:tcW w:w="840" w:type="dxa"/>
                  <w:tcBorders>
                    <w:tl2br w:val="nil"/>
                    <w:tr2bl w:val="nil"/>
                  </w:tcBorders>
                  <w:noWrap w:val="0"/>
                  <w:vAlign w:val="center"/>
                </w:tcPr>
                <w:p w14:paraId="430414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b/>
                      <w:bCs/>
                      <w:color w:val="000000"/>
                      <w:sz w:val="21"/>
                      <w:szCs w:val="21"/>
                      <w:lang w:val="en-US" w:eastAsia="zh-CN"/>
                    </w:rPr>
                  </w:pPr>
                  <w:r>
                    <w:rPr>
                      <w:rFonts w:ascii="Times New Roman" w:hAnsi="Times New Roman"/>
                      <w:b/>
                      <w:bCs/>
                      <w:color w:val="000000"/>
                      <w:sz w:val="21"/>
                      <w:szCs w:val="21"/>
                    </w:rPr>
                    <w:t>产生</w:t>
                  </w:r>
                  <w:r>
                    <w:rPr>
                      <w:rFonts w:hint="eastAsia"/>
                      <w:b/>
                      <w:bCs/>
                      <w:color w:val="000000"/>
                      <w:sz w:val="21"/>
                      <w:szCs w:val="21"/>
                      <w:lang w:val="en-US" w:eastAsia="zh-CN"/>
                    </w:rPr>
                    <w:t>速率kg/h</w:t>
                  </w:r>
                </w:p>
              </w:tc>
              <w:tc>
                <w:tcPr>
                  <w:tcW w:w="1371" w:type="dxa"/>
                  <w:tcBorders>
                    <w:tl2br w:val="nil"/>
                    <w:tr2bl w:val="nil"/>
                  </w:tcBorders>
                  <w:noWrap w:val="0"/>
                  <w:vAlign w:val="center"/>
                </w:tcPr>
                <w:p w14:paraId="55451E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bCs/>
                      <w:color w:val="000000"/>
                      <w:sz w:val="21"/>
                      <w:szCs w:val="21"/>
                    </w:rPr>
                  </w:pPr>
                  <w:r>
                    <w:rPr>
                      <w:rFonts w:ascii="Times New Roman" w:hAnsi="Times New Roman"/>
                      <w:b/>
                      <w:bCs/>
                      <w:color w:val="000000"/>
                      <w:sz w:val="21"/>
                      <w:szCs w:val="21"/>
                    </w:rPr>
                    <w:t>产生浓度</w:t>
                  </w:r>
                  <w:r>
                    <w:rPr>
                      <w:rFonts w:ascii="Times New Roman" w:hAnsi="Times New Roman"/>
                      <w:b/>
                      <w:bCs/>
                      <w:color w:val="auto"/>
                      <w:sz w:val="21"/>
                      <w:szCs w:val="21"/>
                    </w:rPr>
                    <w:t>mg/m</w:t>
                  </w:r>
                  <w:r>
                    <w:rPr>
                      <w:rFonts w:ascii="Times New Roman" w:hAnsi="Times New Roman"/>
                      <w:b/>
                      <w:bCs/>
                      <w:color w:val="auto"/>
                      <w:sz w:val="21"/>
                      <w:szCs w:val="21"/>
                      <w:vertAlign w:val="superscript"/>
                    </w:rPr>
                    <w:t>3</w:t>
                  </w:r>
                </w:p>
              </w:tc>
              <w:tc>
                <w:tcPr>
                  <w:tcW w:w="752" w:type="dxa"/>
                  <w:tcBorders>
                    <w:tl2br w:val="nil"/>
                    <w:tr2bl w:val="nil"/>
                  </w:tcBorders>
                  <w:noWrap w:val="0"/>
                  <w:vAlign w:val="center"/>
                </w:tcPr>
                <w:p w14:paraId="1771FC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bCs/>
                      <w:color w:val="000000"/>
                      <w:sz w:val="21"/>
                      <w:szCs w:val="21"/>
                    </w:rPr>
                  </w:pPr>
                  <w:r>
                    <w:rPr>
                      <w:rFonts w:ascii="Times New Roman" w:hAnsi="Times New Roman"/>
                      <w:b/>
                      <w:bCs/>
                      <w:color w:val="000000"/>
                      <w:sz w:val="21"/>
                      <w:szCs w:val="21"/>
                    </w:rPr>
                    <w:t>处理效率</w:t>
                  </w:r>
                </w:p>
              </w:tc>
              <w:tc>
                <w:tcPr>
                  <w:tcW w:w="789" w:type="dxa"/>
                  <w:tcBorders>
                    <w:tl2br w:val="nil"/>
                    <w:tr2bl w:val="nil"/>
                  </w:tcBorders>
                  <w:noWrap w:val="0"/>
                  <w:vAlign w:val="center"/>
                </w:tcPr>
                <w:p w14:paraId="032B79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000000"/>
                      <w:sz w:val="21"/>
                      <w:szCs w:val="21"/>
                      <w:lang w:val="en-US" w:eastAsia="zh-CN"/>
                    </w:rPr>
                  </w:pPr>
                  <w:r>
                    <w:rPr>
                      <w:rFonts w:hint="eastAsia"/>
                      <w:b/>
                      <w:bCs/>
                      <w:color w:val="000000"/>
                      <w:sz w:val="21"/>
                      <w:szCs w:val="21"/>
                      <w:lang w:val="en-US" w:eastAsia="zh-CN"/>
                    </w:rPr>
                    <w:t>排放</w:t>
                  </w:r>
                </w:p>
                <w:p w14:paraId="3C3B9A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b/>
                      <w:bCs/>
                      <w:color w:val="000000"/>
                      <w:sz w:val="21"/>
                      <w:szCs w:val="21"/>
                      <w:lang w:val="en-US" w:eastAsia="zh-CN"/>
                    </w:rPr>
                  </w:pPr>
                  <w:r>
                    <w:rPr>
                      <w:rFonts w:hint="eastAsia"/>
                      <w:b/>
                      <w:bCs/>
                      <w:color w:val="000000"/>
                      <w:sz w:val="21"/>
                      <w:szCs w:val="21"/>
                      <w:lang w:val="en-US" w:eastAsia="zh-CN"/>
                    </w:rPr>
                    <w:t>频次</w:t>
                  </w:r>
                </w:p>
              </w:tc>
              <w:tc>
                <w:tcPr>
                  <w:tcW w:w="691" w:type="dxa"/>
                  <w:tcBorders>
                    <w:tl2br w:val="nil"/>
                    <w:tr2bl w:val="nil"/>
                  </w:tcBorders>
                  <w:noWrap w:val="0"/>
                  <w:vAlign w:val="center"/>
                </w:tcPr>
                <w:p w14:paraId="7E487B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000000"/>
                      <w:sz w:val="21"/>
                      <w:szCs w:val="21"/>
                      <w:lang w:val="en-US" w:eastAsia="zh-CN"/>
                    </w:rPr>
                  </w:pPr>
                  <w:r>
                    <w:rPr>
                      <w:rFonts w:hint="eastAsia"/>
                      <w:b/>
                      <w:bCs/>
                      <w:color w:val="000000"/>
                      <w:sz w:val="21"/>
                      <w:szCs w:val="21"/>
                      <w:lang w:val="en-US" w:eastAsia="zh-CN"/>
                    </w:rPr>
                    <w:t>持续</w:t>
                  </w:r>
                </w:p>
                <w:p w14:paraId="5E8356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b/>
                      <w:bCs/>
                      <w:color w:val="000000"/>
                      <w:sz w:val="21"/>
                      <w:szCs w:val="21"/>
                      <w:lang w:val="en-US" w:eastAsia="zh-CN"/>
                    </w:rPr>
                  </w:pPr>
                  <w:r>
                    <w:rPr>
                      <w:rFonts w:hint="eastAsia"/>
                      <w:b/>
                      <w:bCs/>
                      <w:color w:val="000000"/>
                      <w:sz w:val="21"/>
                      <w:szCs w:val="21"/>
                      <w:lang w:val="en-US" w:eastAsia="zh-CN"/>
                    </w:rPr>
                    <w:t>时间</w:t>
                  </w:r>
                </w:p>
              </w:tc>
              <w:tc>
                <w:tcPr>
                  <w:tcW w:w="1198" w:type="dxa"/>
                  <w:tcBorders>
                    <w:tl2br w:val="nil"/>
                    <w:tr2bl w:val="nil"/>
                  </w:tcBorders>
                  <w:noWrap w:val="0"/>
                  <w:vAlign w:val="center"/>
                </w:tcPr>
                <w:p w14:paraId="112C86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000000"/>
                      <w:kern w:val="2"/>
                      <w:sz w:val="21"/>
                      <w:szCs w:val="21"/>
                      <w:lang w:val="en-US" w:eastAsia="zh-CN" w:bidi="ar-SA"/>
                    </w:rPr>
                  </w:pPr>
                  <w:r>
                    <w:rPr>
                      <w:rFonts w:hint="eastAsia"/>
                      <w:b/>
                      <w:bCs/>
                      <w:color w:val="000000"/>
                      <w:sz w:val="21"/>
                      <w:szCs w:val="21"/>
                      <w:lang w:val="en-US" w:eastAsia="zh-CN"/>
                    </w:rPr>
                    <w:t>非正常</w:t>
                  </w:r>
                  <w:r>
                    <w:rPr>
                      <w:rFonts w:ascii="Times New Roman" w:hAnsi="Times New Roman"/>
                      <w:b/>
                      <w:bCs/>
                      <w:color w:val="000000"/>
                      <w:sz w:val="21"/>
                      <w:szCs w:val="21"/>
                    </w:rPr>
                    <w:t>排放量</w:t>
                  </w:r>
                  <w:r>
                    <w:rPr>
                      <w:rFonts w:ascii="Times New Roman" w:hAnsi="Times New Roman"/>
                      <w:b/>
                      <w:bCs/>
                      <w:color w:val="auto"/>
                      <w:sz w:val="21"/>
                      <w:szCs w:val="21"/>
                    </w:rPr>
                    <w:t>t/a</w:t>
                  </w:r>
                </w:p>
              </w:tc>
            </w:tr>
            <w:tr w14:paraId="707B10D9">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453" w:hRule="atLeast"/>
                <w:jc w:val="center"/>
              </w:trPr>
              <w:tc>
                <w:tcPr>
                  <w:tcW w:w="1208" w:type="dxa"/>
                  <w:tcBorders>
                    <w:tl2br w:val="nil"/>
                    <w:tr2bl w:val="nil"/>
                  </w:tcBorders>
                  <w:noWrap w:val="0"/>
                  <w:vAlign w:val="center"/>
                </w:tcPr>
                <w:p w14:paraId="41C0658B">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sz w:val="21"/>
                      <w:szCs w:val="21"/>
                      <w:u w:val="none"/>
                      <w:lang w:val="en-US" w:eastAsia="zh-CN"/>
                    </w:rPr>
                  </w:pPr>
                  <w:r>
                    <w:rPr>
                      <w:rFonts w:hint="eastAsia"/>
                      <w:sz w:val="21"/>
                      <w:szCs w:val="21"/>
                      <w:u w:val="none"/>
                      <w:lang w:val="en-US" w:eastAsia="zh-CN"/>
                    </w:rPr>
                    <w:t>给料工序</w:t>
                  </w:r>
                </w:p>
              </w:tc>
              <w:tc>
                <w:tcPr>
                  <w:tcW w:w="847" w:type="dxa"/>
                  <w:vMerge w:val="restart"/>
                  <w:tcBorders>
                    <w:tl2br w:val="nil"/>
                    <w:tr2bl w:val="nil"/>
                  </w:tcBorders>
                  <w:noWrap w:val="0"/>
                  <w:vAlign w:val="center"/>
                </w:tcPr>
                <w:p w14:paraId="46B1242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颗粒物</w:t>
                  </w:r>
                </w:p>
              </w:tc>
              <w:tc>
                <w:tcPr>
                  <w:tcW w:w="840" w:type="dxa"/>
                  <w:tcBorders>
                    <w:tl2br w:val="nil"/>
                    <w:tr2bl w:val="nil"/>
                  </w:tcBorders>
                  <w:shd w:val="clear" w:color="auto" w:fill="auto"/>
                  <w:noWrap w:val="0"/>
                  <w:vAlign w:val="center"/>
                </w:tcPr>
                <w:p w14:paraId="60699F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0.99</w:t>
                  </w:r>
                </w:p>
              </w:tc>
              <w:tc>
                <w:tcPr>
                  <w:tcW w:w="1371" w:type="dxa"/>
                  <w:tcBorders>
                    <w:tl2br w:val="nil"/>
                    <w:tr2bl w:val="nil"/>
                  </w:tcBorders>
                  <w:shd w:val="clear" w:color="auto" w:fill="auto"/>
                  <w:noWrap w:val="0"/>
                  <w:vAlign w:val="center"/>
                </w:tcPr>
                <w:p w14:paraId="566FB7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197.92</w:t>
                  </w:r>
                </w:p>
              </w:tc>
              <w:tc>
                <w:tcPr>
                  <w:tcW w:w="752" w:type="dxa"/>
                  <w:tcBorders>
                    <w:tl2br w:val="nil"/>
                    <w:tr2bl w:val="nil"/>
                  </w:tcBorders>
                  <w:noWrap w:val="0"/>
                  <w:vAlign w:val="center"/>
                </w:tcPr>
                <w:p w14:paraId="025A77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0</w:t>
                  </w:r>
                </w:p>
              </w:tc>
              <w:tc>
                <w:tcPr>
                  <w:tcW w:w="789" w:type="dxa"/>
                  <w:vMerge w:val="restart"/>
                  <w:tcBorders>
                    <w:tl2br w:val="nil"/>
                    <w:tr2bl w:val="nil"/>
                  </w:tcBorders>
                  <w:noWrap w:val="0"/>
                  <w:vAlign w:val="center"/>
                </w:tcPr>
                <w:p w14:paraId="7D16A5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bCs/>
                      <w:color w:val="000000"/>
                      <w:sz w:val="21"/>
                      <w:szCs w:val="21"/>
                    </w:rPr>
                    <w:t>1次/a</w:t>
                  </w:r>
                </w:p>
              </w:tc>
              <w:tc>
                <w:tcPr>
                  <w:tcW w:w="691" w:type="dxa"/>
                  <w:vMerge w:val="restart"/>
                  <w:tcBorders>
                    <w:tl2br w:val="nil"/>
                    <w:tr2bl w:val="nil"/>
                  </w:tcBorders>
                  <w:noWrap w:val="0"/>
                  <w:vAlign w:val="center"/>
                </w:tcPr>
                <w:p w14:paraId="05B985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olor w:val="auto"/>
                      <w:sz w:val="21"/>
                      <w:szCs w:val="21"/>
                      <w:lang w:val="en-US" w:eastAsia="zh-CN"/>
                    </w:rPr>
                  </w:pPr>
                  <w:r>
                    <w:rPr>
                      <w:rFonts w:hint="eastAsia"/>
                      <w:bCs/>
                      <w:color w:val="000000"/>
                      <w:sz w:val="21"/>
                      <w:szCs w:val="21"/>
                      <w:lang w:val="en-US" w:eastAsia="zh-CN"/>
                    </w:rPr>
                    <w:t>1.0</w:t>
                  </w:r>
                  <w:r>
                    <w:rPr>
                      <w:bCs/>
                      <w:color w:val="000000"/>
                      <w:sz w:val="21"/>
                      <w:szCs w:val="21"/>
                    </w:rPr>
                    <w:t>h</w:t>
                  </w:r>
                </w:p>
              </w:tc>
              <w:tc>
                <w:tcPr>
                  <w:tcW w:w="1198" w:type="dxa"/>
                  <w:tcBorders>
                    <w:tl2br w:val="nil"/>
                    <w:tr2bl w:val="nil"/>
                  </w:tcBorders>
                  <w:shd w:val="clear" w:color="auto" w:fill="auto"/>
                  <w:noWrap w:val="0"/>
                  <w:vAlign w:val="center"/>
                </w:tcPr>
                <w:p w14:paraId="445DCB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0.99</w:t>
                  </w:r>
                </w:p>
              </w:tc>
            </w:tr>
            <w:tr w14:paraId="3C90E815">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453" w:hRule="atLeast"/>
                <w:jc w:val="center"/>
              </w:trPr>
              <w:tc>
                <w:tcPr>
                  <w:tcW w:w="1208" w:type="dxa"/>
                  <w:tcBorders>
                    <w:tl2br w:val="nil"/>
                    <w:tr2bl w:val="nil"/>
                  </w:tcBorders>
                  <w:noWrap w:val="0"/>
                  <w:vAlign w:val="center"/>
                </w:tcPr>
                <w:p w14:paraId="74CBA7A5">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sz w:val="21"/>
                      <w:szCs w:val="21"/>
                      <w:u w:val="none"/>
                      <w:lang w:val="en-US" w:eastAsia="zh-CN"/>
                    </w:rPr>
                    <w:t>颚破工序</w:t>
                  </w:r>
                </w:p>
              </w:tc>
              <w:tc>
                <w:tcPr>
                  <w:tcW w:w="847" w:type="dxa"/>
                  <w:vMerge w:val="continue"/>
                  <w:tcBorders>
                    <w:tl2br w:val="nil"/>
                    <w:tr2bl w:val="nil"/>
                  </w:tcBorders>
                  <w:noWrap w:val="0"/>
                  <w:vAlign w:val="center"/>
                </w:tcPr>
                <w:p w14:paraId="4CD2447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olor w:val="auto"/>
                      <w:sz w:val="21"/>
                      <w:szCs w:val="21"/>
                      <w:lang w:val="en-US" w:eastAsia="zh-CN"/>
                    </w:rPr>
                  </w:pPr>
                </w:p>
              </w:tc>
              <w:tc>
                <w:tcPr>
                  <w:tcW w:w="840" w:type="dxa"/>
                  <w:tcBorders>
                    <w:tl2br w:val="nil"/>
                    <w:tr2bl w:val="nil"/>
                  </w:tcBorders>
                  <w:noWrap w:val="0"/>
                  <w:vAlign w:val="center"/>
                </w:tcPr>
                <w:p w14:paraId="44FEBB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4.95</w:t>
                  </w:r>
                </w:p>
              </w:tc>
              <w:tc>
                <w:tcPr>
                  <w:tcW w:w="1371" w:type="dxa"/>
                  <w:tcBorders>
                    <w:tl2br w:val="nil"/>
                    <w:tr2bl w:val="nil"/>
                  </w:tcBorders>
                  <w:noWrap w:val="0"/>
                  <w:vAlign w:val="center"/>
                </w:tcPr>
                <w:p w14:paraId="3A93A0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989.58</w:t>
                  </w:r>
                </w:p>
              </w:tc>
              <w:tc>
                <w:tcPr>
                  <w:tcW w:w="752" w:type="dxa"/>
                  <w:tcBorders>
                    <w:tl2br w:val="nil"/>
                    <w:tr2bl w:val="nil"/>
                  </w:tcBorders>
                  <w:noWrap w:val="0"/>
                  <w:vAlign w:val="center"/>
                </w:tcPr>
                <w:p w14:paraId="020B78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0</w:t>
                  </w:r>
                </w:p>
              </w:tc>
              <w:tc>
                <w:tcPr>
                  <w:tcW w:w="789" w:type="dxa"/>
                  <w:vMerge w:val="continue"/>
                  <w:tcBorders>
                    <w:tl2br w:val="nil"/>
                    <w:tr2bl w:val="nil"/>
                  </w:tcBorders>
                  <w:noWrap w:val="0"/>
                  <w:vAlign w:val="center"/>
                </w:tcPr>
                <w:p w14:paraId="5B8B4E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691" w:type="dxa"/>
                  <w:vMerge w:val="continue"/>
                  <w:tcBorders>
                    <w:tl2br w:val="nil"/>
                    <w:tr2bl w:val="nil"/>
                  </w:tcBorders>
                  <w:noWrap w:val="0"/>
                  <w:vAlign w:val="center"/>
                </w:tcPr>
                <w:p w14:paraId="424E4A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olor w:val="auto"/>
                      <w:sz w:val="21"/>
                      <w:szCs w:val="21"/>
                      <w:lang w:val="en-US" w:eastAsia="zh-CN"/>
                    </w:rPr>
                  </w:pPr>
                </w:p>
              </w:tc>
              <w:tc>
                <w:tcPr>
                  <w:tcW w:w="1198" w:type="dxa"/>
                  <w:tcBorders>
                    <w:tl2br w:val="nil"/>
                    <w:tr2bl w:val="nil"/>
                  </w:tcBorders>
                  <w:shd w:val="clear" w:color="auto" w:fill="auto"/>
                  <w:noWrap w:val="0"/>
                  <w:vAlign w:val="center"/>
                </w:tcPr>
                <w:p w14:paraId="61CD6A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4.95</w:t>
                  </w:r>
                </w:p>
              </w:tc>
            </w:tr>
            <w:tr w14:paraId="016F80B7">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442" w:hRule="atLeast"/>
                <w:jc w:val="center"/>
              </w:trPr>
              <w:tc>
                <w:tcPr>
                  <w:tcW w:w="1208" w:type="dxa"/>
                  <w:tcBorders>
                    <w:tl2br w:val="nil"/>
                    <w:tr2bl w:val="nil"/>
                  </w:tcBorders>
                  <w:noWrap w:val="0"/>
                  <w:vAlign w:val="center"/>
                </w:tcPr>
                <w:p w14:paraId="18B0E76B">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水泥筒仓</w:t>
                  </w:r>
                </w:p>
              </w:tc>
              <w:tc>
                <w:tcPr>
                  <w:tcW w:w="847" w:type="dxa"/>
                  <w:vMerge w:val="continue"/>
                  <w:tcBorders>
                    <w:tl2br w:val="nil"/>
                    <w:tr2bl w:val="nil"/>
                  </w:tcBorders>
                  <w:noWrap w:val="0"/>
                  <w:vAlign w:val="center"/>
                </w:tcPr>
                <w:p w14:paraId="071199B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kern w:val="0"/>
                      <w:sz w:val="21"/>
                      <w:szCs w:val="21"/>
                      <w:u w:val="none"/>
                      <w:lang w:val="en-US" w:eastAsia="zh-CN" w:bidi="ar-SA"/>
                    </w:rPr>
                  </w:pPr>
                </w:p>
              </w:tc>
              <w:tc>
                <w:tcPr>
                  <w:tcW w:w="840" w:type="dxa"/>
                  <w:tcBorders>
                    <w:tl2br w:val="nil"/>
                    <w:tr2bl w:val="nil"/>
                  </w:tcBorders>
                  <w:noWrap w:val="0"/>
                  <w:vAlign w:val="center"/>
                </w:tcPr>
                <w:p w14:paraId="7009D1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1.56</w:t>
                  </w:r>
                </w:p>
              </w:tc>
              <w:tc>
                <w:tcPr>
                  <w:tcW w:w="1371" w:type="dxa"/>
                  <w:tcBorders>
                    <w:tl2br w:val="nil"/>
                    <w:tr2bl w:val="nil"/>
                  </w:tcBorders>
                  <w:noWrap w:val="0"/>
                  <w:vAlign w:val="center"/>
                </w:tcPr>
                <w:p w14:paraId="43FA58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781.25</w:t>
                  </w:r>
                </w:p>
              </w:tc>
              <w:tc>
                <w:tcPr>
                  <w:tcW w:w="752" w:type="dxa"/>
                  <w:tcBorders>
                    <w:tl2br w:val="nil"/>
                    <w:tr2bl w:val="nil"/>
                  </w:tcBorders>
                  <w:noWrap w:val="0"/>
                  <w:vAlign w:val="center"/>
                </w:tcPr>
                <w:p w14:paraId="6345E9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w:t>
                  </w:r>
                </w:p>
              </w:tc>
              <w:tc>
                <w:tcPr>
                  <w:tcW w:w="789" w:type="dxa"/>
                  <w:vMerge w:val="continue"/>
                  <w:tcBorders>
                    <w:tl2br w:val="nil"/>
                    <w:tr2bl w:val="nil"/>
                  </w:tcBorders>
                  <w:noWrap w:val="0"/>
                  <w:vAlign w:val="center"/>
                </w:tcPr>
                <w:p w14:paraId="447610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p>
              </w:tc>
              <w:tc>
                <w:tcPr>
                  <w:tcW w:w="691" w:type="dxa"/>
                  <w:vMerge w:val="continue"/>
                  <w:tcBorders>
                    <w:tl2br w:val="nil"/>
                    <w:tr2bl w:val="nil"/>
                  </w:tcBorders>
                  <w:noWrap w:val="0"/>
                  <w:vAlign w:val="center"/>
                </w:tcPr>
                <w:p w14:paraId="3C5816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p>
              </w:tc>
              <w:tc>
                <w:tcPr>
                  <w:tcW w:w="1198" w:type="dxa"/>
                  <w:tcBorders>
                    <w:tl2br w:val="nil"/>
                    <w:tr2bl w:val="nil"/>
                  </w:tcBorders>
                  <w:shd w:val="clear" w:color="auto" w:fill="auto"/>
                  <w:noWrap w:val="0"/>
                  <w:vAlign w:val="center"/>
                </w:tcPr>
                <w:p w14:paraId="75F43B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1.56</w:t>
                  </w:r>
                </w:p>
              </w:tc>
            </w:tr>
            <w:tr w14:paraId="03B6DD8A">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442" w:hRule="atLeast"/>
                <w:jc w:val="center"/>
              </w:trPr>
              <w:tc>
                <w:tcPr>
                  <w:tcW w:w="1208" w:type="dxa"/>
                  <w:tcBorders>
                    <w:tl2br w:val="nil"/>
                    <w:tr2bl w:val="nil"/>
                  </w:tcBorders>
                  <w:noWrap w:val="0"/>
                  <w:vAlign w:val="center"/>
                </w:tcPr>
                <w:p w14:paraId="16CFF133">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水泥筒仓</w:t>
                  </w:r>
                </w:p>
              </w:tc>
              <w:tc>
                <w:tcPr>
                  <w:tcW w:w="847" w:type="dxa"/>
                  <w:vMerge w:val="continue"/>
                  <w:tcBorders>
                    <w:tl2br w:val="nil"/>
                    <w:tr2bl w:val="nil"/>
                  </w:tcBorders>
                  <w:noWrap w:val="0"/>
                  <w:vAlign w:val="center"/>
                </w:tcPr>
                <w:p w14:paraId="3165646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u w:val="none"/>
                      <w:lang w:val="en-US" w:eastAsia="zh-CN" w:bidi="ar-SA"/>
                    </w:rPr>
                  </w:pPr>
                </w:p>
              </w:tc>
              <w:tc>
                <w:tcPr>
                  <w:tcW w:w="840" w:type="dxa"/>
                  <w:tcBorders>
                    <w:tl2br w:val="nil"/>
                    <w:tr2bl w:val="nil"/>
                  </w:tcBorders>
                  <w:shd w:val="clear" w:color="auto" w:fill="auto"/>
                  <w:noWrap w:val="0"/>
                  <w:vAlign w:val="center"/>
                </w:tcPr>
                <w:p w14:paraId="3BE8D4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1.56</w:t>
                  </w:r>
                </w:p>
              </w:tc>
              <w:tc>
                <w:tcPr>
                  <w:tcW w:w="1371" w:type="dxa"/>
                  <w:tcBorders>
                    <w:tl2br w:val="nil"/>
                    <w:tr2bl w:val="nil"/>
                  </w:tcBorders>
                  <w:shd w:val="clear" w:color="auto" w:fill="auto"/>
                  <w:noWrap w:val="0"/>
                  <w:vAlign w:val="center"/>
                </w:tcPr>
                <w:p w14:paraId="770141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781.25</w:t>
                  </w:r>
                </w:p>
              </w:tc>
              <w:tc>
                <w:tcPr>
                  <w:tcW w:w="752" w:type="dxa"/>
                  <w:tcBorders>
                    <w:tl2br w:val="nil"/>
                    <w:tr2bl w:val="nil"/>
                  </w:tcBorders>
                  <w:noWrap w:val="0"/>
                  <w:vAlign w:val="center"/>
                </w:tcPr>
                <w:p w14:paraId="566EAC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w:t>
                  </w:r>
                </w:p>
              </w:tc>
              <w:tc>
                <w:tcPr>
                  <w:tcW w:w="789" w:type="dxa"/>
                  <w:vMerge w:val="continue"/>
                  <w:tcBorders>
                    <w:tl2br w:val="nil"/>
                    <w:tr2bl w:val="nil"/>
                  </w:tcBorders>
                  <w:noWrap w:val="0"/>
                  <w:vAlign w:val="center"/>
                </w:tcPr>
                <w:p w14:paraId="43E372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p>
              </w:tc>
              <w:tc>
                <w:tcPr>
                  <w:tcW w:w="691" w:type="dxa"/>
                  <w:vMerge w:val="continue"/>
                  <w:tcBorders>
                    <w:tl2br w:val="nil"/>
                    <w:tr2bl w:val="nil"/>
                  </w:tcBorders>
                  <w:noWrap w:val="0"/>
                  <w:vAlign w:val="center"/>
                </w:tcPr>
                <w:p w14:paraId="5B8750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p>
              </w:tc>
              <w:tc>
                <w:tcPr>
                  <w:tcW w:w="1198" w:type="dxa"/>
                  <w:tcBorders>
                    <w:tl2br w:val="nil"/>
                    <w:tr2bl w:val="nil"/>
                  </w:tcBorders>
                  <w:shd w:val="clear" w:color="auto" w:fill="auto"/>
                  <w:noWrap w:val="0"/>
                  <w:vAlign w:val="center"/>
                </w:tcPr>
                <w:p w14:paraId="078B21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1.56</w:t>
                  </w:r>
                </w:p>
              </w:tc>
            </w:tr>
            <w:tr w14:paraId="7FC12714">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456" w:hRule="atLeast"/>
                <w:jc w:val="center"/>
              </w:trPr>
              <w:tc>
                <w:tcPr>
                  <w:tcW w:w="1208" w:type="dxa"/>
                  <w:tcBorders>
                    <w:tl2br w:val="nil"/>
                    <w:tr2bl w:val="nil"/>
                  </w:tcBorders>
                  <w:noWrap w:val="0"/>
                  <w:vAlign w:val="center"/>
                </w:tcPr>
                <w:p w14:paraId="3EA8D8CB">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配料工序</w:t>
                  </w:r>
                </w:p>
              </w:tc>
              <w:tc>
                <w:tcPr>
                  <w:tcW w:w="847" w:type="dxa"/>
                  <w:vMerge w:val="continue"/>
                  <w:tcBorders>
                    <w:tl2br w:val="nil"/>
                    <w:tr2bl w:val="nil"/>
                  </w:tcBorders>
                  <w:noWrap w:val="0"/>
                  <w:vAlign w:val="center"/>
                </w:tcPr>
                <w:p w14:paraId="0E0BC1F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color w:val="auto"/>
                      <w:kern w:val="0"/>
                      <w:sz w:val="21"/>
                      <w:szCs w:val="21"/>
                      <w:u w:val="none"/>
                      <w:lang w:val="en-US" w:eastAsia="zh-CN" w:bidi="ar-SA"/>
                    </w:rPr>
                  </w:pPr>
                </w:p>
              </w:tc>
              <w:tc>
                <w:tcPr>
                  <w:tcW w:w="840" w:type="dxa"/>
                  <w:tcBorders>
                    <w:tl2br w:val="nil"/>
                    <w:tr2bl w:val="nil"/>
                  </w:tcBorders>
                  <w:shd w:val="clear" w:color="auto" w:fill="auto"/>
                  <w:noWrap w:val="0"/>
                  <w:vAlign w:val="center"/>
                </w:tcPr>
                <w:p w14:paraId="524DBE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1.39</w:t>
                  </w:r>
                </w:p>
              </w:tc>
              <w:tc>
                <w:tcPr>
                  <w:tcW w:w="1371" w:type="dxa"/>
                  <w:tcBorders>
                    <w:tl2br w:val="nil"/>
                    <w:tr2bl w:val="nil"/>
                  </w:tcBorders>
                  <w:shd w:val="clear" w:color="auto" w:fill="auto"/>
                  <w:noWrap w:val="0"/>
                  <w:vAlign w:val="center"/>
                </w:tcPr>
                <w:p w14:paraId="6A80F0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138.54</w:t>
                  </w:r>
                </w:p>
              </w:tc>
              <w:tc>
                <w:tcPr>
                  <w:tcW w:w="752" w:type="dxa"/>
                  <w:tcBorders>
                    <w:tl2br w:val="nil"/>
                    <w:tr2bl w:val="nil"/>
                  </w:tcBorders>
                  <w:noWrap w:val="0"/>
                  <w:vAlign w:val="center"/>
                </w:tcPr>
                <w:p w14:paraId="3D499D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lang w:val="en-US" w:eastAsia="zh-CN"/>
                    </w:rPr>
                  </w:pPr>
                  <w:r>
                    <w:rPr>
                      <w:rFonts w:hint="eastAsia"/>
                      <w:color w:val="auto"/>
                      <w:sz w:val="21"/>
                      <w:szCs w:val="21"/>
                      <w:lang w:val="en-US" w:eastAsia="zh-CN"/>
                    </w:rPr>
                    <w:t>0</w:t>
                  </w:r>
                </w:p>
              </w:tc>
              <w:tc>
                <w:tcPr>
                  <w:tcW w:w="789" w:type="dxa"/>
                  <w:vMerge w:val="continue"/>
                  <w:tcBorders>
                    <w:tl2br w:val="nil"/>
                    <w:tr2bl w:val="nil"/>
                  </w:tcBorders>
                  <w:noWrap w:val="0"/>
                  <w:vAlign w:val="center"/>
                </w:tcPr>
                <w:p w14:paraId="4B5CD2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p>
              </w:tc>
              <w:tc>
                <w:tcPr>
                  <w:tcW w:w="691" w:type="dxa"/>
                  <w:vMerge w:val="continue"/>
                  <w:tcBorders>
                    <w:tl2br w:val="nil"/>
                    <w:tr2bl w:val="nil"/>
                  </w:tcBorders>
                  <w:noWrap w:val="0"/>
                  <w:vAlign w:val="center"/>
                </w:tcPr>
                <w:p w14:paraId="38D2E6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p>
              </w:tc>
              <w:tc>
                <w:tcPr>
                  <w:tcW w:w="1198" w:type="dxa"/>
                  <w:tcBorders>
                    <w:tl2br w:val="nil"/>
                    <w:tr2bl w:val="nil"/>
                  </w:tcBorders>
                  <w:shd w:val="clear" w:color="auto" w:fill="auto"/>
                  <w:noWrap w:val="0"/>
                  <w:vAlign w:val="center"/>
                </w:tcPr>
                <w:p w14:paraId="223CBE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1.39</w:t>
                  </w:r>
                </w:p>
              </w:tc>
            </w:tr>
            <w:tr w14:paraId="25FFDE96">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422" w:hRule="atLeast"/>
                <w:jc w:val="center"/>
              </w:trPr>
              <w:tc>
                <w:tcPr>
                  <w:tcW w:w="1208" w:type="dxa"/>
                  <w:tcBorders>
                    <w:tl2br w:val="nil"/>
                    <w:tr2bl w:val="nil"/>
                  </w:tcBorders>
                  <w:noWrap w:val="0"/>
                  <w:vAlign w:val="center"/>
                </w:tcPr>
                <w:p w14:paraId="5745D2BD">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搅拌工序</w:t>
                  </w:r>
                </w:p>
              </w:tc>
              <w:tc>
                <w:tcPr>
                  <w:tcW w:w="847" w:type="dxa"/>
                  <w:vMerge w:val="continue"/>
                  <w:tcBorders>
                    <w:tl2br w:val="nil"/>
                    <w:tr2bl w:val="nil"/>
                  </w:tcBorders>
                  <w:noWrap w:val="0"/>
                  <w:vAlign w:val="center"/>
                </w:tcPr>
                <w:p w14:paraId="0AD7272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color w:val="auto"/>
                      <w:kern w:val="0"/>
                      <w:sz w:val="21"/>
                      <w:szCs w:val="21"/>
                      <w:u w:val="none"/>
                      <w:lang w:val="en-US" w:eastAsia="zh-CN" w:bidi="ar-SA"/>
                    </w:rPr>
                  </w:pPr>
                </w:p>
              </w:tc>
              <w:tc>
                <w:tcPr>
                  <w:tcW w:w="840" w:type="dxa"/>
                  <w:tcBorders>
                    <w:tl2br w:val="nil"/>
                    <w:tr2bl w:val="nil"/>
                  </w:tcBorders>
                  <w:shd w:val="clear" w:color="auto" w:fill="auto"/>
                  <w:noWrap w:val="0"/>
                  <w:vAlign w:val="center"/>
                </w:tcPr>
                <w:p w14:paraId="3CD92A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5.9375</w:t>
                  </w:r>
                </w:p>
              </w:tc>
              <w:tc>
                <w:tcPr>
                  <w:tcW w:w="1371" w:type="dxa"/>
                  <w:tcBorders>
                    <w:tl2br w:val="nil"/>
                    <w:tr2bl w:val="nil"/>
                  </w:tcBorders>
                  <w:shd w:val="clear" w:color="auto" w:fill="auto"/>
                  <w:noWrap w:val="0"/>
                  <w:vAlign w:val="center"/>
                </w:tcPr>
                <w:p w14:paraId="406DA2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593.75</w:t>
                  </w:r>
                </w:p>
              </w:tc>
              <w:tc>
                <w:tcPr>
                  <w:tcW w:w="752" w:type="dxa"/>
                  <w:tcBorders>
                    <w:tl2br w:val="nil"/>
                    <w:tr2bl w:val="nil"/>
                  </w:tcBorders>
                  <w:noWrap w:val="0"/>
                  <w:vAlign w:val="center"/>
                </w:tcPr>
                <w:p w14:paraId="5A686C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lang w:val="en-US" w:eastAsia="zh-CN"/>
                    </w:rPr>
                  </w:pPr>
                  <w:r>
                    <w:rPr>
                      <w:rFonts w:hint="eastAsia"/>
                      <w:color w:val="auto"/>
                      <w:sz w:val="21"/>
                      <w:szCs w:val="21"/>
                      <w:lang w:val="en-US" w:eastAsia="zh-CN"/>
                    </w:rPr>
                    <w:t>0</w:t>
                  </w:r>
                </w:p>
              </w:tc>
              <w:tc>
                <w:tcPr>
                  <w:tcW w:w="789" w:type="dxa"/>
                  <w:vMerge w:val="continue"/>
                  <w:tcBorders>
                    <w:tl2br w:val="nil"/>
                    <w:tr2bl w:val="nil"/>
                  </w:tcBorders>
                  <w:noWrap w:val="0"/>
                  <w:vAlign w:val="center"/>
                </w:tcPr>
                <w:p w14:paraId="742990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p>
              </w:tc>
              <w:tc>
                <w:tcPr>
                  <w:tcW w:w="691" w:type="dxa"/>
                  <w:vMerge w:val="continue"/>
                  <w:tcBorders>
                    <w:tl2br w:val="nil"/>
                    <w:tr2bl w:val="nil"/>
                  </w:tcBorders>
                  <w:noWrap w:val="0"/>
                  <w:vAlign w:val="center"/>
                </w:tcPr>
                <w:p w14:paraId="6C1A28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US" w:eastAsia="zh-CN"/>
                    </w:rPr>
                  </w:pPr>
                </w:p>
              </w:tc>
              <w:tc>
                <w:tcPr>
                  <w:tcW w:w="1198" w:type="dxa"/>
                  <w:tcBorders>
                    <w:tl2br w:val="nil"/>
                    <w:tr2bl w:val="nil"/>
                  </w:tcBorders>
                  <w:shd w:val="clear" w:color="auto" w:fill="auto"/>
                  <w:noWrap w:val="0"/>
                  <w:vAlign w:val="center"/>
                </w:tcPr>
                <w:p w14:paraId="3CB9AA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5.9375</w:t>
                  </w:r>
                </w:p>
              </w:tc>
            </w:tr>
          </w:tbl>
          <w:p w14:paraId="73D5BAF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lang w:bidi="zh-TW"/>
              </w:rPr>
            </w:pPr>
            <w:r>
              <w:rPr>
                <w:rFonts w:hint="eastAsia"/>
                <w:sz w:val="24"/>
                <w:lang w:bidi="zh-TW"/>
              </w:rPr>
              <w:t>非正常工况防范措施</w:t>
            </w:r>
            <w:r>
              <w:rPr>
                <w:rFonts w:hint="eastAsia"/>
                <w:sz w:val="24"/>
                <w:lang w:eastAsia="zh-CN" w:bidi="zh-TW"/>
              </w:rPr>
              <w:t>，</w:t>
            </w:r>
            <w:r>
              <w:rPr>
                <w:rFonts w:hint="eastAsia"/>
                <w:sz w:val="24"/>
                <w:lang w:bidi="zh-TW"/>
              </w:rPr>
              <w:t>为确保项目废气处理装置正常运行，建设方在日常运行过程中，拟采取如下措施：</w:t>
            </w:r>
          </w:p>
          <w:p w14:paraId="0119EC8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lang w:bidi="zh-TW"/>
              </w:rPr>
            </w:pPr>
            <w:r>
              <w:rPr>
                <w:rFonts w:hint="eastAsia"/>
                <w:sz w:val="24"/>
                <w:lang w:bidi="zh-TW"/>
              </w:rPr>
              <w:t>①由公司委派专人负责每日巡检废气处理装置，做好巡检记录。</w:t>
            </w:r>
          </w:p>
          <w:p w14:paraId="795AEE5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lang w:bidi="zh-TW"/>
              </w:rPr>
            </w:pPr>
            <w:r>
              <w:rPr>
                <w:rFonts w:hint="eastAsia"/>
                <w:sz w:val="24"/>
                <w:lang w:bidi="zh-TW"/>
              </w:rPr>
              <w:t>②当发现废气处理设施故障并导致废气非正常排放时，应立即停止生产等，待废气处理装置故障排除后并可正常运行时方可恢复生产。</w:t>
            </w:r>
          </w:p>
          <w:p w14:paraId="311FE3C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lang w:bidi="zh-TW"/>
              </w:rPr>
            </w:pPr>
            <w:r>
              <w:rPr>
                <w:rFonts w:hint="eastAsia"/>
                <w:sz w:val="24"/>
                <w:lang w:bidi="zh-TW"/>
              </w:rPr>
              <w:t>③按照环评要求定期对废气处理装置进行维护保养，以减少废气的非正常排放。</w:t>
            </w:r>
          </w:p>
          <w:p w14:paraId="5F97AFB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lang w:bidi="zh-TW"/>
              </w:rPr>
            </w:pPr>
            <w:r>
              <w:rPr>
                <w:rFonts w:hint="eastAsia"/>
                <w:sz w:val="24"/>
                <w:lang w:bidi="zh-TW"/>
              </w:rPr>
              <w:t>④建立废气处理装置运行管理台账，由专人负责记录</w:t>
            </w:r>
            <w:r>
              <w:rPr>
                <w:rFonts w:hint="eastAsia"/>
                <w:sz w:val="24"/>
                <w:lang w:val="en-US" w:eastAsia="zh-CN" w:bidi="zh-TW"/>
              </w:rPr>
              <w:t>并且保存</w:t>
            </w:r>
            <w:r>
              <w:rPr>
                <w:rFonts w:hint="eastAsia"/>
                <w:sz w:val="24"/>
                <w:lang w:bidi="zh-TW"/>
              </w:rPr>
              <w:t>。</w:t>
            </w:r>
          </w:p>
          <w:p w14:paraId="5CBE7CF1">
            <w:pPr>
              <w:keepNext w:val="0"/>
              <w:keepLines w:val="0"/>
              <w:pageBreakBefore w:val="0"/>
              <w:widowControl w:val="0"/>
              <w:kinsoku/>
              <w:wordWrap/>
              <w:overflowPunct/>
              <w:topLinePunct w:val="0"/>
              <w:autoSpaceDE/>
              <w:autoSpaceDN/>
              <w:bidi w:val="0"/>
              <w:adjustRightInd/>
              <w:snapToGrid/>
              <w:spacing w:line="500" w:lineRule="exact"/>
              <w:ind w:firstLine="464" w:firstLineChars="200"/>
              <w:textAlignment w:val="auto"/>
              <w:rPr>
                <w:b w:val="0"/>
                <w:bCs/>
                <w:color w:val="000000"/>
                <w:spacing w:val="-4"/>
                <w:sz w:val="24"/>
                <w:u w:val="none"/>
              </w:rPr>
            </w:pPr>
            <w:r>
              <w:rPr>
                <w:b w:val="0"/>
                <w:bCs/>
                <w:color w:val="000000"/>
                <w:spacing w:val="-4"/>
                <w:sz w:val="24"/>
                <w:u w:val="none"/>
              </w:rPr>
              <w:t>1.</w:t>
            </w:r>
            <w:r>
              <w:rPr>
                <w:rFonts w:hint="eastAsia"/>
                <w:b w:val="0"/>
                <w:bCs/>
                <w:color w:val="000000"/>
                <w:spacing w:val="-4"/>
                <w:sz w:val="24"/>
                <w:u w:val="none"/>
                <w:lang w:val="en-US" w:eastAsia="zh-CN"/>
              </w:rPr>
              <w:t>4</w:t>
            </w:r>
            <w:r>
              <w:rPr>
                <w:b w:val="0"/>
                <w:bCs/>
                <w:color w:val="000000"/>
                <w:spacing w:val="-4"/>
                <w:sz w:val="24"/>
                <w:u w:val="none"/>
              </w:rPr>
              <w:t>废气处理措施可行性分析</w:t>
            </w:r>
          </w:p>
          <w:p w14:paraId="41814255">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eastAsia"/>
                <w:sz w:val="24"/>
                <w:u w:val="none"/>
              </w:rPr>
            </w:pPr>
            <w:r>
              <w:rPr>
                <w:rFonts w:hint="eastAsia"/>
                <w:color w:val="000000"/>
                <w:sz w:val="24"/>
                <w:highlight w:val="none"/>
                <w:u w:val="none"/>
                <w:lang w:val="en-US" w:eastAsia="zh-CN"/>
              </w:rPr>
              <w:t>有组织排放</w:t>
            </w:r>
            <w:r>
              <w:rPr>
                <w:rFonts w:hint="eastAsia"/>
                <w:color w:val="000000"/>
                <w:sz w:val="24"/>
                <w:u w:val="none"/>
                <w:lang w:val="en-US" w:eastAsia="zh-CN"/>
              </w:rPr>
              <w:t>可行性分析，</w:t>
            </w:r>
            <w:r>
              <w:rPr>
                <w:rFonts w:hint="eastAsia" w:cs="Times New Roman"/>
                <w:b w:val="0"/>
                <w:bCs w:val="0"/>
                <w:color w:val="000000"/>
                <w:sz w:val="24"/>
                <w:szCs w:val="24"/>
                <w:highlight w:val="none"/>
                <w:u w:val="none"/>
                <w:lang w:val="en-US" w:eastAsia="zh-CN"/>
              </w:rPr>
              <w:t>颗粒物废气治理设施，项目在给料、颚破工序废气污染物为颗粒物，颗粒物可以采用袋式除尘器或喷淋塔等不同设备进行处理，本次建设项目</w:t>
            </w:r>
            <w:r>
              <w:rPr>
                <w:rFonts w:hint="eastAsia" w:ascii="宋体" w:hAnsi="宋体" w:cs="宋体"/>
                <w:sz w:val="24"/>
                <w:szCs w:val="24"/>
                <w:highlight w:val="none"/>
                <w:u w:val="none"/>
                <w:lang w:val="en-US" w:eastAsia="zh-CN"/>
              </w:rPr>
              <w:t>加工时</w:t>
            </w:r>
            <w:r>
              <w:rPr>
                <w:rFonts w:hint="eastAsia" w:ascii="宋体" w:hAnsi="宋体" w:eastAsia="宋体" w:cs="宋体"/>
                <w:sz w:val="24"/>
                <w:szCs w:val="24"/>
                <w:highlight w:val="none"/>
                <w:u w:val="none"/>
                <w:lang w:val="en-US" w:eastAsia="zh-CN"/>
              </w:rPr>
              <w:t>产生的颗粒物使用袋式除尘器进行处理</w:t>
            </w:r>
            <w:r>
              <w:rPr>
                <w:rFonts w:hint="eastAsia" w:ascii="宋体" w:hAnsi="宋体" w:cs="宋体"/>
                <w:sz w:val="24"/>
                <w:szCs w:val="24"/>
                <w:highlight w:val="none"/>
                <w:u w:val="none"/>
                <w:lang w:val="en-US" w:eastAsia="zh-CN"/>
              </w:rPr>
              <w:t>，使用袋式除尘器满足对颗粒物的治理，同时</w:t>
            </w:r>
            <w:r>
              <w:rPr>
                <w:rFonts w:hint="eastAsia"/>
                <w:color w:val="000000"/>
                <w:sz w:val="24"/>
                <w:u w:val="none"/>
                <w:lang w:val="en-US" w:eastAsia="zh-CN"/>
              </w:rPr>
              <w:t>参考《</w:t>
            </w:r>
            <w:r>
              <w:rPr>
                <w:rFonts w:hint="eastAsia"/>
                <w:sz w:val="24"/>
                <w:szCs w:val="24"/>
                <w:u w:val="none"/>
                <w:lang w:val="en-US" w:eastAsia="zh-CN"/>
              </w:rPr>
              <w:t>排污许可证申请与核发技术规范 水泥工业》</w:t>
            </w:r>
            <w:r>
              <w:rPr>
                <w:color w:val="000000"/>
                <w:sz w:val="24"/>
                <w:u w:val="none"/>
              </w:rPr>
              <w:t>（HJ 1034—</w:t>
            </w:r>
            <w:r>
              <w:rPr>
                <w:color w:val="000000"/>
                <w:sz w:val="24"/>
                <w:highlight w:val="none"/>
                <w:u w:val="none"/>
              </w:rPr>
              <w:t>201</w:t>
            </w:r>
            <w:r>
              <w:rPr>
                <w:rFonts w:hint="eastAsia"/>
                <w:color w:val="000000"/>
                <w:sz w:val="24"/>
                <w:highlight w:val="none"/>
                <w:u w:val="none"/>
                <w:lang w:val="en-US" w:eastAsia="zh-CN"/>
              </w:rPr>
              <w:t>7</w:t>
            </w:r>
            <w:r>
              <w:rPr>
                <w:color w:val="000000"/>
                <w:sz w:val="24"/>
                <w:u w:val="none"/>
              </w:rPr>
              <w:t>）</w:t>
            </w:r>
            <w:r>
              <w:rPr>
                <w:rFonts w:hint="eastAsia"/>
                <w:sz w:val="24"/>
                <w:u w:val="none"/>
              </w:rPr>
              <w:t>附录</w:t>
            </w:r>
            <w:r>
              <w:rPr>
                <w:rFonts w:hint="eastAsia"/>
                <w:sz w:val="24"/>
                <w:u w:val="none"/>
                <w:lang w:val="en-US" w:eastAsia="zh-CN"/>
              </w:rPr>
              <w:t>B</w:t>
            </w:r>
            <w:r>
              <w:rPr>
                <w:rFonts w:hint="eastAsia"/>
                <w:sz w:val="24"/>
                <w:u w:val="none"/>
              </w:rPr>
              <w:t>可知，</w:t>
            </w:r>
            <w:r>
              <w:rPr>
                <w:rFonts w:hint="eastAsia"/>
                <w:sz w:val="24"/>
                <w:u w:val="none"/>
                <w:lang w:val="en-US" w:eastAsia="zh-CN"/>
              </w:rPr>
              <w:t>本项目水泥稳定土和砂石</w:t>
            </w:r>
            <w:r>
              <w:rPr>
                <w:rFonts w:hint="eastAsia"/>
                <w:sz w:val="24"/>
                <w:u w:val="none"/>
              </w:rPr>
              <w:t>加工工业排污大内废气污染防治可行技术如下表。</w:t>
            </w:r>
          </w:p>
          <w:p w14:paraId="40645F0F">
            <w:pPr>
              <w:keepNext w:val="0"/>
              <w:keepLines w:val="0"/>
              <w:pageBreakBefore w:val="0"/>
              <w:widowControl w:val="0"/>
              <w:kinsoku/>
              <w:wordWrap/>
              <w:overflowPunct/>
              <w:topLinePunct w:val="0"/>
              <w:autoSpaceDE/>
              <w:autoSpaceDN/>
              <w:bidi w:val="0"/>
              <w:adjustRightInd/>
              <w:snapToGrid/>
              <w:spacing w:line="500" w:lineRule="exact"/>
              <w:ind w:firstLine="480"/>
              <w:jc w:val="center"/>
              <w:textAlignment w:val="auto"/>
              <w:rPr>
                <w:rFonts w:eastAsia="黑体"/>
                <w:sz w:val="24"/>
                <w:u w:val="single"/>
              </w:rPr>
            </w:pPr>
            <w:r>
              <w:rPr>
                <w:rFonts w:hAnsi="黑体" w:eastAsia="黑体"/>
                <w:sz w:val="24"/>
                <w:u w:val="none"/>
              </w:rPr>
              <w:t>表</w:t>
            </w:r>
            <w:r>
              <w:rPr>
                <w:rFonts w:hint="eastAsia" w:hAnsi="黑体" w:eastAsia="黑体"/>
                <w:sz w:val="24"/>
                <w:u w:val="none"/>
              </w:rPr>
              <w:t>4-</w:t>
            </w:r>
            <w:r>
              <w:rPr>
                <w:rFonts w:hint="eastAsia" w:hAnsi="黑体" w:eastAsia="黑体"/>
                <w:sz w:val="24"/>
                <w:u w:val="none"/>
                <w:lang w:val="en-US" w:eastAsia="zh-CN"/>
              </w:rPr>
              <w:t>9</w:t>
            </w:r>
            <w:r>
              <w:rPr>
                <w:rFonts w:eastAsia="黑体"/>
                <w:sz w:val="24"/>
                <w:u w:val="none"/>
              </w:rPr>
              <w:t xml:space="preserve"> </w:t>
            </w:r>
            <w:r>
              <w:rPr>
                <w:rFonts w:hAnsi="黑体" w:eastAsia="黑体"/>
                <w:sz w:val="24"/>
                <w:u w:val="none"/>
              </w:rPr>
              <w:t>废气治理可行技术参照表</w:t>
            </w:r>
          </w:p>
          <w:tbl>
            <w:tblPr>
              <w:tblStyle w:val="23"/>
              <w:tblW w:w="7937"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1469"/>
              <w:gridCol w:w="1483"/>
              <w:gridCol w:w="1181"/>
              <w:gridCol w:w="1642"/>
              <w:gridCol w:w="2162"/>
            </w:tblGrid>
            <w:tr w14:paraId="3B97CEE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60" w:hRule="atLeast"/>
                <w:jc w:val="center"/>
              </w:trPr>
              <w:tc>
                <w:tcPr>
                  <w:tcW w:w="1469" w:type="dxa"/>
                  <w:tcBorders>
                    <w:tl2br w:val="nil"/>
                    <w:tr2bl w:val="nil"/>
                  </w:tcBorders>
                  <w:noWrap w:val="0"/>
                  <w:vAlign w:val="center"/>
                </w:tcPr>
                <w:p w14:paraId="674A0F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zCs w:val="21"/>
                      <w:u w:val="none"/>
                    </w:rPr>
                  </w:pPr>
                  <w:r>
                    <w:rPr>
                      <w:rFonts w:hint="eastAsia"/>
                      <w:b/>
                      <w:bCs/>
                      <w:szCs w:val="21"/>
                      <w:u w:val="none"/>
                      <w:lang w:val="en-US" w:eastAsia="zh-CN"/>
                    </w:rPr>
                    <w:t>产品</w:t>
                  </w:r>
                  <w:r>
                    <w:rPr>
                      <w:b/>
                      <w:bCs/>
                      <w:szCs w:val="21"/>
                      <w:u w:val="none"/>
                    </w:rPr>
                    <w:t>种类</w:t>
                  </w:r>
                </w:p>
              </w:tc>
              <w:tc>
                <w:tcPr>
                  <w:tcW w:w="1483" w:type="dxa"/>
                  <w:tcBorders>
                    <w:tl2br w:val="nil"/>
                    <w:tr2bl w:val="nil"/>
                  </w:tcBorders>
                  <w:noWrap w:val="0"/>
                  <w:vAlign w:val="center"/>
                </w:tcPr>
                <w:p w14:paraId="7CE063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zCs w:val="21"/>
                      <w:u w:val="none"/>
                    </w:rPr>
                  </w:pPr>
                  <w:r>
                    <w:rPr>
                      <w:rFonts w:hint="eastAsia"/>
                      <w:b/>
                      <w:bCs/>
                      <w:szCs w:val="21"/>
                      <w:u w:val="none"/>
                    </w:rPr>
                    <w:t>主要生产单元</w:t>
                  </w:r>
                </w:p>
              </w:tc>
              <w:tc>
                <w:tcPr>
                  <w:tcW w:w="1181" w:type="dxa"/>
                  <w:tcBorders>
                    <w:tl2br w:val="nil"/>
                    <w:tr2bl w:val="nil"/>
                  </w:tcBorders>
                  <w:noWrap w:val="0"/>
                  <w:vAlign w:val="center"/>
                </w:tcPr>
                <w:p w14:paraId="4B1464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zCs w:val="21"/>
                      <w:u w:val="none"/>
                    </w:rPr>
                  </w:pPr>
                  <w:r>
                    <w:rPr>
                      <w:rFonts w:hint="eastAsia"/>
                      <w:b/>
                      <w:bCs/>
                      <w:szCs w:val="21"/>
                      <w:u w:val="none"/>
                    </w:rPr>
                    <w:t>主要</w:t>
                  </w:r>
                </w:p>
                <w:p w14:paraId="2855F3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zCs w:val="21"/>
                      <w:u w:val="none"/>
                    </w:rPr>
                  </w:pPr>
                  <w:r>
                    <w:rPr>
                      <w:rFonts w:hint="eastAsia"/>
                      <w:b/>
                      <w:bCs/>
                      <w:szCs w:val="21"/>
                      <w:u w:val="none"/>
                    </w:rPr>
                    <w:t>污染物</w:t>
                  </w:r>
                </w:p>
              </w:tc>
              <w:tc>
                <w:tcPr>
                  <w:tcW w:w="1642" w:type="dxa"/>
                  <w:tcBorders>
                    <w:tl2br w:val="nil"/>
                    <w:tr2bl w:val="nil"/>
                  </w:tcBorders>
                  <w:noWrap w:val="0"/>
                  <w:vAlign w:val="center"/>
                </w:tcPr>
                <w:p w14:paraId="5E4BB8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bCs/>
                      <w:szCs w:val="21"/>
                      <w:u w:val="none"/>
                      <w:lang w:val="en-US" w:eastAsia="zh-CN"/>
                    </w:rPr>
                  </w:pPr>
                  <w:r>
                    <w:rPr>
                      <w:rFonts w:hint="eastAsia"/>
                      <w:b/>
                      <w:bCs/>
                      <w:szCs w:val="21"/>
                      <w:u w:val="none"/>
                      <w:lang w:val="en-US" w:eastAsia="zh-CN"/>
                    </w:rPr>
                    <w:t>产污设施</w:t>
                  </w:r>
                </w:p>
              </w:tc>
              <w:tc>
                <w:tcPr>
                  <w:tcW w:w="2162" w:type="dxa"/>
                  <w:tcBorders>
                    <w:tl2br w:val="nil"/>
                    <w:tr2bl w:val="nil"/>
                  </w:tcBorders>
                  <w:noWrap w:val="0"/>
                  <w:vAlign w:val="center"/>
                </w:tcPr>
                <w:p w14:paraId="51ABDF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zCs w:val="21"/>
                      <w:u w:val="none"/>
                    </w:rPr>
                  </w:pPr>
                  <w:r>
                    <w:rPr>
                      <w:rFonts w:hint="eastAsia"/>
                      <w:b/>
                      <w:bCs/>
                      <w:szCs w:val="21"/>
                      <w:u w:val="none"/>
                    </w:rPr>
                    <w:t>可行技术</w:t>
                  </w:r>
                </w:p>
              </w:tc>
            </w:tr>
            <w:tr w14:paraId="0AAD465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652" w:hRule="atLeast"/>
                <w:jc w:val="center"/>
              </w:trPr>
              <w:tc>
                <w:tcPr>
                  <w:tcW w:w="1469" w:type="dxa"/>
                  <w:tcBorders>
                    <w:tl2br w:val="nil"/>
                    <w:tr2bl w:val="nil"/>
                  </w:tcBorders>
                  <w:noWrap w:val="0"/>
                  <w:vAlign w:val="center"/>
                </w:tcPr>
                <w:p w14:paraId="7EF83A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u w:val="none"/>
                      <w:lang w:val="en-US" w:eastAsia="zh-CN"/>
                    </w:rPr>
                  </w:pPr>
                  <w:r>
                    <w:rPr>
                      <w:rFonts w:hint="eastAsia"/>
                      <w:szCs w:val="21"/>
                      <w:u w:val="none"/>
                      <w:lang w:val="en-US" w:eastAsia="zh-CN"/>
                    </w:rPr>
                    <w:t>水泥稳定</w:t>
                  </w:r>
                </w:p>
                <w:p w14:paraId="74B589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Cs w:val="21"/>
                      <w:u w:val="none"/>
                      <w:lang w:val="en-US" w:eastAsia="zh-CN"/>
                    </w:rPr>
                  </w:pPr>
                  <w:r>
                    <w:rPr>
                      <w:rFonts w:hint="eastAsia"/>
                      <w:szCs w:val="21"/>
                      <w:u w:val="none"/>
                      <w:lang w:val="en-US" w:eastAsia="zh-CN"/>
                    </w:rPr>
                    <w:t>土、砂石</w:t>
                  </w:r>
                </w:p>
              </w:tc>
              <w:tc>
                <w:tcPr>
                  <w:tcW w:w="1483" w:type="dxa"/>
                  <w:tcBorders>
                    <w:tl2br w:val="nil"/>
                    <w:tr2bl w:val="nil"/>
                  </w:tcBorders>
                  <w:noWrap w:val="0"/>
                  <w:vAlign w:val="center"/>
                </w:tcPr>
                <w:p w14:paraId="511B2D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u w:val="none"/>
                    </w:rPr>
                  </w:pPr>
                  <w:r>
                    <w:rPr>
                      <w:rFonts w:hint="eastAsia"/>
                      <w:szCs w:val="21"/>
                      <w:u w:val="none"/>
                      <w:lang w:val="en-US" w:eastAsia="zh-CN"/>
                    </w:rPr>
                    <w:t>生产</w:t>
                  </w:r>
                  <w:r>
                    <w:rPr>
                      <w:rFonts w:hint="eastAsia"/>
                      <w:szCs w:val="21"/>
                      <w:u w:val="none"/>
                    </w:rPr>
                    <w:t>加工</w:t>
                  </w:r>
                </w:p>
              </w:tc>
              <w:tc>
                <w:tcPr>
                  <w:tcW w:w="1181" w:type="dxa"/>
                  <w:tcBorders>
                    <w:tl2br w:val="nil"/>
                    <w:tr2bl w:val="nil"/>
                  </w:tcBorders>
                  <w:noWrap w:val="0"/>
                  <w:vAlign w:val="center"/>
                </w:tcPr>
                <w:p w14:paraId="716836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u w:val="none"/>
                    </w:rPr>
                  </w:pPr>
                  <w:r>
                    <w:rPr>
                      <w:rFonts w:hint="eastAsia"/>
                      <w:szCs w:val="21"/>
                      <w:u w:val="none"/>
                    </w:rPr>
                    <w:t>颗粒物</w:t>
                  </w:r>
                </w:p>
              </w:tc>
              <w:tc>
                <w:tcPr>
                  <w:tcW w:w="1642" w:type="dxa"/>
                  <w:tcBorders>
                    <w:tl2br w:val="nil"/>
                    <w:tr2bl w:val="nil"/>
                  </w:tcBorders>
                  <w:noWrap w:val="0"/>
                  <w:vAlign w:val="center"/>
                </w:tcPr>
                <w:p w14:paraId="23239C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highlight w:val="none"/>
                      <w:u w:val="none"/>
                      <w:lang w:val="en-US" w:eastAsia="zh-CN"/>
                    </w:rPr>
                  </w:pPr>
                  <w:r>
                    <w:rPr>
                      <w:rFonts w:hint="eastAsia"/>
                      <w:szCs w:val="21"/>
                      <w:highlight w:val="none"/>
                      <w:u w:val="none"/>
                      <w:lang w:val="en-US" w:eastAsia="zh-CN"/>
                    </w:rPr>
                    <w:t>颚破、给料、</w:t>
                  </w:r>
                </w:p>
                <w:p w14:paraId="5BA1DC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szCs w:val="21"/>
                      <w:u w:val="none"/>
                      <w:lang w:val="en-US" w:eastAsia="zh-CN"/>
                    </w:rPr>
                  </w:pPr>
                  <w:r>
                    <w:rPr>
                      <w:rFonts w:hint="eastAsia"/>
                      <w:szCs w:val="21"/>
                      <w:highlight w:val="none"/>
                      <w:u w:val="none"/>
                      <w:lang w:val="en-US" w:eastAsia="zh-CN"/>
                    </w:rPr>
                    <w:t>搅拌、</w:t>
                  </w:r>
                </w:p>
              </w:tc>
              <w:tc>
                <w:tcPr>
                  <w:tcW w:w="2162" w:type="dxa"/>
                  <w:tcBorders>
                    <w:tl2br w:val="nil"/>
                    <w:tr2bl w:val="nil"/>
                  </w:tcBorders>
                  <w:noWrap w:val="0"/>
                  <w:vAlign w:val="center"/>
                </w:tcPr>
                <w:p w14:paraId="106454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u w:val="none"/>
                      <w:lang w:val="en-US" w:eastAsia="zh-CN"/>
                    </w:rPr>
                  </w:pPr>
                  <w:r>
                    <w:rPr>
                      <w:rFonts w:hint="eastAsia"/>
                      <w:szCs w:val="21"/>
                      <w:u w:val="none"/>
                      <w:lang w:val="en-US" w:eastAsia="zh-CN"/>
                    </w:rPr>
                    <w:t>封闭车间+集气罩收集+袋式</w:t>
                  </w:r>
                  <w:r>
                    <w:rPr>
                      <w:rFonts w:hint="eastAsia"/>
                      <w:szCs w:val="21"/>
                      <w:u w:val="none"/>
                    </w:rPr>
                    <w:t>除尘</w:t>
                  </w:r>
                  <w:r>
                    <w:rPr>
                      <w:rFonts w:hint="eastAsia"/>
                      <w:szCs w:val="21"/>
                      <w:u w:val="none"/>
                      <w:lang w:val="en-US" w:eastAsia="zh-CN"/>
                    </w:rPr>
                    <w:t>器</w:t>
                  </w:r>
                </w:p>
              </w:tc>
            </w:tr>
          </w:tbl>
          <w:p w14:paraId="2D44702D">
            <w:pPr>
              <w:keepNext w:val="0"/>
              <w:keepLines w:val="0"/>
              <w:pageBreakBefore w:val="0"/>
              <w:widowControl w:val="0"/>
              <w:kinsoku/>
              <w:wordWrap w:val="0"/>
              <w:overflowPunct/>
              <w:topLinePunct w:val="0"/>
              <w:autoSpaceDE/>
              <w:autoSpaceDN/>
              <w:bidi w:val="0"/>
              <w:adjustRightInd/>
              <w:snapToGrid/>
              <w:spacing w:line="500" w:lineRule="exact"/>
              <w:ind w:firstLine="482"/>
              <w:textAlignment w:val="auto"/>
              <w:rPr>
                <w:rFonts w:hint="eastAsia"/>
                <w:sz w:val="24"/>
                <w:u w:val="none"/>
                <w:lang w:eastAsia="zh-CN"/>
              </w:rPr>
            </w:pPr>
            <w:r>
              <w:rPr>
                <w:rFonts w:hint="eastAsia"/>
                <w:sz w:val="24"/>
                <w:u w:val="none"/>
              </w:rPr>
              <w:t>项目</w:t>
            </w:r>
            <w:r>
              <w:rPr>
                <w:rFonts w:hint="eastAsia"/>
                <w:sz w:val="24"/>
                <w:u w:val="none"/>
                <w:lang w:val="en-US" w:eastAsia="zh-CN"/>
              </w:rPr>
              <w:t>各个产污环节的颗粒物</w:t>
            </w:r>
            <w:r>
              <w:rPr>
                <w:rFonts w:hint="eastAsia"/>
                <w:sz w:val="24"/>
                <w:u w:val="none"/>
              </w:rPr>
              <w:t>经集气装置收集后</w:t>
            </w:r>
            <w:r>
              <w:rPr>
                <w:rFonts w:hint="eastAsia"/>
                <w:sz w:val="24"/>
                <w:u w:val="none"/>
                <w:lang w:val="en-US" w:eastAsia="zh-CN"/>
              </w:rPr>
              <w:t>通过</w:t>
            </w:r>
            <w:r>
              <w:rPr>
                <w:rFonts w:hint="eastAsia"/>
                <w:sz w:val="24"/>
                <w:u w:val="none"/>
              </w:rPr>
              <w:t>袋式除尘器进行处理，处理满足</w:t>
            </w:r>
            <w:r>
              <w:rPr>
                <w:rFonts w:hint="eastAsia"/>
                <w:color w:val="000000"/>
                <w:sz w:val="24"/>
                <w:u w:val="none"/>
              </w:rPr>
              <w:t>《河南省重污染天气</w:t>
            </w:r>
            <w:r>
              <w:rPr>
                <w:rFonts w:hint="eastAsia"/>
                <w:color w:val="000000"/>
                <w:sz w:val="24"/>
                <w:u w:val="none"/>
                <w:lang w:val="en-US" w:eastAsia="zh-CN"/>
              </w:rPr>
              <w:t>重点</w:t>
            </w:r>
            <w:r>
              <w:rPr>
                <w:rFonts w:hint="eastAsia"/>
                <w:color w:val="000000"/>
                <w:sz w:val="24"/>
                <w:u w:val="none"/>
              </w:rPr>
              <w:t>行业应急减排措施制定技术指南》</w:t>
            </w:r>
            <w:r>
              <w:rPr>
                <w:rFonts w:hint="eastAsia"/>
                <w:sz w:val="24"/>
                <w:szCs w:val="24"/>
                <w:highlight w:val="none"/>
                <w:u w:val="none"/>
                <w:lang w:val="en-US" w:eastAsia="zh-CN"/>
              </w:rPr>
              <w:t>（2024年修订版）</w:t>
            </w:r>
            <w:r>
              <w:rPr>
                <w:rFonts w:hint="eastAsia"/>
                <w:sz w:val="24"/>
                <w:u w:val="none"/>
              </w:rPr>
              <w:t>中排放限值</w:t>
            </w:r>
            <w:r>
              <w:rPr>
                <w:rFonts w:hint="eastAsia"/>
                <w:sz w:val="24"/>
                <w:u w:val="none"/>
                <w:lang w:val="en-US" w:eastAsia="zh-CN"/>
              </w:rPr>
              <w:t>以及</w:t>
            </w:r>
            <w:r>
              <w:rPr>
                <w:rFonts w:hint="eastAsia"/>
                <w:color w:val="000000"/>
                <w:sz w:val="24"/>
                <w:u w:val="none"/>
                <w:lang w:eastAsia="zh-CN"/>
              </w:rPr>
              <w:t>《</w:t>
            </w:r>
            <w:r>
              <w:rPr>
                <w:rFonts w:hint="eastAsia"/>
                <w:sz w:val="24"/>
                <w:szCs w:val="24"/>
                <w:lang w:val="en-US" w:eastAsia="zh-CN"/>
              </w:rPr>
              <w:t>河南省水泥工业大气污染物排放标准</w:t>
            </w:r>
            <w:r>
              <w:rPr>
                <w:rFonts w:hint="eastAsia"/>
                <w:color w:val="000000"/>
                <w:sz w:val="24"/>
                <w:u w:val="none"/>
                <w:lang w:eastAsia="zh-CN"/>
              </w:rPr>
              <w:t>》（</w:t>
            </w:r>
            <w:r>
              <w:rPr>
                <w:rFonts w:hint="eastAsia"/>
                <w:sz w:val="24"/>
                <w:szCs w:val="24"/>
                <w:lang w:val="en-US" w:eastAsia="zh-CN"/>
              </w:rPr>
              <w:t>DB41/1953-2020）</w:t>
            </w:r>
            <w:r>
              <w:rPr>
                <w:rFonts w:hint="eastAsia"/>
                <w:sz w:val="24"/>
                <w:u w:val="none"/>
              </w:rPr>
              <w:t>污染源排放限值后通过15m高排气筒排放，属于</w:t>
            </w:r>
            <w:r>
              <w:rPr>
                <w:rFonts w:hint="eastAsia"/>
                <w:color w:val="000000"/>
                <w:sz w:val="24"/>
                <w:u w:val="none"/>
                <w:lang w:val="en-US" w:eastAsia="zh-CN"/>
              </w:rPr>
              <w:t>《</w:t>
            </w:r>
            <w:r>
              <w:rPr>
                <w:rFonts w:hint="eastAsia"/>
                <w:sz w:val="24"/>
                <w:szCs w:val="24"/>
                <w:lang w:val="en-US" w:eastAsia="zh-CN"/>
              </w:rPr>
              <w:t>排污许可证申请与核发技术规范 水泥工业》</w:t>
            </w:r>
            <w:r>
              <w:rPr>
                <w:color w:val="000000"/>
                <w:sz w:val="24"/>
                <w:u w:val="none"/>
              </w:rPr>
              <w:t>（HJ 1034—</w:t>
            </w:r>
            <w:r>
              <w:rPr>
                <w:color w:val="000000"/>
                <w:sz w:val="24"/>
                <w:highlight w:val="none"/>
                <w:u w:val="none"/>
              </w:rPr>
              <w:t>201</w:t>
            </w:r>
            <w:r>
              <w:rPr>
                <w:rFonts w:hint="eastAsia"/>
                <w:color w:val="000000"/>
                <w:sz w:val="24"/>
                <w:highlight w:val="none"/>
                <w:u w:val="none"/>
                <w:lang w:val="en-US" w:eastAsia="zh-CN"/>
              </w:rPr>
              <w:t>7</w:t>
            </w:r>
            <w:r>
              <w:rPr>
                <w:color w:val="000000"/>
                <w:sz w:val="24"/>
                <w:u w:val="none"/>
              </w:rPr>
              <w:t>）</w:t>
            </w:r>
            <w:r>
              <w:rPr>
                <w:rFonts w:hint="eastAsia"/>
                <w:sz w:val="24"/>
                <w:u w:val="none"/>
              </w:rPr>
              <w:t>附录</w:t>
            </w:r>
            <w:r>
              <w:rPr>
                <w:rFonts w:hint="eastAsia"/>
                <w:sz w:val="24"/>
                <w:u w:val="none"/>
                <w:lang w:val="en-US" w:eastAsia="zh-CN"/>
              </w:rPr>
              <w:t>B，废气有组织排放 水泥（熟料）制造排污单位的</w:t>
            </w:r>
            <w:r>
              <w:rPr>
                <w:rFonts w:hint="eastAsia"/>
                <w:sz w:val="24"/>
                <w:u w:val="none"/>
              </w:rPr>
              <w:t>废气污染防治</w:t>
            </w:r>
            <w:r>
              <w:rPr>
                <w:rFonts w:hint="eastAsia"/>
                <w:sz w:val="24"/>
                <w:u w:val="none"/>
                <w:lang w:val="en-US" w:eastAsia="zh-CN"/>
              </w:rPr>
              <w:t>措施</w:t>
            </w:r>
            <w:r>
              <w:rPr>
                <w:rFonts w:hint="eastAsia"/>
                <w:sz w:val="24"/>
                <w:u w:val="none"/>
              </w:rPr>
              <w:t>可行技术，</w:t>
            </w:r>
            <w:r>
              <w:rPr>
                <w:rFonts w:hint="eastAsia"/>
                <w:sz w:val="24"/>
                <w:u w:val="none"/>
                <w:lang w:val="en-US" w:eastAsia="zh-CN"/>
              </w:rPr>
              <w:t>该项目环保措施</w:t>
            </w:r>
            <w:r>
              <w:rPr>
                <w:rFonts w:hint="eastAsia"/>
                <w:sz w:val="24"/>
                <w:u w:val="none"/>
              </w:rPr>
              <w:t>技术可行</w:t>
            </w:r>
            <w:r>
              <w:rPr>
                <w:rFonts w:hint="eastAsia"/>
                <w:sz w:val="24"/>
                <w:u w:val="none"/>
                <w:lang w:eastAsia="zh-CN"/>
              </w:rPr>
              <w:t>。</w:t>
            </w:r>
          </w:p>
          <w:p w14:paraId="4D2B4AA3">
            <w:pPr>
              <w:keepNext w:val="0"/>
              <w:keepLines w:val="0"/>
              <w:pageBreakBefore w:val="0"/>
              <w:widowControl w:val="0"/>
              <w:kinsoku/>
              <w:wordWrap/>
              <w:overflowPunct/>
              <w:topLinePunct w:val="0"/>
              <w:autoSpaceDE/>
              <w:autoSpaceDN/>
              <w:bidi w:val="0"/>
              <w:spacing w:line="500" w:lineRule="exact"/>
              <w:ind w:firstLine="480"/>
              <w:textAlignment w:val="auto"/>
              <w:rPr>
                <w:rFonts w:hint="eastAsia" w:ascii="Times New Roman" w:hAnsi="Times New Roman" w:eastAsia="宋体" w:cs="Times New Roman"/>
                <w:color w:val="auto"/>
                <w:sz w:val="24"/>
                <w:u w:val="none"/>
                <w:lang w:val="en-US" w:eastAsia="zh-CN"/>
              </w:rPr>
            </w:pPr>
            <w:r>
              <w:rPr>
                <w:rFonts w:hint="eastAsia" w:ascii="Times New Roman" w:hAnsi="Times New Roman" w:eastAsia="宋体" w:cs="Times New Roman"/>
                <w:color w:val="auto"/>
                <w:sz w:val="24"/>
                <w:u w:val="none"/>
                <w:lang w:val="en-US" w:eastAsia="zh-CN"/>
              </w:rPr>
              <w:t>无组织排放可行性分析</w:t>
            </w:r>
            <w:r>
              <w:rPr>
                <w:rFonts w:hint="eastAsia" w:cs="Times New Roman"/>
                <w:color w:val="auto"/>
                <w:sz w:val="24"/>
                <w:u w:val="none"/>
                <w:lang w:val="en-US" w:eastAsia="zh-CN"/>
              </w:rPr>
              <w:t>：</w:t>
            </w:r>
          </w:p>
          <w:p w14:paraId="2FC5E77E">
            <w:pPr>
              <w:keepNext w:val="0"/>
              <w:keepLines w:val="0"/>
              <w:pageBreakBefore w:val="0"/>
              <w:widowControl w:val="0"/>
              <w:kinsoku/>
              <w:wordWrap/>
              <w:overflowPunct/>
              <w:topLinePunct w:val="0"/>
              <w:autoSpaceDE/>
              <w:autoSpaceDN/>
              <w:bidi w:val="0"/>
              <w:spacing w:line="500" w:lineRule="exact"/>
              <w:ind w:firstLine="480"/>
              <w:textAlignment w:val="auto"/>
              <w:rPr>
                <w:rFonts w:hint="eastAsia"/>
                <w:sz w:val="24"/>
                <w:u w:val="none"/>
                <w:lang w:bidi="zh-TW"/>
              </w:rPr>
            </w:pPr>
            <w:r>
              <w:rPr>
                <w:rFonts w:hint="eastAsia"/>
                <w:sz w:val="24"/>
                <w:u w:val="none"/>
                <w:lang w:bidi="zh-TW"/>
              </w:rPr>
              <w:t>根</w:t>
            </w:r>
            <w:r>
              <w:rPr>
                <w:rFonts w:hint="eastAsia"/>
                <w:sz w:val="24"/>
                <w:highlight w:val="none"/>
                <w:u w:val="none"/>
                <w:lang w:bidi="zh-TW"/>
              </w:rPr>
              <w:t>据《河南省</w:t>
            </w:r>
            <w:r>
              <w:rPr>
                <w:sz w:val="24"/>
                <w:highlight w:val="none"/>
                <w:u w:val="none"/>
                <w:lang w:bidi="zh-TW"/>
              </w:rPr>
              <w:t>2019</w:t>
            </w:r>
            <w:r>
              <w:rPr>
                <w:rFonts w:hint="eastAsia"/>
                <w:sz w:val="24"/>
                <w:highlight w:val="none"/>
                <w:u w:val="none"/>
                <w:lang w:bidi="zh-TW"/>
              </w:rPr>
              <w:t>年工业企业无组织排放治理方案》</w:t>
            </w:r>
            <w:r>
              <w:rPr>
                <w:rFonts w:hint="eastAsia"/>
                <w:sz w:val="24"/>
                <w:u w:val="none"/>
                <w:lang w:bidi="zh-TW"/>
              </w:rPr>
              <w:t xml:space="preserve">（豫环文 </w:t>
            </w:r>
            <w:r>
              <w:rPr>
                <w:sz w:val="24"/>
                <w:u w:val="none"/>
                <w:lang w:bidi="zh-TW"/>
              </w:rPr>
              <w:t xml:space="preserve">[2019]84 </w:t>
            </w:r>
            <w:r>
              <w:rPr>
                <w:rFonts w:hint="eastAsia"/>
                <w:sz w:val="24"/>
                <w:u w:val="none"/>
                <w:lang w:bidi="zh-TW"/>
              </w:rPr>
              <w:t>号）无组织排放治理方案要求，所有物料（包括原辅料、成品）进库存放，厂界内无露天堆放物料</w:t>
            </w:r>
            <w:r>
              <w:rPr>
                <w:rFonts w:hint="eastAsia"/>
                <w:sz w:val="24"/>
                <w:u w:val="none"/>
                <w:lang w:eastAsia="zh-CN" w:bidi="zh-TW"/>
              </w:rPr>
              <w:t>，</w:t>
            </w:r>
            <w:r>
              <w:rPr>
                <w:rFonts w:hint="eastAsia"/>
                <w:sz w:val="24"/>
                <w:u w:val="none"/>
                <w:lang w:bidi="zh-TW"/>
              </w:rPr>
              <w:t>料场安装喷雾抑尘设施</w:t>
            </w:r>
            <w:r>
              <w:rPr>
                <w:rFonts w:hint="eastAsia"/>
                <w:sz w:val="24"/>
                <w:u w:val="none"/>
                <w:lang w:eastAsia="zh-CN" w:bidi="zh-TW"/>
              </w:rPr>
              <w:t>，</w:t>
            </w:r>
            <w:r>
              <w:rPr>
                <w:rFonts w:hint="eastAsia"/>
                <w:sz w:val="24"/>
                <w:u w:val="none"/>
                <w:lang w:bidi="zh-TW"/>
              </w:rPr>
              <w:t>密闭料场必须覆盖所有堆场料区（堆放区、工作区和主通道区）</w:t>
            </w:r>
            <w:r>
              <w:rPr>
                <w:rFonts w:hint="eastAsia"/>
                <w:sz w:val="24"/>
                <w:u w:val="none"/>
                <w:lang w:eastAsia="zh-CN" w:bidi="zh-TW"/>
              </w:rPr>
              <w:t>，</w:t>
            </w:r>
            <w:r>
              <w:rPr>
                <w:rFonts w:hint="eastAsia"/>
                <w:sz w:val="24"/>
                <w:u w:val="none"/>
                <w:lang w:bidi="zh-TW"/>
              </w:rPr>
              <w:t>车间、料库四面密闭，通道口安装卷帘门、推拉门等封闭性良好且便于开关的硬质门，在无车辆出入时将门关闭，保证空气合理流动不产生湍流</w:t>
            </w:r>
            <w:r>
              <w:rPr>
                <w:rFonts w:hint="eastAsia"/>
                <w:sz w:val="24"/>
                <w:u w:val="none"/>
                <w:lang w:eastAsia="zh-CN" w:bidi="zh-TW"/>
              </w:rPr>
              <w:t>，</w:t>
            </w:r>
            <w:r>
              <w:rPr>
                <w:rFonts w:hint="eastAsia"/>
                <w:sz w:val="24"/>
                <w:u w:val="none"/>
                <w:lang w:bidi="zh-TW"/>
              </w:rPr>
              <w:t>所有地面完成硬化，并保证除物料堆放区域外没有明显积尘</w:t>
            </w:r>
            <w:r>
              <w:rPr>
                <w:rFonts w:hint="eastAsia"/>
                <w:sz w:val="24"/>
                <w:u w:val="none"/>
                <w:lang w:eastAsia="zh-CN" w:bidi="zh-TW"/>
              </w:rPr>
              <w:t>，</w:t>
            </w:r>
            <w:r>
              <w:rPr>
                <w:rFonts w:hint="eastAsia"/>
                <w:sz w:val="24"/>
                <w:u w:val="none"/>
                <w:lang w:bidi="zh-TW"/>
              </w:rPr>
              <w:t>厂房车间各生产工序须功能区化</w:t>
            </w:r>
            <w:r>
              <w:rPr>
                <w:rFonts w:hint="eastAsia"/>
                <w:sz w:val="24"/>
                <w:u w:val="none"/>
                <w:lang w:val="en-US" w:eastAsia="zh-CN" w:bidi="zh-TW"/>
              </w:rPr>
              <w:t>可行</w:t>
            </w:r>
            <w:r>
              <w:rPr>
                <w:rFonts w:hint="eastAsia"/>
                <w:sz w:val="24"/>
                <w:u w:val="none"/>
                <w:lang w:bidi="zh-TW"/>
              </w:rPr>
              <w:t>。</w:t>
            </w:r>
          </w:p>
          <w:p w14:paraId="28393897">
            <w:pPr>
              <w:keepNext w:val="0"/>
              <w:keepLines w:val="0"/>
              <w:pageBreakBefore w:val="0"/>
              <w:widowControl w:val="0"/>
              <w:kinsoku/>
              <w:wordWrap/>
              <w:overflowPunct/>
              <w:topLinePunct w:val="0"/>
              <w:autoSpaceDE/>
              <w:autoSpaceDN/>
              <w:bidi w:val="0"/>
              <w:adjustRightInd/>
              <w:snapToGrid/>
              <w:spacing w:line="500" w:lineRule="exact"/>
              <w:ind w:firstLine="464" w:firstLineChars="200"/>
              <w:textAlignment w:val="auto"/>
              <w:rPr>
                <w:b w:val="0"/>
                <w:bCs/>
                <w:color w:val="000000"/>
                <w:spacing w:val="-4"/>
                <w:sz w:val="24"/>
              </w:rPr>
            </w:pPr>
            <w:r>
              <w:rPr>
                <w:b w:val="0"/>
                <w:bCs/>
                <w:color w:val="000000"/>
                <w:spacing w:val="-4"/>
                <w:sz w:val="24"/>
              </w:rPr>
              <w:t>1.</w:t>
            </w:r>
            <w:r>
              <w:rPr>
                <w:rFonts w:hint="eastAsia"/>
                <w:b w:val="0"/>
                <w:bCs/>
                <w:color w:val="000000"/>
                <w:spacing w:val="-4"/>
                <w:sz w:val="24"/>
                <w:lang w:val="en-US" w:eastAsia="zh-CN"/>
              </w:rPr>
              <w:t>5</w:t>
            </w:r>
            <w:r>
              <w:rPr>
                <w:rFonts w:hint="eastAsia"/>
                <w:b w:val="0"/>
                <w:bCs/>
                <w:color w:val="000000"/>
                <w:spacing w:val="-4"/>
                <w:sz w:val="24"/>
              </w:rPr>
              <w:t>废气排放口基本情况</w:t>
            </w:r>
          </w:p>
          <w:p w14:paraId="50B53E33">
            <w:pPr>
              <w:keepNext w:val="0"/>
              <w:keepLines w:val="0"/>
              <w:pageBreakBefore w:val="0"/>
              <w:widowControl w:val="0"/>
              <w:kinsoku/>
              <w:wordWrap/>
              <w:overflowPunct/>
              <w:topLinePunct w:val="0"/>
              <w:autoSpaceDE/>
              <w:autoSpaceDN/>
              <w:bidi w:val="0"/>
              <w:adjustRightInd w:val="0"/>
              <w:snapToGrid w:val="0"/>
              <w:spacing w:line="500" w:lineRule="exact"/>
              <w:ind w:firstLine="504" w:firstLineChars="200"/>
              <w:jc w:val="left"/>
              <w:textAlignment w:val="auto"/>
              <w:rPr>
                <w:color w:val="000000"/>
                <w:spacing w:val="6"/>
                <w:sz w:val="24"/>
              </w:rPr>
            </w:pPr>
            <w:r>
              <w:rPr>
                <w:color w:val="000000"/>
                <w:spacing w:val="6"/>
                <w:sz w:val="24"/>
              </w:rPr>
              <w:t>项目废气排放口设置情况见下表。</w:t>
            </w:r>
          </w:p>
          <w:p w14:paraId="6A7DDC79">
            <w:pPr>
              <w:pStyle w:val="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eastAsia" w:ascii="Times New Roman" w:hAnsi="Times New Roman" w:eastAsia="黑体" w:cs="Times New Roman"/>
                <w:b w:val="0"/>
                <w:bCs w:val="0"/>
                <w:sz w:val="24"/>
                <w:szCs w:val="24"/>
                <w:lang w:val="en-US" w:eastAsia="zh-CN"/>
              </w:rPr>
            </w:pPr>
            <w:r>
              <w:rPr>
                <w:rFonts w:hint="eastAsia" w:ascii="Times New Roman" w:hAnsi="Times New Roman" w:eastAsia="黑体" w:cs="Times New Roman"/>
                <w:b w:val="0"/>
                <w:bCs w:val="0"/>
                <w:sz w:val="24"/>
                <w:szCs w:val="24"/>
                <w:lang w:val="en-US" w:eastAsia="zh-CN"/>
              </w:rPr>
              <w:t>表4-</w:t>
            </w:r>
            <w:r>
              <w:rPr>
                <w:rFonts w:hint="eastAsia" w:eastAsia="黑体" w:cs="Times New Roman"/>
                <w:b w:val="0"/>
                <w:bCs w:val="0"/>
                <w:sz w:val="24"/>
                <w:szCs w:val="24"/>
                <w:lang w:val="en-US" w:eastAsia="zh-CN"/>
              </w:rPr>
              <w:t xml:space="preserve">10 </w:t>
            </w:r>
            <w:r>
              <w:rPr>
                <w:rFonts w:hint="eastAsia" w:ascii="Times New Roman" w:hAnsi="Times New Roman" w:eastAsia="黑体" w:cs="Times New Roman"/>
                <w:b w:val="0"/>
                <w:bCs w:val="0"/>
                <w:sz w:val="24"/>
                <w:szCs w:val="24"/>
                <w:lang w:val="en-US" w:eastAsia="zh-CN"/>
              </w:rPr>
              <w:t>排放口基本情况表</w:t>
            </w:r>
          </w:p>
          <w:tbl>
            <w:tblPr>
              <w:tblStyle w:val="23"/>
              <w:tblW w:w="79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3"/>
              <w:gridCol w:w="1056"/>
              <w:gridCol w:w="843"/>
              <w:gridCol w:w="996"/>
              <w:gridCol w:w="940"/>
              <w:gridCol w:w="742"/>
              <w:gridCol w:w="894"/>
              <w:gridCol w:w="692"/>
              <w:gridCol w:w="893"/>
            </w:tblGrid>
            <w:tr w14:paraId="16B7B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578" w:type="pct"/>
                  <w:vMerge w:val="restart"/>
                  <w:tcBorders>
                    <w:tl2br w:val="nil"/>
                    <w:tr2bl w:val="nil"/>
                  </w:tcBorders>
                  <w:noWrap w:val="0"/>
                  <w:vAlign w:val="center"/>
                </w:tcPr>
                <w:p w14:paraId="77197178">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排放口编号</w:t>
                  </w:r>
                </w:p>
              </w:tc>
              <w:tc>
                <w:tcPr>
                  <w:tcW w:w="661" w:type="pct"/>
                  <w:vMerge w:val="restart"/>
                  <w:tcBorders>
                    <w:tl2br w:val="nil"/>
                    <w:tr2bl w:val="nil"/>
                  </w:tcBorders>
                  <w:noWrap w:val="0"/>
                  <w:vAlign w:val="center"/>
                </w:tcPr>
                <w:p w14:paraId="1E646AAF">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名称</w:t>
                  </w:r>
                </w:p>
              </w:tc>
              <w:tc>
                <w:tcPr>
                  <w:tcW w:w="528" w:type="pct"/>
                  <w:vMerge w:val="restart"/>
                  <w:tcBorders>
                    <w:tl2br w:val="nil"/>
                    <w:tr2bl w:val="nil"/>
                  </w:tcBorders>
                  <w:noWrap w:val="0"/>
                  <w:vAlign w:val="center"/>
                </w:tcPr>
                <w:p w14:paraId="6AD2E24D">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污染物</w:t>
                  </w:r>
                </w:p>
              </w:tc>
              <w:tc>
                <w:tcPr>
                  <w:tcW w:w="1213" w:type="pct"/>
                  <w:gridSpan w:val="2"/>
                  <w:tcBorders>
                    <w:tl2br w:val="nil"/>
                    <w:tr2bl w:val="nil"/>
                  </w:tcBorders>
                  <w:noWrap w:val="0"/>
                  <w:vAlign w:val="center"/>
                </w:tcPr>
                <w:p w14:paraId="00AA70D3">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坐标</w:t>
                  </w:r>
                </w:p>
              </w:tc>
              <w:tc>
                <w:tcPr>
                  <w:tcW w:w="464" w:type="pct"/>
                  <w:vMerge w:val="restart"/>
                  <w:tcBorders>
                    <w:tl2br w:val="nil"/>
                    <w:tr2bl w:val="nil"/>
                  </w:tcBorders>
                  <w:noWrap w:val="0"/>
                  <w:vAlign w:val="center"/>
                </w:tcPr>
                <w:p w14:paraId="3EFBEF3C">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排气筒高度/m</w:t>
                  </w:r>
                </w:p>
              </w:tc>
              <w:tc>
                <w:tcPr>
                  <w:tcW w:w="560" w:type="pct"/>
                  <w:vMerge w:val="restart"/>
                  <w:tcBorders>
                    <w:tl2br w:val="nil"/>
                    <w:tr2bl w:val="nil"/>
                  </w:tcBorders>
                  <w:noWrap w:val="0"/>
                  <w:vAlign w:val="center"/>
                </w:tcPr>
                <w:p w14:paraId="5E6BE1ED">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排气筒出口内径/m</w:t>
                  </w:r>
                </w:p>
              </w:tc>
              <w:tc>
                <w:tcPr>
                  <w:tcW w:w="433" w:type="pct"/>
                  <w:vMerge w:val="restart"/>
                  <w:tcBorders>
                    <w:tl2br w:val="nil"/>
                    <w:tr2bl w:val="nil"/>
                  </w:tcBorders>
                  <w:noWrap w:val="0"/>
                  <w:vAlign w:val="center"/>
                </w:tcPr>
                <w:p w14:paraId="0A966F8B">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烟气温度/℃</w:t>
                  </w:r>
                </w:p>
              </w:tc>
              <w:tc>
                <w:tcPr>
                  <w:tcW w:w="559" w:type="pct"/>
                  <w:vMerge w:val="restart"/>
                  <w:tcBorders>
                    <w:tl2br w:val="nil"/>
                    <w:tr2bl w:val="nil"/>
                  </w:tcBorders>
                  <w:noWrap w:val="0"/>
                  <w:vAlign w:val="center"/>
                </w:tcPr>
                <w:p w14:paraId="242FFF13">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类型</w:t>
                  </w:r>
                </w:p>
              </w:tc>
            </w:tr>
            <w:tr w14:paraId="74CB4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578" w:type="pct"/>
                  <w:vMerge w:val="continue"/>
                  <w:tcBorders>
                    <w:tl2br w:val="nil"/>
                    <w:tr2bl w:val="nil"/>
                  </w:tcBorders>
                  <w:noWrap w:val="0"/>
                  <w:vAlign w:val="center"/>
                </w:tcPr>
                <w:p w14:paraId="68E4C774">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p>
              </w:tc>
              <w:tc>
                <w:tcPr>
                  <w:tcW w:w="661" w:type="pct"/>
                  <w:vMerge w:val="continue"/>
                  <w:tcBorders>
                    <w:tl2br w:val="nil"/>
                    <w:tr2bl w:val="nil"/>
                  </w:tcBorders>
                  <w:noWrap w:val="0"/>
                  <w:vAlign w:val="center"/>
                </w:tcPr>
                <w:p w14:paraId="6EF8A575">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p>
              </w:tc>
              <w:tc>
                <w:tcPr>
                  <w:tcW w:w="528" w:type="pct"/>
                  <w:vMerge w:val="continue"/>
                  <w:tcBorders>
                    <w:tl2br w:val="nil"/>
                    <w:tr2bl w:val="nil"/>
                  </w:tcBorders>
                  <w:noWrap w:val="0"/>
                  <w:vAlign w:val="center"/>
                </w:tcPr>
                <w:p w14:paraId="4F05C2F8">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p>
              </w:tc>
              <w:tc>
                <w:tcPr>
                  <w:tcW w:w="624" w:type="pct"/>
                  <w:tcBorders>
                    <w:tl2br w:val="nil"/>
                    <w:tr2bl w:val="nil"/>
                  </w:tcBorders>
                  <w:noWrap w:val="0"/>
                  <w:vAlign w:val="center"/>
                </w:tcPr>
                <w:p w14:paraId="44E597BF">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经度</w:t>
                  </w:r>
                </w:p>
              </w:tc>
              <w:tc>
                <w:tcPr>
                  <w:tcW w:w="589" w:type="pct"/>
                  <w:tcBorders>
                    <w:tl2br w:val="nil"/>
                    <w:tr2bl w:val="nil"/>
                  </w:tcBorders>
                  <w:noWrap w:val="0"/>
                  <w:vAlign w:val="center"/>
                </w:tcPr>
                <w:p w14:paraId="12D755F7">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纬度</w:t>
                  </w:r>
                </w:p>
              </w:tc>
              <w:tc>
                <w:tcPr>
                  <w:tcW w:w="464" w:type="pct"/>
                  <w:vMerge w:val="continue"/>
                  <w:tcBorders>
                    <w:tl2br w:val="nil"/>
                    <w:tr2bl w:val="nil"/>
                  </w:tcBorders>
                  <w:noWrap w:val="0"/>
                  <w:vAlign w:val="center"/>
                </w:tcPr>
                <w:p w14:paraId="0B5FA9E3">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p>
              </w:tc>
              <w:tc>
                <w:tcPr>
                  <w:tcW w:w="560" w:type="pct"/>
                  <w:vMerge w:val="continue"/>
                  <w:tcBorders>
                    <w:tl2br w:val="nil"/>
                    <w:tr2bl w:val="nil"/>
                  </w:tcBorders>
                  <w:noWrap w:val="0"/>
                  <w:vAlign w:val="center"/>
                </w:tcPr>
                <w:p w14:paraId="0D0D1E89">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p>
              </w:tc>
              <w:tc>
                <w:tcPr>
                  <w:tcW w:w="433" w:type="pct"/>
                  <w:vMerge w:val="continue"/>
                  <w:tcBorders>
                    <w:tl2br w:val="nil"/>
                    <w:tr2bl w:val="nil"/>
                  </w:tcBorders>
                  <w:noWrap w:val="0"/>
                  <w:vAlign w:val="center"/>
                </w:tcPr>
                <w:p w14:paraId="57A9C4C8">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p>
              </w:tc>
              <w:tc>
                <w:tcPr>
                  <w:tcW w:w="559" w:type="pct"/>
                  <w:vMerge w:val="continue"/>
                  <w:tcBorders>
                    <w:tl2br w:val="nil"/>
                    <w:tr2bl w:val="nil"/>
                  </w:tcBorders>
                  <w:noWrap w:val="0"/>
                  <w:vAlign w:val="center"/>
                </w:tcPr>
                <w:p w14:paraId="49420420">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p>
              </w:tc>
            </w:tr>
            <w:tr w14:paraId="186A7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trPr>
              <w:tc>
                <w:tcPr>
                  <w:tcW w:w="578" w:type="pct"/>
                  <w:tcBorders>
                    <w:tl2br w:val="nil"/>
                    <w:tr2bl w:val="nil"/>
                  </w:tcBorders>
                  <w:noWrap w:val="0"/>
                  <w:vAlign w:val="center"/>
                </w:tcPr>
                <w:p w14:paraId="1F4CA62D">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DA</w:t>
                  </w:r>
                </w:p>
                <w:p w14:paraId="32654E8F">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00</w:t>
                  </w:r>
                  <w:r>
                    <w:rPr>
                      <w:rFonts w:hint="eastAsia" w:ascii="Times New Roman" w:hAnsi="Times New Roman" w:cs="Times New Roman"/>
                      <w:sz w:val="21"/>
                      <w:szCs w:val="21"/>
                      <w:lang w:val="en-US" w:eastAsia="zh-CN"/>
                    </w:rPr>
                    <w:t>1</w:t>
                  </w:r>
                </w:p>
              </w:tc>
              <w:tc>
                <w:tcPr>
                  <w:tcW w:w="661" w:type="pct"/>
                  <w:tcBorders>
                    <w:tl2br w:val="nil"/>
                    <w:tr2bl w:val="nil"/>
                  </w:tcBorders>
                  <w:noWrap w:val="0"/>
                  <w:vAlign w:val="center"/>
                </w:tcPr>
                <w:p w14:paraId="7BE809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default" w:cs="Times New Roman"/>
                      <w:sz w:val="21"/>
                      <w:szCs w:val="21"/>
                      <w:lang w:val="en-US" w:eastAsia="zh-CN"/>
                    </w:rPr>
                  </w:pPr>
                  <w:r>
                    <w:rPr>
                      <w:rFonts w:hint="eastAsia" w:cs="Times New Roman"/>
                      <w:sz w:val="21"/>
                      <w:szCs w:val="21"/>
                      <w:lang w:val="en-US" w:eastAsia="zh-CN"/>
                    </w:rPr>
                    <w:t>砂石生产线排气筒</w:t>
                  </w:r>
                </w:p>
              </w:tc>
              <w:tc>
                <w:tcPr>
                  <w:tcW w:w="528" w:type="pct"/>
                  <w:tcBorders>
                    <w:tl2br w:val="nil"/>
                    <w:tr2bl w:val="nil"/>
                  </w:tcBorders>
                  <w:noWrap w:val="0"/>
                  <w:vAlign w:val="center"/>
                </w:tcPr>
                <w:p w14:paraId="6E5B63FD">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cs="Times New Roman"/>
                      <w:sz w:val="21"/>
                      <w:szCs w:val="21"/>
                      <w:highlight w:val="none"/>
                      <w:lang w:val="en-US" w:eastAsia="zh-CN"/>
                    </w:rPr>
                  </w:pPr>
                  <w:r>
                    <w:rPr>
                      <w:rFonts w:hint="eastAsia" w:cs="Times New Roman"/>
                      <w:sz w:val="21"/>
                      <w:szCs w:val="21"/>
                      <w:highlight w:val="none"/>
                      <w:lang w:val="en-US" w:eastAsia="zh-CN"/>
                    </w:rPr>
                    <w:t>颗粒物</w:t>
                  </w:r>
                </w:p>
              </w:tc>
              <w:tc>
                <w:tcPr>
                  <w:tcW w:w="624" w:type="pct"/>
                  <w:tcBorders>
                    <w:tl2br w:val="nil"/>
                    <w:tr2bl w:val="nil"/>
                  </w:tcBorders>
                  <w:noWrap w:val="0"/>
                  <w:vAlign w:val="center"/>
                </w:tcPr>
                <w:p w14:paraId="09C72610">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cs="Times New Roman"/>
                      <w:sz w:val="21"/>
                      <w:szCs w:val="21"/>
                      <w:highlight w:val="none"/>
                      <w:lang w:val="en-US" w:eastAsia="zh-CN"/>
                    </w:rPr>
                  </w:pPr>
                  <w:r>
                    <w:rPr>
                      <w:rFonts w:hint="eastAsia" w:cs="Times New Roman"/>
                      <w:sz w:val="21"/>
                      <w:szCs w:val="21"/>
                      <w:highlight w:val="none"/>
                      <w:lang w:val="en-US" w:eastAsia="zh-CN"/>
                    </w:rPr>
                    <w:t>113.4873355</w:t>
                  </w:r>
                </w:p>
              </w:tc>
              <w:tc>
                <w:tcPr>
                  <w:tcW w:w="589" w:type="pct"/>
                  <w:tcBorders>
                    <w:tl2br w:val="nil"/>
                    <w:tr2bl w:val="nil"/>
                  </w:tcBorders>
                  <w:noWrap w:val="0"/>
                  <w:vAlign w:val="center"/>
                </w:tcPr>
                <w:p w14:paraId="451B4AAE">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cs="Times New Roman"/>
                      <w:sz w:val="21"/>
                      <w:szCs w:val="21"/>
                      <w:highlight w:val="none"/>
                      <w:lang w:val="en-US" w:eastAsia="zh-CN"/>
                    </w:rPr>
                  </w:pPr>
                  <w:r>
                    <w:rPr>
                      <w:rFonts w:hint="eastAsia" w:cs="Times New Roman"/>
                      <w:sz w:val="21"/>
                      <w:szCs w:val="21"/>
                      <w:highlight w:val="none"/>
                      <w:lang w:val="en-US" w:eastAsia="zh-CN"/>
                    </w:rPr>
                    <w:t>33.6136767</w:t>
                  </w:r>
                </w:p>
              </w:tc>
              <w:tc>
                <w:tcPr>
                  <w:tcW w:w="464" w:type="pct"/>
                  <w:tcBorders>
                    <w:tl2br w:val="nil"/>
                    <w:tr2bl w:val="nil"/>
                  </w:tcBorders>
                  <w:noWrap w:val="0"/>
                  <w:vAlign w:val="center"/>
                </w:tcPr>
                <w:p w14:paraId="285666A4">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15</w:t>
                  </w:r>
                </w:p>
              </w:tc>
              <w:tc>
                <w:tcPr>
                  <w:tcW w:w="560" w:type="pct"/>
                  <w:tcBorders>
                    <w:tl2br w:val="nil"/>
                    <w:tr2bl w:val="nil"/>
                  </w:tcBorders>
                  <w:noWrap w:val="0"/>
                  <w:vAlign w:val="center"/>
                </w:tcPr>
                <w:p w14:paraId="61BB37A0">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r>
                    <w:rPr>
                      <w:rFonts w:hint="eastAsia" w:cs="Times New Roman"/>
                      <w:sz w:val="21"/>
                      <w:szCs w:val="21"/>
                      <w:lang w:val="en-US" w:eastAsia="zh-CN"/>
                    </w:rPr>
                    <w:t>5</w:t>
                  </w:r>
                </w:p>
              </w:tc>
              <w:tc>
                <w:tcPr>
                  <w:tcW w:w="433" w:type="pct"/>
                  <w:tcBorders>
                    <w:tl2br w:val="nil"/>
                    <w:tr2bl w:val="nil"/>
                  </w:tcBorders>
                  <w:noWrap w:val="0"/>
                  <w:vAlign w:val="center"/>
                </w:tcPr>
                <w:p w14:paraId="7C45C73B">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eastAsia" w:cs="Times New Roman"/>
                      <w:sz w:val="21"/>
                      <w:szCs w:val="21"/>
                      <w:lang w:val="en-US" w:eastAsia="zh-CN"/>
                    </w:rPr>
                  </w:pPr>
                  <w:r>
                    <w:rPr>
                      <w:rFonts w:hint="eastAsia" w:cs="Times New Roman"/>
                      <w:sz w:val="21"/>
                      <w:szCs w:val="21"/>
                      <w:lang w:val="en-US" w:eastAsia="zh-CN"/>
                    </w:rPr>
                    <w:t>常温</w:t>
                  </w:r>
                </w:p>
              </w:tc>
              <w:tc>
                <w:tcPr>
                  <w:tcW w:w="559" w:type="pct"/>
                  <w:tcBorders>
                    <w:tl2br w:val="nil"/>
                    <w:tr2bl w:val="nil"/>
                  </w:tcBorders>
                  <w:noWrap w:val="0"/>
                  <w:vAlign w:val="center"/>
                </w:tcPr>
                <w:p w14:paraId="1541D5F0">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default" w:cs="Times New Roman"/>
                      <w:sz w:val="21"/>
                      <w:szCs w:val="21"/>
                      <w:lang w:val="en-US" w:eastAsia="zh-CN"/>
                    </w:rPr>
                  </w:pPr>
                  <w:r>
                    <w:rPr>
                      <w:rFonts w:hint="eastAsia" w:cs="Times New Roman"/>
                      <w:sz w:val="21"/>
                      <w:szCs w:val="21"/>
                      <w:lang w:val="en-US" w:eastAsia="zh-CN"/>
                    </w:rPr>
                    <w:t>一般排放口</w:t>
                  </w:r>
                </w:p>
              </w:tc>
            </w:tr>
            <w:tr w14:paraId="039E7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8" w:type="pct"/>
                  <w:tcBorders>
                    <w:tl2br w:val="nil"/>
                    <w:tr2bl w:val="nil"/>
                  </w:tcBorders>
                  <w:noWrap w:val="0"/>
                  <w:vAlign w:val="center"/>
                </w:tcPr>
                <w:p w14:paraId="22E185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DA</w:t>
                  </w:r>
                </w:p>
                <w:p w14:paraId="0EE07F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w:t>
                  </w:r>
                  <w:r>
                    <w:rPr>
                      <w:rFonts w:hint="eastAsia" w:ascii="Times New Roman" w:hAnsi="Times New Roman" w:cs="Times New Roman"/>
                      <w:sz w:val="21"/>
                      <w:szCs w:val="21"/>
                      <w:lang w:val="en-US" w:eastAsia="zh-CN"/>
                    </w:rPr>
                    <w:t>2</w:t>
                  </w:r>
                </w:p>
              </w:tc>
              <w:tc>
                <w:tcPr>
                  <w:tcW w:w="661" w:type="pct"/>
                  <w:tcBorders>
                    <w:tl2br w:val="nil"/>
                    <w:tr2bl w:val="nil"/>
                  </w:tcBorders>
                  <w:noWrap w:val="0"/>
                  <w:vAlign w:val="center"/>
                </w:tcPr>
                <w:p w14:paraId="601D65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default" w:cs="Times New Roman"/>
                      <w:sz w:val="21"/>
                      <w:szCs w:val="21"/>
                      <w:lang w:val="en-US" w:eastAsia="zh-CN"/>
                    </w:rPr>
                  </w:pPr>
                  <w:r>
                    <w:rPr>
                      <w:rFonts w:hint="eastAsia" w:cs="Times New Roman"/>
                      <w:sz w:val="21"/>
                      <w:szCs w:val="21"/>
                      <w:lang w:val="en-US" w:eastAsia="zh-CN"/>
                    </w:rPr>
                    <w:t>水泥稳定土生产线排气筒</w:t>
                  </w:r>
                </w:p>
              </w:tc>
              <w:tc>
                <w:tcPr>
                  <w:tcW w:w="528" w:type="pct"/>
                  <w:tcBorders>
                    <w:tl2br w:val="nil"/>
                    <w:tr2bl w:val="nil"/>
                  </w:tcBorders>
                  <w:noWrap w:val="0"/>
                  <w:vAlign w:val="center"/>
                </w:tcPr>
                <w:p w14:paraId="472130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颗粒物</w:t>
                  </w:r>
                </w:p>
              </w:tc>
              <w:tc>
                <w:tcPr>
                  <w:tcW w:w="624" w:type="pct"/>
                  <w:tcBorders>
                    <w:tl2br w:val="nil"/>
                    <w:tr2bl w:val="nil"/>
                  </w:tcBorders>
                  <w:noWrap w:val="0"/>
                  <w:vAlign w:val="center"/>
                </w:tcPr>
                <w:p w14:paraId="27D8EB10">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cs="Times New Roman"/>
                      <w:sz w:val="21"/>
                      <w:szCs w:val="21"/>
                      <w:highlight w:val="none"/>
                      <w:lang w:val="en-US" w:eastAsia="zh-CN"/>
                    </w:rPr>
                  </w:pPr>
                  <w:r>
                    <w:rPr>
                      <w:rFonts w:hint="eastAsia" w:cs="Times New Roman"/>
                      <w:sz w:val="21"/>
                      <w:szCs w:val="21"/>
                      <w:highlight w:val="none"/>
                      <w:lang w:val="en-US" w:eastAsia="zh-CN"/>
                    </w:rPr>
                    <w:t>113.4873462</w:t>
                  </w:r>
                </w:p>
              </w:tc>
              <w:tc>
                <w:tcPr>
                  <w:tcW w:w="589" w:type="pct"/>
                  <w:tcBorders>
                    <w:tl2br w:val="nil"/>
                    <w:tr2bl w:val="nil"/>
                  </w:tcBorders>
                  <w:noWrap w:val="0"/>
                  <w:vAlign w:val="center"/>
                </w:tcPr>
                <w:p w14:paraId="72D71E3C">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cs="Times New Roman"/>
                      <w:sz w:val="21"/>
                      <w:szCs w:val="21"/>
                      <w:highlight w:val="none"/>
                      <w:lang w:val="en-US" w:eastAsia="zh-CN"/>
                    </w:rPr>
                  </w:pPr>
                  <w:r>
                    <w:rPr>
                      <w:rFonts w:hint="eastAsia" w:cs="Times New Roman"/>
                      <w:sz w:val="21"/>
                      <w:szCs w:val="21"/>
                      <w:highlight w:val="none"/>
                      <w:lang w:val="en-US" w:eastAsia="zh-CN"/>
                    </w:rPr>
                    <w:t>33.6134835</w:t>
                  </w:r>
                </w:p>
              </w:tc>
              <w:tc>
                <w:tcPr>
                  <w:tcW w:w="464" w:type="pct"/>
                  <w:tcBorders>
                    <w:tl2br w:val="nil"/>
                    <w:tr2bl w:val="nil"/>
                  </w:tcBorders>
                  <w:noWrap w:val="0"/>
                  <w:vAlign w:val="center"/>
                </w:tcPr>
                <w:p w14:paraId="5BD9E32A">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15</w:t>
                  </w:r>
                </w:p>
              </w:tc>
              <w:tc>
                <w:tcPr>
                  <w:tcW w:w="560" w:type="pct"/>
                  <w:tcBorders>
                    <w:tl2br w:val="nil"/>
                    <w:tr2bl w:val="nil"/>
                  </w:tcBorders>
                  <w:noWrap w:val="0"/>
                  <w:vAlign w:val="center"/>
                </w:tcPr>
                <w:p w14:paraId="0D337ACE">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r>
                    <w:rPr>
                      <w:rFonts w:hint="eastAsia" w:cs="Times New Roman"/>
                      <w:sz w:val="21"/>
                      <w:szCs w:val="21"/>
                      <w:lang w:val="en-US" w:eastAsia="zh-CN"/>
                    </w:rPr>
                    <w:t>5</w:t>
                  </w:r>
                </w:p>
              </w:tc>
              <w:tc>
                <w:tcPr>
                  <w:tcW w:w="433" w:type="pct"/>
                  <w:tcBorders>
                    <w:tl2br w:val="nil"/>
                    <w:tr2bl w:val="nil"/>
                  </w:tcBorders>
                  <w:noWrap w:val="0"/>
                  <w:vAlign w:val="center"/>
                </w:tcPr>
                <w:p w14:paraId="699BE0DE">
                  <w:pPr>
                    <w:pStyle w:val="6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cs="Times New Roman"/>
                      <w:sz w:val="21"/>
                      <w:szCs w:val="21"/>
                      <w:lang w:val="en-US" w:eastAsia="zh-CN"/>
                    </w:rPr>
                  </w:pPr>
                  <w:r>
                    <w:rPr>
                      <w:rFonts w:hint="eastAsia" w:cs="Times New Roman"/>
                      <w:sz w:val="21"/>
                      <w:szCs w:val="21"/>
                      <w:lang w:val="en-US" w:eastAsia="zh-CN"/>
                    </w:rPr>
                    <w:t>常温</w:t>
                  </w:r>
                </w:p>
              </w:tc>
              <w:tc>
                <w:tcPr>
                  <w:tcW w:w="559" w:type="pct"/>
                  <w:tcBorders>
                    <w:tl2br w:val="nil"/>
                    <w:tr2bl w:val="nil"/>
                  </w:tcBorders>
                  <w:noWrap w:val="0"/>
                  <w:vAlign w:val="center"/>
                </w:tcPr>
                <w:p w14:paraId="33FC0B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eastAsia" w:cs="Times New Roman"/>
                      <w:sz w:val="21"/>
                      <w:szCs w:val="21"/>
                      <w:lang w:val="en-US" w:eastAsia="zh-CN"/>
                    </w:rPr>
                  </w:pPr>
                  <w:r>
                    <w:rPr>
                      <w:rFonts w:hint="eastAsia" w:cs="Times New Roman"/>
                      <w:sz w:val="21"/>
                      <w:szCs w:val="21"/>
                      <w:lang w:val="en-US" w:eastAsia="zh-CN"/>
                    </w:rPr>
                    <w:t>一般排放口</w:t>
                  </w:r>
                </w:p>
              </w:tc>
            </w:tr>
          </w:tbl>
          <w:p w14:paraId="09946315">
            <w:pPr>
              <w:keepNext w:val="0"/>
              <w:keepLines w:val="0"/>
              <w:pageBreakBefore w:val="0"/>
              <w:widowControl w:val="0"/>
              <w:kinsoku/>
              <w:wordWrap/>
              <w:overflowPunct/>
              <w:topLinePunct w:val="0"/>
              <w:autoSpaceDE/>
              <w:autoSpaceDN/>
              <w:bidi w:val="0"/>
              <w:adjustRightInd/>
              <w:spacing w:line="500" w:lineRule="exact"/>
              <w:ind w:firstLine="464" w:firstLineChars="200"/>
              <w:textAlignment w:val="auto"/>
              <w:rPr>
                <w:b w:val="0"/>
                <w:bCs/>
                <w:color w:val="000000"/>
                <w:spacing w:val="-4"/>
                <w:sz w:val="24"/>
                <w:u w:val="none"/>
              </w:rPr>
            </w:pPr>
            <w:r>
              <w:rPr>
                <w:b w:val="0"/>
                <w:bCs/>
                <w:color w:val="000000"/>
                <w:spacing w:val="-4"/>
                <w:sz w:val="24"/>
              </w:rPr>
              <w:t>1</w:t>
            </w:r>
            <w:r>
              <w:rPr>
                <w:b w:val="0"/>
                <w:bCs/>
                <w:color w:val="000000"/>
                <w:spacing w:val="-4"/>
                <w:sz w:val="24"/>
                <w:u w:val="none"/>
              </w:rPr>
              <w:t>.</w:t>
            </w:r>
            <w:r>
              <w:rPr>
                <w:rFonts w:hint="eastAsia"/>
                <w:b w:val="0"/>
                <w:bCs/>
                <w:color w:val="000000"/>
                <w:spacing w:val="-4"/>
                <w:sz w:val="24"/>
                <w:u w:val="none"/>
                <w:lang w:val="en-US" w:eastAsia="zh-CN"/>
              </w:rPr>
              <w:t>6</w:t>
            </w:r>
            <w:r>
              <w:rPr>
                <w:rFonts w:hint="eastAsia"/>
                <w:b w:val="0"/>
                <w:bCs/>
                <w:color w:val="000000"/>
                <w:spacing w:val="-4"/>
                <w:sz w:val="24"/>
                <w:u w:val="none"/>
              </w:rPr>
              <w:t>废气监测</w:t>
            </w:r>
            <w:r>
              <w:rPr>
                <w:rFonts w:hint="eastAsia"/>
                <w:b w:val="0"/>
                <w:bCs/>
                <w:color w:val="000000"/>
                <w:spacing w:val="-4"/>
                <w:sz w:val="24"/>
                <w:u w:val="none"/>
                <w:lang w:val="en-US" w:eastAsia="zh-CN"/>
              </w:rPr>
              <w:t>计划</w:t>
            </w:r>
            <w:r>
              <w:rPr>
                <w:rFonts w:hint="eastAsia"/>
                <w:b w:val="0"/>
                <w:bCs/>
                <w:color w:val="000000"/>
                <w:spacing w:val="-4"/>
                <w:sz w:val="24"/>
                <w:u w:val="none"/>
              </w:rPr>
              <w:t>要求</w:t>
            </w:r>
          </w:p>
          <w:p w14:paraId="62A09236">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color w:val="000000"/>
                <w:sz w:val="24"/>
                <w:u w:val="none"/>
              </w:rPr>
            </w:pPr>
            <w:r>
              <w:rPr>
                <w:color w:val="000000"/>
                <w:sz w:val="24"/>
                <w:u w:val="none"/>
              </w:rPr>
              <w:t>根据《</w:t>
            </w:r>
            <w:r>
              <w:rPr>
                <w:rFonts w:hint="eastAsia"/>
                <w:sz w:val="24"/>
                <w:szCs w:val="24"/>
                <w:u w:val="none"/>
                <w:lang w:val="en-US" w:eastAsia="zh-CN"/>
              </w:rPr>
              <w:t>排污许可证申请与核发技术规范 水泥工业》</w:t>
            </w:r>
            <w:r>
              <w:rPr>
                <w:color w:val="000000"/>
                <w:sz w:val="24"/>
                <w:u w:val="none"/>
              </w:rPr>
              <w:t>（HJ 1034—</w:t>
            </w:r>
            <w:r>
              <w:rPr>
                <w:color w:val="000000"/>
                <w:sz w:val="24"/>
                <w:highlight w:val="none"/>
                <w:u w:val="none"/>
              </w:rPr>
              <w:t>201</w:t>
            </w:r>
            <w:r>
              <w:rPr>
                <w:rFonts w:hint="eastAsia"/>
                <w:color w:val="000000"/>
                <w:sz w:val="24"/>
                <w:highlight w:val="none"/>
                <w:u w:val="none"/>
                <w:lang w:val="en-US" w:eastAsia="zh-CN"/>
              </w:rPr>
              <w:t>7</w:t>
            </w:r>
            <w:r>
              <w:rPr>
                <w:color w:val="000000"/>
                <w:sz w:val="24"/>
                <w:u w:val="none"/>
              </w:rPr>
              <w:t>）</w:t>
            </w:r>
            <w:r>
              <w:rPr>
                <w:rFonts w:hint="eastAsia"/>
                <w:color w:val="000000"/>
                <w:sz w:val="24"/>
                <w:u w:val="none"/>
                <w:lang w:val="en-US" w:eastAsia="zh-CN"/>
              </w:rPr>
              <w:t>和</w:t>
            </w:r>
            <w:r>
              <w:rPr>
                <w:color w:val="000000"/>
                <w:sz w:val="24"/>
                <w:u w:val="none"/>
              </w:rPr>
              <w:t>《排污单位自行监测技术指南 总则》（HJ819-2017）</w:t>
            </w:r>
            <w:r>
              <w:rPr>
                <w:rFonts w:hint="eastAsia"/>
                <w:color w:val="000000"/>
                <w:sz w:val="24"/>
                <w:u w:val="none"/>
              </w:rPr>
              <w:t>，本项目废气监测</w:t>
            </w:r>
            <w:r>
              <w:rPr>
                <w:rFonts w:hint="eastAsia"/>
                <w:color w:val="000000"/>
                <w:sz w:val="24"/>
                <w:u w:val="none"/>
                <w:lang w:val="en-US" w:eastAsia="zh-CN"/>
              </w:rPr>
              <w:t>计划</w:t>
            </w:r>
            <w:r>
              <w:rPr>
                <w:rFonts w:hint="eastAsia"/>
                <w:color w:val="000000"/>
                <w:sz w:val="24"/>
                <w:u w:val="none"/>
              </w:rPr>
              <w:t xml:space="preserve">要求见下表。 </w:t>
            </w:r>
          </w:p>
          <w:p w14:paraId="4C3A8949">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center"/>
              <w:textAlignment w:val="auto"/>
              <w:rPr>
                <w:rFonts w:eastAsia="黑体"/>
                <w:snapToGrid w:val="0"/>
                <w:color w:val="000000"/>
                <w:sz w:val="24"/>
              </w:rPr>
            </w:pPr>
            <w:r>
              <w:rPr>
                <w:rFonts w:hint="eastAsia" w:eastAsia="黑体"/>
                <w:color w:val="000000"/>
                <w:sz w:val="24"/>
                <w:u w:val="none"/>
              </w:rPr>
              <w:t>表4-</w:t>
            </w:r>
            <w:r>
              <w:rPr>
                <w:rFonts w:hint="eastAsia" w:eastAsia="黑体"/>
                <w:color w:val="000000"/>
                <w:sz w:val="24"/>
                <w:u w:val="none"/>
                <w:lang w:val="en-US" w:eastAsia="zh-CN"/>
              </w:rPr>
              <w:t>11</w:t>
            </w:r>
            <w:r>
              <w:rPr>
                <w:rFonts w:hint="eastAsia" w:eastAsia="黑体"/>
                <w:color w:val="000000"/>
                <w:sz w:val="24"/>
                <w:u w:val="none"/>
              </w:rPr>
              <w:t xml:space="preserve">  </w:t>
            </w:r>
            <w:r>
              <w:rPr>
                <w:rFonts w:hint="eastAsia" w:eastAsia="黑体"/>
                <w:color w:val="000000"/>
                <w:sz w:val="24"/>
                <w:lang w:val="en-US" w:eastAsia="zh-CN"/>
              </w:rPr>
              <w:t>本项目</w:t>
            </w:r>
            <w:r>
              <w:rPr>
                <w:rFonts w:eastAsia="黑体"/>
                <w:color w:val="000000"/>
                <w:sz w:val="24"/>
              </w:rPr>
              <w:t>废气</w:t>
            </w:r>
            <w:r>
              <w:rPr>
                <w:rFonts w:hint="eastAsia" w:eastAsia="黑体"/>
                <w:color w:val="000000"/>
                <w:sz w:val="24"/>
              </w:rPr>
              <w:t>监测</w:t>
            </w:r>
            <w:r>
              <w:rPr>
                <w:rFonts w:eastAsia="黑体"/>
                <w:color w:val="000000"/>
                <w:sz w:val="24"/>
              </w:rPr>
              <w:t>方案</w:t>
            </w:r>
          </w:p>
          <w:tbl>
            <w:tblPr>
              <w:tblStyle w:val="23"/>
              <w:tblW w:w="7638"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912"/>
              <w:gridCol w:w="959"/>
              <w:gridCol w:w="947"/>
              <w:gridCol w:w="1444"/>
              <w:gridCol w:w="3376"/>
            </w:tblGrid>
            <w:tr w14:paraId="219BD59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522" w:hRule="atLeast"/>
                <w:jc w:val="center"/>
              </w:trPr>
              <w:tc>
                <w:tcPr>
                  <w:tcW w:w="597" w:type="pct"/>
                  <w:tcBorders>
                    <w:tl2br w:val="nil"/>
                    <w:tr2bl w:val="nil"/>
                  </w:tcBorders>
                  <w:noWrap w:val="0"/>
                  <w:vAlign w:val="center"/>
                </w:tcPr>
                <w:p w14:paraId="305FE64E">
                  <w:pPr>
                    <w:pStyle w:val="12"/>
                    <w:adjustRightInd w:val="0"/>
                    <w:snapToGrid w:val="0"/>
                    <w:spacing w:after="0"/>
                    <w:ind w:left="0" w:leftChars="0"/>
                    <w:jc w:val="center"/>
                    <w:rPr>
                      <w:b/>
                      <w:bCs/>
                      <w:color w:val="000000"/>
                      <w:sz w:val="21"/>
                      <w:szCs w:val="21"/>
                    </w:rPr>
                  </w:pPr>
                  <w:r>
                    <w:rPr>
                      <w:rFonts w:hint="eastAsia"/>
                      <w:b/>
                      <w:bCs/>
                      <w:color w:val="000000"/>
                      <w:sz w:val="21"/>
                      <w:szCs w:val="21"/>
                    </w:rPr>
                    <w:t>排放</w:t>
                  </w:r>
                </w:p>
                <w:p w14:paraId="1DFC7064">
                  <w:pPr>
                    <w:pStyle w:val="12"/>
                    <w:adjustRightInd w:val="0"/>
                    <w:snapToGrid w:val="0"/>
                    <w:spacing w:after="0"/>
                    <w:ind w:left="0" w:leftChars="0"/>
                    <w:jc w:val="center"/>
                    <w:rPr>
                      <w:b/>
                      <w:bCs/>
                      <w:color w:val="000000"/>
                      <w:sz w:val="21"/>
                      <w:szCs w:val="21"/>
                    </w:rPr>
                  </w:pPr>
                  <w:r>
                    <w:rPr>
                      <w:rFonts w:hint="eastAsia"/>
                      <w:b/>
                      <w:bCs/>
                      <w:color w:val="000000"/>
                      <w:sz w:val="21"/>
                      <w:szCs w:val="21"/>
                    </w:rPr>
                    <w:t>形式</w:t>
                  </w:r>
                </w:p>
              </w:tc>
              <w:tc>
                <w:tcPr>
                  <w:tcW w:w="627" w:type="pct"/>
                  <w:tcBorders>
                    <w:tl2br w:val="nil"/>
                    <w:tr2bl w:val="nil"/>
                  </w:tcBorders>
                  <w:noWrap w:val="0"/>
                  <w:vAlign w:val="center"/>
                </w:tcPr>
                <w:p w14:paraId="6418DA1E">
                  <w:pPr>
                    <w:pStyle w:val="12"/>
                    <w:adjustRightInd w:val="0"/>
                    <w:snapToGrid w:val="0"/>
                    <w:spacing w:after="0"/>
                    <w:ind w:left="0" w:leftChars="0"/>
                    <w:jc w:val="center"/>
                    <w:rPr>
                      <w:b/>
                      <w:bCs/>
                      <w:color w:val="000000"/>
                      <w:sz w:val="21"/>
                      <w:szCs w:val="21"/>
                    </w:rPr>
                  </w:pPr>
                  <w:r>
                    <w:rPr>
                      <w:b/>
                      <w:bCs/>
                      <w:color w:val="000000"/>
                      <w:sz w:val="21"/>
                      <w:szCs w:val="21"/>
                    </w:rPr>
                    <w:t>监测</w:t>
                  </w:r>
                </w:p>
                <w:p w14:paraId="78792281">
                  <w:pPr>
                    <w:pStyle w:val="12"/>
                    <w:adjustRightInd w:val="0"/>
                    <w:snapToGrid w:val="0"/>
                    <w:spacing w:after="0"/>
                    <w:ind w:left="0" w:leftChars="0"/>
                    <w:jc w:val="center"/>
                    <w:rPr>
                      <w:b/>
                      <w:bCs/>
                      <w:color w:val="000000"/>
                      <w:sz w:val="21"/>
                      <w:szCs w:val="21"/>
                    </w:rPr>
                  </w:pPr>
                  <w:r>
                    <w:rPr>
                      <w:b/>
                      <w:bCs/>
                      <w:color w:val="000000"/>
                      <w:sz w:val="21"/>
                      <w:szCs w:val="21"/>
                    </w:rPr>
                    <w:t>点位</w:t>
                  </w:r>
                </w:p>
              </w:tc>
              <w:tc>
                <w:tcPr>
                  <w:tcW w:w="619" w:type="pct"/>
                  <w:tcBorders>
                    <w:tl2br w:val="nil"/>
                    <w:tr2bl w:val="nil"/>
                  </w:tcBorders>
                  <w:noWrap w:val="0"/>
                  <w:vAlign w:val="center"/>
                </w:tcPr>
                <w:p w14:paraId="52855127">
                  <w:pPr>
                    <w:pStyle w:val="12"/>
                    <w:adjustRightInd w:val="0"/>
                    <w:snapToGrid w:val="0"/>
                    <w:spacing w:after="0"/>
                    <w:ind w:left="0" w:leftChars="0"/>
                    <w:jc w:val="center"/>
                    <w:rPr>
                      <w:rFonts w:hint="eastAsia"/>
                      <w:b/>
                      <w:bCs/>
                      <w:color w:val="000000"/>
                      <w:sz w:val="21"/>
                      <w:szCs w:val="21"/>
                    </w:rPr>
                  </w:pPr>
                  <w:r>
                    <w:rPr>
                      <w:rFonts w:hint="eastAsia"/>
                      <w:b/>
                      <w:bCs/>
                      <w:color w:val="000000"/>
                      <w:sz w:val="21"/>
                      <w:szCs w:val="21"/>
                    </w:rPr>
                    <w:t>监测</w:t>
                  </w:r>
                </w:p>
                <w:p w14:paraId="2CE43846">
                  <w:pPr>
                    <w:pStyle w:val="12"/>
                    <w:adjustRightInd w:val="0"/>
                    <w:snapToGrid w:val="0"/>
                    <w:spacing w:after="0"/>
                    <w:ind w:left="0" w:leftChars="0"/>
                    <w:jc w:val="center"/>
                    <w:rPr>
                      <w:b/>
                      <w:bCs/>
                      <w:color w:val="000000"/>
                      <w:sz w:val="21"/>
                      <w:szCs w:val="21"/>
                    </w:rPr>
                  </w:pPr>
                  <w:r>
                    <w:rPr>
                      <w:b/>
                      <w:bCs/>
                      <w:color w:val="000000"/>
                      <w:sz w:val="21"/>
                      <w:szCs w:val="21"/>
                    </w:rPr>
                    <w:t>因子</w:t>
                  </w:r>
                </w:p>
              </w:tc>
              <w:tc>
                <w:tcPr>
                  <w:tcW w:w="945" w:type="pct"/>
                  <w:tcBorders>
                    <w:tl2br w:val="nil"/>
                    <w:tr2bl w:val="nil"/>
                  </w:tcBorders>
                  <w:noWrap w:val="0"/>
                  <w:vAlign w:val="center"/>
                </w:tcPr>
                <w:p w14:paraId="1407AD70">
                  <w:pPr>
                    <w:pStyle w:val="12"/>
                    <w:adjustRightInd w:val="0"/>
                    <w:snapToGrid w:val="0"/>
                    <w:spacing w:after="0"/>
                    <w:ind w:left="0" w:leftChars="0"/>
                    <w:jc w:val="center"/>
                    <w:rPr>
                      <w:b/>
                      <w:bCs/>
                      <w:color w:val="000000"/>
                      <w:sz w:val="21"/>
                      <w:szCs w:val="21"/>
                    </w:rPr>
                  </w:pPr>
                  <w:r>
                    <w:rPr>
                      <w:b/>
                      <w:bCs/>
                      <w:color w:val="000000"/>
                      <w:sz w:val="21"/>
                      <w:szCs w:val="21"/>
                    </w:rPr>
                    <w:t>监测频次</w:t>
                  </w:r>
                </w:p>
              </w:tc>
              <w:tc>
                <w:tcPr>
                  <w:tcW w:w="2210" w:type="pct"/>
                  <w:tcBorders>
                    <w:tl2br w:val="nil"/>
                    <w:tr2bl w:val="nil"/>
                  </w:tcBorders>
                  <w:noWrap w:val="0"/>
                  <w:vAlign w:val="center"/>
                </w:tcPr>
                <w:p w14:paraId="2B372762">
                  <w:pPr>
                    <w:pStyle w:val="12"/>
                    <w:adjustRightInd w:val="0"/>
                    <w:snapToGrid w:val="0"/>
                    <w:spacing w:after="0"/>
                    <w:ind w:left="0" w:leftChars="0"/>
                    <w:jc w:val="center"/>
                    <w:rPr>
                      <w:b/>
                      <w:bCs/>
                      <w:color w:val="000000"/>
                      <w:sz w:val="21"/>
                      <w:szCs w:val="21"/>
                    </w:rPr>
                  </w:pPr>
                  <w:r>
                    <w:rPr>
                      <w:b/>
                      <w:bCs/>
                      <w:color w:val="000000"/>
                      <w:sz w:val="21"/>
                      <w:szCs w:val="21"/>
                    </w:rPr>
                    <w:t>执行排放标准</w:t>
                  </w:r>
                </w:p>
              </w:tc>
            </w:tr>
            <w:tr w14:paraId="01BB983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821" w:hRule="atLeast"/>
                <w:jc w:val="center"/>
              </w:trPr>
              <w:tc>
                <w:tcPr>
                  <w:tcW w:w="597" w:type="pct"/>
                  <w:vMerge w:val="restart"/>
                  <w:tcBorders>
                    <w:tl2br w:val="nil"/>
                    <w:tr2bl w:val="nil"/>
                  </w:tcBorders>
                  <w:noWrap w:val="0"/>
                  <w:vAlign w:val="center"/>
                </w:tcPr>
                <w:p w14:paraId="400E56BF">
                  <w:pPr>
                    <w:pStyle w:val="12"/>
                    <w:adjustRightInd w:val="0"/>
                    <w:snapToGrid w:val="0"/>
                    <w:spacing w:after="0"/>
                    <w:ind w:left="0" w:leftChars="0"/>
                    <w:jc w:val="center"/>
                    <w:rPr>
                      <w:color w:val="000000"/>
                      <w:sz w:val="21"/>
                      <w:szCs w:val="21"/>
                    </w:rPr>
                  </w:pPr>
                  <w:r>
                    <w:rPr>
                      <w:rFonts w:hint="eastAsia"/>
                      <w:color w:val="000000"/>
                      <w:sz w:val="21"/>
                      <w:szCs w:val="21"/>
                    </w:rPr>
                    <w:t>有组织</w:t>
                  </w:r>
                </w:p>
              </w:tc>
              <w:tc>
                <w:tcPr>
                  <w:tcW w:w="627" w:type="pct"/>
                  <w:tcBorders>
                    <w:tl2br w:val="nil"/>
                    <w:tr2bl w:val="nil"/>
                  </w:tcBorders>
                  <w:noWrap w:val="0"/>
                  <w:vAlign w:val="center"/>
                </w:tcPr>
                <w:p w14:paraId="53CF1D6E">
                  <w:pPr>
                    <w:pStyle w:val="12"/>
                    <w:adjustRightInd w:val="0"/>
                    <w:snapToGrid w:val="0"/>
                    <w:spacing w:after="0"/>
                    <w:ind w:left="0" w:leftChars="0"/>
                    <w:jc w:val="center"/>
                    <w:rPr>
                      <w:color w:val="000000"/>
                      <w:sz w:val="21"/>
                      <w:szCs w:val="21"/>
                    </w:rPr>
                  </w:pPr>
                  <w:r>
                    <w:rPr>
                      <w:rFonts w:hint="eastAsia"/>
                      <w:color w:val="000000"/>
                      <w:sz w:val="21"/>
                      <w:szCs w:val="21"/>
                      <w:lang w:val="en-US" w:eastAsia="zh-CN"/>
                    </w:rPr>
                    <w:t>排气筒</w:t>
                  </w:r>
                  <w:r>
                    <w:rPr>
                      <w:color w:val="000000"/>
                      <w:sz w:val="21"/>
                      <w:szCs w:val="21"/>
                    </w:rPr>
                    <w:t>DA001</w:t>
                  </w:r>
                </w:p>
              </w:tc>
              <w:tc>
                <w:tcPr>
                  <w:tcW w:w="619" w:type="pct"/>
                  <w:vMerge w:val="restart"/>
                  <w:tcBorders>
                    <w:tl2br w:val="nil"/>
                    <w:tr2bl w:val="nil"/>
                  </w:tcBorders>
                  <w:noWrap w:val="0"/>
                  <w:vAlign w:val="center"/>
                </w:tcPr>
                <w:p w14:paraId="1EA9BC38">
                  <w:pPr>
                    <w:pStyle w:val="12"/>
                    <w:adjustRightInd w:val="0"/>
                    <w:snapToGrid w:val="0"/>
                    <w:spacing w:after="0"/>
                    <w:ind w:left="0" w:leftChars="0"/>
                    <w:jc w:val="center"/>
                    <w:rPr>
                      <w:color w:val="000000"/>
                      <w:sz w:val="21"/>
                      <w:szCs w:val="21"/>
                    </w:rPr>
                  </w:pPr>
                  <w:r>
                    <w:rPr>
                      <w:rFonts w:hint="eastAsia"/>
                      <w:color w:val="000000"/>
                      <w:sz w:val="21"/>
                      <w:szCs w:val="21"/>
                    </w:rPr>
                    <w:t>颗粒物</w:t>
                  </w:r>
                </w:p>
              </w:tc>
              <w:tc>
                <w:tcPr>
                  <w:tcW w:w="945" w:type="pct"/>
                  <w:vMerge w:val="restart"/>
                  <w:tcBorders>
                    <w:tl2br w:val="nil"/>
                    <w:tr2bl w:val="nil"/>
                  </w:tcBorders>
                  <w:noWrap w:val="0"/>
                  <w:vAlign w:val="center"/>
                </w:tcPr>
                <w:p w14:paraId="5784EFE9">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rPr>
                    <w:t>1次/</w:t>
                  </w:r>
                  <w:r>
                    <w:rPr>
                      <w:rFonts w:hint="eastAsia"/>
                      <w:color w:val="000000"/>
                      <w:sz w:val="21"/>
                      <w:szCs w:val="21"/>
                      <w:highlight w:val="none"/>
                      <w:lang w:val="en-US" w:eastAsia="zh-CN"/>
                    </w:rPr>
                    <w:t>年</w:t>
                  </w:r>
                </w:p>
                <w:p w14:paraId="73D73A2E">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eastAsia"/>
                      <w:color w:val="000000"/>
                      <w:sz w:val="21"/>
                      <w:szCs w:val="21"/>
                      <w:highlight w:val="none"/>
                    </w:rPr>
                    <w:t>（委托第三方检测机构）</w:t>
                  </w:r>
                </w:p>
              </w:tc>
              <w:tc>
                <w:tcPr>
                  <w:tcW w:w="2210" w:type="pct"/>
                  <w:vMerge w:val="restart"/>
                  <w:tcBorders>
                    <w:tl2br w:val="nil"/>
                    <w:tr2bl w:val="nil"/>
                  </w:tcBorders>
                  <w:noWrap w:val="0"/>
                  <w:vAlign w:val="center"/>
                </w:tcPr>
                <w:p w14:paraId="3D994BAA">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eastAsia"/>
                      <w:color w:val="000000"/>
                      <w:sz w:val="21"/>
                      <w:szCs w:val="21"/>
                      <w:highlight w:val="none"/>
                      <w:u w:val="none"/>
                      <w:lang w:eastAsia="zh-CN"/>
                    </w:rPr>
                    <w:t>《</w:t>
                  </w:r>
                  <w:r>
                    <w:rPr>
                      <w:rFonts w:hint="eastAsia"/>
                      <w:sz w:val="21"/>
                      <w:szCs w:val="21"/>
                      <w:highlight w:val="none"/>
                      <w:lang w:val="en-US" w:eastAsia="zh-CN"/>
                    </w:rPr>
                    <w:t>河南省水泥工业大气污染物排放标准</w:t>
                  </w:r>
                  <w:r>
                    <w:rPr>
                      <w:rFonts w:hint="eastAsia"/>
                      <w:color w:val="000000"/>
                      <w:sz w:val="21"/>
                      <w:szCs w:val="21"/>
                      <w:highlight w:val="none"/>
                      <w:u w:val="none"/>
                      <w:lang w:eastAsia="zh-CN"/>
                    </w:rPr>
                    <w:t>》</w:t>
                  </w:r>
                  <w:r>
                    <w:rPr>
                      <w:rFonts w:hint="eastAsia"/>
                      <w:sz w:val="21"/>
                      <w:szCs w:val="21"/>
                      <w:highlight w:val="none"/>
                      <w:lang w:val="en-US" w:eastAsia="zh-CN"/>
                    </w:rPr>
                    <w:t>(DB41/1953-2020)表1要求和</w:t>
                  </w:r>
                  <w:r>
                    <w:rPr>
                      <w:rFonts w:hint="eastAsia"/>
                      <w:color w:val="000000"/>
                      <w:sz w:val="21"/>
                      <w:szCs w:val="21"/>
                      <w:highlight w:val="none"/>
                      <w:u w:val="none"/>
                    </w:rPr>
                    <w:t>《河南省重污染天气</w:t>
                  </w:r>
                  <w:r>
                    <w:rPr>
                      <w:rFonts w:hint="eastAsia"/>
                      <w:color w:val="000000"/>
                      <w:sz w:val="21"/>
                      <w:szCs w:val="21"/>
                      <w:highlight w:val="none"/>
                      <w:u w:val="none"/>
                      <w:lang w:val="en-US" w:eastAsia="zh-CN"/>
                    </w:rPr>
                    <w:t>重点</w:t>
                  </w:r>
                  <w:r>
                    <w:rPr>
                      <w:rFonts w:hint="eastAsia"/>
                      <w:color w:val="000000"/>
                      <w:sz w:val="21"/>
                      <w:szCs w:val="21"/>
                      <w:highlight w:val="none"/>
                      <w:u w:val="none"/>
                    </w:rPr>
                    <w:t>行业应急减排措施制定技术指南》</w:t>
                  </w:r>
                  <w:r>
                    <w:rPr>
                      <w:rFonts w:hint="eastAsia"/>
                      <w:sz w:val="21"/>
                      <w:szCs w:val="21"/>
                      <w:highlight w:val="none"/>
                      <w:u w:val="none"/>
                      <w:lang w:val="en-US" w:eastAsia="zh-CN"/>
                    </w:rPr>
                    <w:t>（2024年修订版）</w:t>
                  </w:r>
                  <w:r>
                    <w:rPr>
                      <w:rFonts w:hint="eastAsia"/>
                      <w:sz w:val="21"/>
                      <w:szCs w:val="21"/>
                      <w:highlight w:val="none"/>
                      <w:u w:val="none"/>
                    </w:rPr>
                    <w:t>中排放限值（</w:t>
                  </w:r>
                  <w:r>
                    <w:rPr>
                      <w:rFonts w:hint="eastAsia"/>
                      <w:sz w:val="21"/>
                      <w:szCs w:val="21"/>
                      <w:highlight w:val="none"/>
                      <w:u w:val="none"/>
                      <w:lang w:val="en-US" w:eastAsia="zh-CN"/>
                    </w:rPr>
                    <w:t>颗粒物</w:t>
                  </w:r>
                  <w:r>
                    <w:rPr>
                      <w:rFonts w:hint="eastAsia"/>
                      <w:sz w:val="21"/>
                      <w:szCs w:val="21"/>
                      <w:highlight w:val="none"/>
                      <w:u w:val="none"/>
                    </w:rPr>
                    <w:t>有组织10mg/m</w:t>
                  </w:r>
                  <w:r>
                    <w:rPr>
                      <w:rFonts w:hint="eastAsia"/>
                      <w:sz w:val="21"/>
                      <w:szCs w:val="21"/>
                      <w:highlight w:val="none"/>
                      <w:u w:val="none"/>
                      <w:vertAlign w:val="superscript"/>
                    </w:rPr>
                    <w:t>3</w:t>
                  </w:r>
                  <w:r>
                    <w:rPr>
                      <w:rFonts w:hint="eastAsia"/>
                      <w:sz w:val="21"/>
                      <w:szCs w:val="21"/>
                      <w:highlight w:val="none"/>
                      <w:u w:val="none"/>
                    </w:rPr>
                    <w:t>）要求</w:t>
                  </w:r>
                  <w:r>
                    <w:rPr>
                      <w:color w:val="000000"/>
                      <w:sz w:val="21"/>
                      <w:szCs w:val="21"/>
                      <w:highlight w:val="none"/>
                      <w:u w:val="none"/>
                    </w:rPr>
                    <w:t>。</w:t>
                  </w:r>
                </w:p>
              </w:tc>
            </w:tr>
            <w:tr w14:paraId="79DE63E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70" w:hRule="atLeast"/>
                <w:jc w:val="center"/>
              </w:trPr>
              <w:tc>
                <w:tcPr>
                  <w:tcW w:w="597" w:type="pct"/>
                  <w:vMerge w:val="continue"/>
                  <w:tcBorders>
                    <w:tl2br w:val="nil"/>
                    <w:tr2bl w:val="nil"/>
                  </w:tcBorders>
                  <w:noWrap w:val="0"/>
                  <w:vAlign w:val="center"/>
                </w:tcPr>
                <w:p w14:paraId="33F2B3B2">
                  <w:pPr>
                    <w:pStyle w:val="12"/>
                    <w:adjustRightInd w:val="0"/>
                    <w:snapToGrid w:val="0"/>
                    <w:spacing w:after="0"/>
                    <w:ind w:left="0" w:leftChars="0"/>
                    <w:jc w:val="center"/>
                    <w:rPr>
                      <w:rFonts w:hint="eastAsia" w:ascii="Times New Roman" w:hAnsi="Times New Roman" w:eastAsia="宋体" w:cs="Times New Roman"/>
                      <w:color w:val="000000"/>
                      <w:kern w:val="0"/>
                      <w:sz w:val="21"/>
                      <w:szCs w:val="21"/>
                      <w:lang w:val="en-US" w:eastAsia="zh-CN" w:bidi="ar-SA"/>
                    </w:rPr>
                  </w:pPr>
                </w:p>
              </w:tc>
              <w:tc>
                <w:tcPr>
                  <w:tcW w:w="627" w:type="pct"/>
                  <w:tcBorders>
                    <w:tl2br w:val="nil"/>
                    <w:tr2bl w:val="nil"/>
                  </w:tcBorders>
                  <w:noWrap w:val="0"/>
                  <w:vAlign w:val="center"/>
                </w:tcPr>
                <w:p w14:paraId="0B98A2E7">
                  <w:pPr>
                    <w:pStyle w:val="12"/>
                    <w:adjustRightInd w:val="0"/>
                    <w:snapToGrid w:val="0"/>
                    <w:spacing w:after="0"/>
                    <w:ind w:left="0" w:leftChars="0"/>
                    <w:jc w:val="center"/>
                    <w:rPr>
                      <w:rFonts w:hint="eastAsia" w:ascii="Times New Roman" w:hAnsi="Times New Roman" w:eastAsia="宋体" w:cs="Times New Roman"/>
                      <w:color w:val="000000"/>
                      <w:kern w:val="0"/>
                      <w:sz w:val="21"/>
                      <w:szCs w:val="21"/>
                      <w:lang w:val="en-US" w:eastAsia="zh-CN" w:bidi="ar-SA"/>
                    </w:rPr>
                  </w:pPr>
                  <w:r>
                    <w:rPr>
                      <w:rFonts w:hint="eastAsia"/>
                      <w:color w:val="000000"/>
                      <w:sz w:val="21"/>
                      <w:szCs w:val="21"/>
                      <w:lang w:val="en-US" w:eastAsia="zh-CN"/>
                    </w:rPr>
                    <w:t>排气筒</w:t>
                  </w:r>
                  <w:r>
                    <w:rPr>
                      <w:color w:val="000000"/>
                      <w:sz w:val="21"/>
                      <w:szCs w:val="21"/>
                    </w:rPr>
                    <w:t>DA00</w:t>
                  </w:r>
                  <w:r>
                    <w:rPr>
                      <w:rFonts w:hint="eastAsia"/>
                      <w:color w:val="000000"/>
                      <w:sz w:val="21"/>
                      <w:szCs w:val="21"/>
                      <w:lang w:val="en-US" w:eastAsia="zh-CN"/>
                    </w:rPr>
                    <w:t>2</w:t>
                  </w:r>
                </w:p>
              </w:tc>
              <w:tc>
                <w:tcPr>
                  <w:tcW w:w="619" w:type="pct"/>
                  <w:vMerge w:val="continue"/>
                  <w:tcBorders>
                    <w:tl2br w:val="nil"/>
                    <w:tr2bl w:val="nil"/>
                  </w:tcBorders>
                  <w:noWrap w:val="0"/>
                  <w:vAlign w:val="center"/>
                </w:tcPr>
                <w:p w14:paraId="1772EEE3">
                  <w:pPr>
                    <w:pStyle w:val="12"/>
                    <w:adjustRightInd w:val="0"/>
                    <w:snapToGrid w:val="0"/>
                    <w:spacing w:after="0"/>
                    <w:ind w:left="0" w:leftChars="0"/>
                    <w:jc w:val="center"/>
                    <w:rPr>
                      <w:rFonts w:hint="eastAsia" w:ascii="Times New Roman" w:hAnsi="Times New Roman" w:eastAsia="宋体" w:cs="Times New Roman"/>
                      <w:color w:val="000000"/>
                      <w:kern w:val="0"/>
                      <w:sz w:val="21"/>
                      <w:szCs w:val="21"/>
                      <w:lang w:val="en-US" w:eastAsia="zh-CN" w:bidi="ar-SA"/>
                    </w:rPr>
                  </w:pPr>
                </w:p>
              </w:tc>
              <w:tc>
                <w:tcPr>
                  <w:tcW w:w="945" w:type="pct"/>
                  <w:vMerge w:val="continue"/>
                  <w:tcBorders>
                    <w:tl2br w:val="nil"/>
                    <w:tr2bl w:val="nil"/>
                  </w:tcBorders>
                  <w:noWrap w:val="0"/>
                  <w:vAlign w:val="center"/>
                </w:tcPr>
                <w:p w14:paraId="69F214AA">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eastAsia" w:ascii="Times New Roman" w:hAnsi="Times New Roman" w:eastAsia="宋体" w:cs="Times New Roman"/>
                      <w:color w:val="000000"/>
                      <w:kern w:val="0"/>
                      <w:sz w:val="21"/>
                      <w:szCs w:val="21"/>
                      <w:lang w:val="en-US" w:eastAsia="zh-CN" w:bidi="ar-SA"/>
                    </w:rPr>
                  </w:pPr>
                </w:p>
              </w:tc>
              <w:tc>
                <w:tcPr>
                  <w:tcW w:w="2210" w:type="pct"/>
                  <w:vMerge w:val="continue"/>
                  <w:tcBorders>
                    <w:tl2br w:val="nil"/>
                    <w:tr2bl w:val="nil"/>
                  </w:tcBorders>
                  <w:noWrap w:val="0"/>
                  <w:vAlign w:val="center"/>
                </w:tcPr>
                <w:p w14:paraId="5043C125">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eastAsia" w:ascii="Times New Roman" w:hAnsi="Times New Roman" w:eastAsia="宋体" w:cs="Times New Roman"/>
                      <w:color w:val="000000"/>
                      <w:kern w:val="0"/>
                      <w:sz w:val="21"/>
                      <w:szCs w:val="21"/>
                      <w:lang w:val="en-US" w:eastAsia="zh-CN" w:bidi="ar-SA"/>
                    </w:rPr>
                  </w:pPr>
                </w:p>
              </w:tc>
            </w:tr>
            <w:tr w14:paraId="13B93F91">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2002" w:hRule="atLeast"/>
                <w:jc w:val="center"/>
              </w:trPr>
              <w:tc>
                <w:tcPr>
                  <w:tcW w:w="597" w:type="pct"/>
                  <w:tcBorders>
                    <w:tl2br w:val="nil"/>
                    <w:tr2bl w:val="nil"/>
                  </w:tcBorders>
                  <w:noWrap w:val="0"/>
                  <w:vAlign w:val="center"/>
                </w:tcPr>
                <w:p w14:paraId="29404D1D">
                  <w:pPr>
                    <w:pStyle w:val="12"/>
                    <w:adjustRightInd w:val="0"/>
                    <w:snapToGrid w:val="0"/>
                    <w:spacing w:after="0"/>
                    <w:ind w:left="0" w:leftChars="0"/>
                    <w:jc w:val="center"/>
                    <w:rPr>
                      <w:color w:val="000000"/>
                      <w:sz w:val="21"/>
                      <w:szCs w:val="21"/>
                    </w:rPr>
                  </w:pPr>
                  <w:r>
                    <w:rPr>
                      <w:rFonts w:hint="eastAsia"/>
                      <w:color w:val="000000"/>
                      <w:sz w:val="21"/>
                      <w:szCs w:val="21"/>
                    </w:rPr>
                    <w:t>无组织</w:t>
                  </w:r>
                </w:p>
              </w:tc>
              <w:tc>
                <w:tcPr>
                  <w:tcW w:w="627" w:type="pct"/>
                  <w:tcBorders>
                    <w:tl2br w:val="nil"/>
                    <w:tr2bl w:val="nil"/>
                  </w:tcBorders>
                  <w:noWrap w:val="0"/>
                  <w:vAlign w:val="center"/>
                </w:tcPr>
                <w:p w14:paraId="7F6C2561">
                  <w:pPr>
                    <w:pStyle w:val="12"/>
                    <w:adjustRightInd w:val="0"/>
                    <w:snapToGrid w:val="0"/>
                    <w:spacing w:after="0"/>
                    <w:ind w:left="0" w:leftChars="0"/>
                    <w:jc w:val="center"/>
                    <w:rPr>
                      <w:rFonts w:hint="eastAsia"/>
                      <w:color w:val="000000"/>
                      <w:sz w:val="21"/>
                      <w:szCs w:val="21"/>
                    </w:rPr>
                  </w:pPr>
                  <w:r>
                    <w:rPr>
                      <w:rFonts w:hint="eastAsia"/>
                      <w:color w:val="000000"/>
                      <w:sz w:val="21"/>
                      <w:szCs w:val="21"/>
                    </w:rPr>
                    <w:t>厂界</w:t>
                  </w:r>
                </w:p>
                <w:p w14:paraId="50B386B3">
                  <w:pPr>
                    <w:pStyle w:val="12"/>
                    <w:adjustRightInd w:val="0"/>
                    <w:snapToGrid w:val="0"/>
                    <w:spacing w:after="0"/>
                    <w:ind w:left="0" w:leftChars="0"/>
                    <w:jc w:val="center"/>
                    <w:rPr>
                      <w:rFonts w:hint="eastAsia" w:eastAsia="宋体"/>
                      <w:color w:val="000000"/>
                      <w:sz w:val="21"/>
                      <w:szCs w:val="21"/>
                      <w:lang w:val="en-US" w:eastAsia="zh-CN"/>
                    </w:rPr>
                  </w:pPr>
                  <w:r>
                    <w:rPr>
                      <w:rFonts w:hint="eastAsia"/>
                      <w:color w:val="000000"/>
                      <w:sz w:val="21"/>
                      <w:szCs w:val="21"/>
                      <w:lang w:val="en-US" w:eastAsia="zh-CN"/>
                    </w:rPr>
                    <w:t>四周</w:t>
                  </w:r>
                </w:p>
              </w:tc>
              <w:tc>
                <w:tcPr>
                  <w:tcW w:w="619" w:type="pct"/>
                  <w:tcBorders>
                    <w:tl2br w:val="nil"/>
                    <w:tr2bl w:val="nil"/>
                  </w:tcBorders>
                  <w:noWrap w:val="0"/>
                  <w:vAlign w:val="center"/>
                </w:tcPr>
                <w:p w14:paraId="5E6B3264">
                  <w:pPr>
                    <w:pStyle w:val="12"/>
                    <w:adjustRightInd w:val="0"/>
                    <w:snapToGrid w:val="0"/>
                    <w:spacing w:after="0"/>
                    <w:ind w:left="0" w:leftChars="0"/>
                    <w:jc w:val="center"/>
                    <w:rPr>
                      <w:color w:val="000000"/>
                      <w:sz w:val="21"/>
                      <w:szCs w:val="21"/>
                    </w:rPr>
                  </w:pPr>
                  <w:r>
                    <w:rPr>
                      <w:rFonts w:hint="eastAsia"/>
                      <w:color w:val="000000"/>
                      <w:sz w:val="21"/>
                      <w:szCs w:val="21"/>
                    </w:rPr>
                    <w:t>颗粒物</w:t>
                  </w:r>
                </w:p>
              </w:tc>
              <w:tc>
                <w:tcPr>
                  <w:tcW w:w="945" w:type="pct"/>
                  <w:tcBorders>
                    <w:tl2br w:val="nil"/>
                    <w:tr2bl w:val="nil"/>
                  </w:tcBorders>
                  <w:noWrap w:val="0"/>
                  <w:vAlign w:val="center"/>
                </w:tcPr>
                <w:p w14:paraId="74E865DF">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rPr>
                    <w:t>1次/</w:t>
                  </w:r>
                  <w:r>
                    <w:rPr>
                      <w:rFonts w:hint="eastAsia"/>
                      <w:color w:val="000000"/>
                      <w:sz w:val="21"/>
                      <w:szCs w:val="21"/>
                      <w:highlight w:val="none"/>
                      <w:lang w:val="en-US" w:eastAsia="zh-CN"/>
                    </w:rPr>
                    <w:t>年</w:t>
                  </w:r>
                </w:p>
                <w:p w14:paraId="63754854">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color w:val="000000"/>
                      <w:sz w:val="21"/>
                      <w:szCs w:val="21"/>
                      <w:highlight w:val="none"/>
                    </w:rPr>
                  </w:pPr>
                  <w:r>
                    <w:rPr>
                      <w:rFonts w:hint="eastAsia"/>
                      <w:color w:val="000000"/>
                      <w:sz w:val="21"/>
                      <w:szCs w:val="21"/>
                      <w:highlight w:val="none"/>
                    </w:rPr>
                    <w:t>（委托第三方检测机构）</w:t>
                  </w:r>
                </w:p>
              </w:tc>
              <w:tc>
                <w:tcPr>
                  <w:tcW w:w="2210" w:type="pct"/>
                  <w:tcBorders>
                    <w:tl2br w:val="nil"/>
                    <w:tr2bl w:val="nil"/>
                  </w:tcBorders>
                  <w:noWrap w:val="0"/>
                  <w:vAlign w:val="center"/>
                </w:tcPr>
                <w:p w14:paraId="539ABC41">
                  <w:pPr>
                    <w:pStyle w:val="12"/>
                    <w:keepNext w:val="0"/>
                    <w:keepLines w:val="0"/>
                    <w:pageBreakBefore w:val="0"/>
                    <w:widowControl w:val="0"/>
                    <w:kinsoku/>
                    <w:wordWrap w:val="0"/>
                    <w:overflowPunct/>
                    <w:topLinePunct w:val="0"/>
                    <w:autoSpaceDE/>
                    <w:autoSpaceDN/>
                    <w:bidi w:val="0"/>
                    <w:adjustRightInd w:val="0"/>
                    <w:snapToGrid w:val="0"/>
                    <w:spacing w:after="0"/>
                    <w:ind w:left="0" w:leftChars="0"/>
                    <w:jc w:val="center"/>
                    <w:textAlignment w:val="auto"/>
                    <w:rPr>
                      <w:bCs/>
                      <w:color w:val="000000"/>
                      <w:sz w:val="21"/>
                      <w:szCs w:val="21"/>
                      <w:highlight w:val="none"/>
                    </w:rPr>
                  </w:pPr>
                  <w:r>
                    <w:rPr>
                      <w:rFonts w:hint="eastAsia"/>
                      <w:color w:val="000000"/>
                      <w:sz w:val="21"/>
                      <w:szCs w:val="21"/>
                      <w:highlight w:val="none"/>
                      <w:u w:val="none"/>
                      <w:lang w:eastAsia="zh-CN"/>
                    </w:rPr>
                    <w:t>《</w:t>
                  </w:r>
                  <w:r>
                    <w:rPr>
                      <w:rFonts w:hint="eastAsia"/>
                      <w:sz w:val="21"/>
                      <w:szCs w:val="21"/>
                      <w:highlight w:val="none"/>
                      <w:lang w:val="en-US" w:eastAsia="zh-CN"/>
                    </w:rPr>
                    <w:t>河南省水泥工业大气污染物排放标准</w:t>
                  </w:r>
                  <w:r>
                    <w:rPr>
                      <w:rFonts w:hint="eastAsia"/>
                      <w:color w:val="000000"/>
                      <w:sz w:val="21"/>
                      <w:szCs w:val="21"/>
                      <w:highlight w:val="none"/>
                      <w:u w:val="none"/>
                      <w:lang w:eastAsia="zh-CN"/>
                    </w:rPr>
                    <w:t>》</w:t>
                  </w:r>
                  <w:r>
                    <w:rPr>
                      <w:rFonts w:hint="eastAsia"/>
                      <w:sz w:val="21"/>
                      <w:szCs w:val="21"/>
                      <w:highlight w:val="none"/>
                      <w:lang w:val="en-US" w:eastAsia="zh-CN"/>
                    </w:rPr>
                    <w:t>(DB41/1953-2020)</w:t>
                  </w:r>
                  <w:r>
                    <w:rPr>
                      <w:rFonts w:hint="eastAsia" w:ascii="Times New Roman" w:hAnsi="Times New Roman"/>
                      <w:sz w:val="21"/>
                      <w:szCs w:val="21"/>
                      <w:highlight w:val="none"/>
                    </w:rPr>
                    <w:t>的</w:t>
                  </w:r>
                  <w:r>
                    <w:rPr>
                      <w:rFonts w:hint="default" w:ascii="Times New Roman" w:hAnsi="Times New Roman" w:cs="Times New Roman"/>
                      <w:sz w:val="21"/>
                      <w:szCs w:val="21"/>
                      <w:highlight w:val="none"/>
                    </w:rPr>
                    <w:t>要求</w:t>
                  </w:r>
                  <w:r>
                    <w:rPr>
                      <w:rFonts w:hint="default" w:ascii="Times New Roman" w:hAnsi="Times New Roman" w:cs="Times New Roman"/>
                      <w:sz w:val="21"/>
                      <w:szCs w:val="21"/>
                      <w:highlight w:val="none"/>
                      <w:lang w:eastAsia="zh-CN"/>
                    </w:rPr>
                    <w:t>（</w:t>
                  </w:r>
                  <w:r>
                    <w:rPr>
                      <w:rFonts w:hint="default" w:ascii="Times New Roman" w:hAnsi="Times New Roman" w:cs="Times New Roman"/>
                      <w:sz w:val="21"/>
                      <w:szCs w:val="21"/>
                      <w:highlight w:val="none"/>
                      <w:lang w:val="en-US" w:eastAsia="zh-CN"/>
                    </w:rPr>
                    <w:t>监控</w:t>
                  </w:r>
                  <w:r>
                    <w:rPr>
                      <w:rFonts w:hint="default" w:ascii="Times New Roman" w:hAnsi="Times New Roman" w:eastAsia="宋体" w:cs="Times New Roman"/>
                      <w:sz w:val="21"/>
                      <w:szCs w:val="21"/>
                      <w:highlight w:val="none"/>
                    </w:rPr>
                    <w:t>点与参照点总悬浮颗粒物（TSP）1h浓度值的差值</w:t>
                  </w:r>
                  <w:r>
                    <w:rPr>
                      <w:rFonts w:hint="eastAsia" w:cs="Times New Roman"/>
                      <w:b w:val="0"/>
                      <w:bCs w:val="0"/>
                      <w:color w:val="000000"/>
                      <w:sz w:val="21"/>
                      <w:szCs w:val="21"/>
                      <w:highlight w:val="none"/>
                      <w:lang w:val="en-US" w:eastAsia="zh-CN"/>
                    </w:rPr>
                    <w:t>0.5</w:t>
                  </w:r>
                  <w:r>
                    <w:rPr>
                      <w:rFonts w:ascii="Times New Roman" w:hAnsi="Times New Roman" w:cs="Times New Roman"/>
                      <w:b w:val="0"/>
                      <w:bCs w:val="0"/>
                      <w:color w:val="000000"/>
                      <w:sz w:val="21"/>
                      <w:szCs w:val="21"/>
                      <w:highlight w:val="none"/>
                    </w:rPr>
                    <w:t>mg/m</w:t>
                  </w:r>
                  <w:r>
                    <w:rPr>
                      <w:rFonts w:ascii="Times New Roman" w:hAnsi="Times New Roman" w:cs="Times New Roman"/>
                      <w:b w:val="0"/>
                      <w:bCs w:val="0"/>
                      <w:color w:val="000000"/>
                      <w:sz w:val="21"/>
                      <w:szCs w:val="21"/>
                      <w:highlight w:val="none"/>
                      <w:vertAlign w:val="superscript"/>
                    </w:rPr>
                    <w:t>3</w:t>
                  </w:r>
                  <w:r>
                    <w:rPr>
                      <w:rFonts w:hint="eastAsia" w:ascii="Times New Roman" w:hAnsi="Times New Roman"/>
                      <w:sz w:val="21"/>
                      <w:szCs w:val="21"/>
                      <w:highlight w:val="none"/>
                      <w:lang w:eastAsia="zh-CN"/>
                    </w:rPr>
                    <w:t>）</w:t>
                  </w:r>
                  <w:r>
                    <w:rPr>
                      <w:rFonts w:hint="eastAsia"/>
                      <w:sz w:val="21"/>
                      <w:szCs w:val="21"/>
                      <w:highlight w:val="none"/>
                      <w:lang w:eastAsia="zh-CN"/>
                    </w:rPr>
                    <w:t>、</w:t>
                  </w:r>
                  <w:r>
                    <w:rPr>
                      <w:rFonts w:hint="eastAsia" w:ascii="Times New Roman" w:hAnsi="Times New Roman" w:eastAsia="宋体" w:cs="Times New Roman"/>
                      <w:b w:val="0"/>
                      <w:bCs w:val="0"/>
                      <w:color w:val="000000"/>
                      <w:sz w:val="21"/>
                      <w:szCs w:val="21"/>
                      <w:highlight w:val="none"/>
                    </w:rPr>
                    <w:t>《大气污染物综合排放标准》(GB16297</w:t>
                  </w:r>
                  <w:r>
                    <w:rPr>
                      <w:rFonts w:hint="eastAsia" w:ascii="Times New Roman" w:hAnsi="Times New Roman" w:eastAsia="宋体" w:cs="Times New Roman"/>
                      <w:b w:val="0"/>
                      <w:bCs w:val="0"/>
                      <w:color w:val="000000"/>
                      <w:sz w:val="21"/>
                      <w:szCs w:val="21"/>
                      <w:highlight w:val="none"/>
                      <w:lang w:val="en-US" w:eastAsia="zh-CN"/>
                    </w:rPr>
                    <w:t>-</w:t>
                  </w:r>
                  <w:r>
                    <w:rPr>
                      <w:rFonts w:hint="eastAsia" w:ascii="Times New Roman" w:hAnsi="Times New Roman" w:eastAsia="宋体" w:cs="Times New Roman"/>
                      <w:b w:val="0"/>
                      <w:bCs w:val="0"/>
                      <w:color w:val="000000"/>
                      <w:sz w:val="21"/>
                      <w:szCs w:val="21"/>
                      <w:highlight w:val="none"/>
                    </w:rPr>
                    <w:t>1996)表2要求</w:t>
                  </w:r>
                  <w:r>
                    <w:rPr>
                      <w:rFonts w:hint="eastAsia" w:ascii="Times New Roman" w:hAnsi="Times New Roman" w:eastAsia="宋体" w:cs="Times New Roman"/>
                      <w:b w:val="0"/>
                      <w:bCs w:val="0"/>
                      <w:color w:val="000000"/>
                      <w:sz w:val="21"/>
                      <w:szCs w:val="21"/>
                      <w:highlight w:val="none"/>
                      <w:lang w:eastAsia="zh-CN"/>
                    </w:rPr>
                    <w:t>（</w:t>
                  </w:r>
                  <w:r>
                    <w:rPr>
                      <w:rFonts w:hint="eastAsia" w:ascii="Times New Roman" w:hAnsi="Times New Roman" w:eastAsia="宋体" w:cs="Times New Roman"/>
                      <w:b w:val="0"/>
                      <w:bCs w:val="0"/>
                      <w:color w:val="000000"/>
                      <w:sz w:val="21"/>
                      <w:szCs w:val="21"/>
                      <w:highlight w:val="none"/>
                    </w:rPr>
                    <w:t>颗粒物企业边界大气污染物浓度限值1.0mg/m</w:t>
                  </w:r>
                  <w:r>
                    <w:rPr>
                      <w:rFonts w:hint="eastAsia" w:ascii="Times New Roman" w:hAnsi="Times New Roman" w:eastAsia="宋体" w:cs="Times New Roman"/>
                      <w:b w:val="0"/>
                      <w:bCs w:val="0"/>
                      <w:color w:val="000000"/>
                      <w:sz w:val="21"/>
                      <w:szCs w:val="21"/>
                      <w:highlight w:val="none"/>
                      <w:vertAlign w:val="superscript"/>
                    </w:rPr>
                    <w:t>3</w:t>
                  </w:r>
                  <w:r>
                    <w:rPr>
                      <w:rFonts w:hint="eastAsia" w:ascii="Times New Roman" w:hAnsi="Times New Roman" w:eastAsia="宋体" w:cs="Times New Roman"/>
                      <w:b w:val="0"/>
                      <w:bCs w:val="0"/>
                      <w:color w:val="000000"/>
                      <w:sz w:val="21"/>
                      <w:szCs w:val="21"/>
                      <w:highlight w:val="none"/>
                      <w:lang w:eastAsia="zh-CN"/>
                    </w:rPr>
                    <w:t>）</w:t>
                  </w:r>
                </w:p>
              </w:tc>
            </w:tr>
          </w:tbl>
          <w:p w14:paraId="21C5C25F">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2" w:firstLineChars="200"/>
              <w:jc w:val="left"/>
              <w:textAlignment w:val="auto"/>
              <w:rPr>
                <w:rFonts w:hint="eastAsia" w:ascii="宋体" w:hAnsi="宋体" w:eastAsia="宋体" w:cs="宋体"/>
                <w:b/>
                <w:bCs w:val="0"/>
                <w:sz w:val="24"/>
                <w:szCs w:val="24"/>
                <w:lang w:val="en-US" w:eastAsia="zh-CN"/>
              </w:rPr>
            </w:pPr>
            <w:r>
              <w:rPr>
                <w:rFonts w:hint="default" w:ascii="Times New Roman" w:hAnsi="Times New Roman" w:cs="Times New Roman"/>
                <w:b/>
                <w:bCs w:val="0"/>
                <w:sz w:val="24"/>
                <w:lang w:val="en-US" w:eastAsia="zh-CN"/>
              </w:rPr>
              <w:t>2</w:t>
            </w:r>
            <w:r>
              <w:rPr>
                <w:rFonts w:hint="default" w:ascii="Times New Roman" w:hAnsi="Times New Roman" w:eastAsia="宋体" w:cs="Times New Roman"/>
                <w:b/>
                <w:bCs w:val="0"/>
                <w:sz w:val="24"/>
              </w:rPr>
              <w:t>、</w:t>
            </w:r>
            <w:r>
              <w:rPr>
                <w:rFonts w:hint="default" w:ascii="Times New Roman" w:hAnsi="Times New Roman" w:eastAsia="宋体" w:cs="Times New Roman"/>
                <w:b/>
                <w:bCs w:val="0"/>
                <w:sz w:val="24"/>
                <w:szCs w:val="24"/>
              </w:rPr>
              <w:t>废</w:t>
            </w:r>
            <w:r>
              <w:rPr>
                <w:rFonts w:hint="default" w:ascii="Times New Roman" w:hAnsi="Times New Roman" w:cs="Times New Roman"/>
                <w:b/>
                <w:bCs w:val="0"/>
                <w:sz w:val="24"/>
                <w:szCs w:val="24"/>
                <w:lang w:val="en-US" w:eastAsia="zh-CN"/>
              </w:rPr>
              <w:t>水</w:t>
            </w:r>
            <w:r>
              <w:rPr>
                <w:rFonts w:hint="default" w:ascii="Times New Roman" w:hAnsi="Times New Roman" w:cs="Times New Roman"/>
                <w:b/>
                <w:kern w:val="0"/>
                <w:sz w:val="24"/>
                <w:szCs w:val="24"/>
                <w:lang w:val="en-US" w:eastAsia="zh-CN"/>
              </w:rPr>
              <w:t>环境影响分析</w:t>
            </w:r>
          </w:p>
          <w:p w14:paraId="07E7C85D">
            <w:pPr>
              <w:keepNext w:val="0"/>
              <w:keepLines w:val="0"/>
              <w:pageBreakBefore w:val="0"/>
              <w:widowControl w:val="0"/>
              <w:kinsoku/>
              <w:wordWrap/>
              <w:overflowPunct/>
              <w:topLinePunct w:val="0"/>
              <w:bidi w:val="0"/>
              <w:spacing w:line="500" w:lineRule="exact"/>
              <w:ind w:firstLine="480" w:firstLineChars="200"/>
              <w:textAlignment w:val="auto"/>
              <w:rPr>
                <w:b w:val="0"/>
                <w:bCs w:val="0"/>
                <w:color w:val="000000"/>
                <w:kern w:val="0"/>
                <w:sz w:val="24"/>
              </w:rPr>
            </w:pPr>
            <w:r>
              <w:rPr>
                <w:rFonts w:hint="eastAsia"/>
                <w:b w:val="0"/>
                <w:bCs w:val="0"/>
                <w:color w:val="000000"/>
                <w:kern w:val="0"/>
                <w:sz w:val="24"/>
              </w:rPr>
              <w:t>2.1</w:t>
            </w:r>
            <w:r>
              <w:rPr>
                <w:rFonts w:hint="eastAsia"/>
                <w:b w:val="0"/>
                <w:bCs w:val="0"/>
                <w:color w:val="000000"/>
                <w:kern w:val="0"/>
                <w:sz w:val="24"/>
                <w:lang w:val="en-US" w:eastAsia="zh-CN"/>
              </w:rPr>
              <w:t>本</w:t>
            </w:r>
            <w:r>
              <w:rPr>
                <w:rFonts w:hint="eastAsia"/>
                <w:b w:val="0"/>
                <w:bCs w:val="0"/>
                <w:color w:val="000000"/>
                <w:kern w:val="0"/>
                <w:sz w:val="24"/>
                <w:lang w:eastAsia="zh-CN"/>
              </w:rPr>
              <w:t>项目</w:t>
            </w:r>
            <w:r>
              <w:rPr>
                <w:rFonts w:hint="eastAsia"/>
                <w:b w:val="0"/>
                <w:bCs w:val="0"/>
                <w:color w:val="000000"/>
                <w:kern w:val="0"/>
                <w:sz w:val="24"/>
              </w:rPr>
              <w:t>废水污染源强及治理措施</w:t>
            </w:r>
          </w:p>
          <w:p w14:paraId="5E0965C7">
            <w:pPr>
              <w:keepNext w:val="0"/>
              <w:keepLines w:val="0"/>
              <w:pageBreakBefore w:val="0"/>
              <w:widowControl w:val="0"/>
              <w:kinsoku/>
              <w:wordWrap/>
              <w:overflowPunct/>
              <w:topLinePunct w:val="0"/>
              <w:bidi w:val="0"/>
              <w:spacing w:line="500" w:lineRule="exact"/>
              <w:ind w:firstLine="480" w:firstLineChars="200"/>
              <w:textAlignment w:val="auto"/>
              <w:rPr>
                <w:color w:val="000000"/>
                <w:sz w:val="24"/>
                <w:highlight w:val="none"/>
              </w:rPr>
            </w:pPr>
            <w:r>
              <w:rPr>
                <w:rFonts w:hint="eastAsia"/>
                <w:color w:val="000000"/>
                <w:kern w:val="0"/>
                <w:sz w:val="24"/>
                <w:highlight w:val="none"/>
                <w:lang w:eastAsia="zh-CN"/>
              </w:rPr>
              <w:t>项目</w:t>
            </w:r>
            <w:r>
              <w:rPr>
                <w:rFonts w:hint="eastAsia"/>
                <w:color w:val="000000"/>
                <w:kern w:val="0"/>
                <w:sz w:val="24"/>
                <w:highlight w:val="none"/>
                <w:lang w:val="en-US" w:eastAsia="zh-CN"/>
              </w:rPr>
              <w:t>喷雾</w:t>
            </w:r>
            <w:r>
              <w:rPr>
                <w:rFonts w:hint="eastAsia"/>
                <w:color w:val="000000"/>
                <w:kern w:val="0"/>
                <w:sz w:val="24"/>
                <w:highlight w:val="none"/>
              </w:rPr>
              <w:t>降尘</w:t>
            </w:r>
            <w:r>
              <w:rPr>
                <w:color w:val="000000"/>
                <w:kern w:val="0"/>
                <w:sz w:val="24"/>
                <w:highlight w:val="none"/>
              </w:rPr>
              <w:t>用水</w:t>
            </w:r>
            <w:r>
              <w:rPr>
                <w:rFonts w:hint="eastAsia"/>
                <w:color w:val="000000"/>
                <w:kern w:val="0"/>
                <w:sz w:val="24"/>
                <w:highlight w:val="none"/>
              </w:rPr>
              <w:t>，</w:t>
            </w:r>
            <w:r>
              <w:rPr>
                <w:rFonts w:hint="eastAsia"/>
                <w:color w:val="000000"/>
                <w:kern w:val="0"/>
                <w:sz w:val="24"/>
                <w:highlight w:val="none"/>
                <w:lang w:val="en-US" w:eastAsia="zh-CN"/>
              </w:rPr>
              <w:t>筛分、水洗与脱水废水</w:t>
            </w:r>
            <w:r>
              <w:rPr>
                <w:color w:val="000000"/>
                <w:sz w:val="24"/>
                <w:highlight w:val="none"/>
              </w:rPr>
              <w:t>、车辆冲洗废水</w:t>
            </w:r>
            <w:r>
              <w:rPr>
                <w:rFonts w:hint="eastAsia"/>
                <w:color w:val="000000"/>
                <w:sz w:val="24"/>
                <w:highlight w:val="none"/>
                <w:lang w:eastAsia="zh-CN"/>
              </w:rPr>
              <w:t>、</w:t>
            </w:r>
            <w:r>
              <w:rPr>
                <w:rFonts w:hint="eastAsia"/>
                <w:color w:val="000000"/>
                <w:sz w:val="24"/>
                <w:highlight w:val="none"/>
                <w:lang w:val="en-US" w:eastAsia="zh-CN"/>
              </w:rPr>
              <w:t>水稳生产用水</w:t>
            </w:r>
            <w:r>
              <w:rPr>
                <w:rFonts w:hint="eastAsia"/>
                <w:color w:val="000000"/>
                <w:sz w:val="24"/>
                <w:highlight w:val="none"/>
                <w:lang w:eastAsia="zh-CN"/>
              </w:rPr>
              <w:t>和生活污水</w:t>
            </w:r>
            <w:r>
              <w:rPr>
                <w:color w:val="000000"/>
                <w:sz w:val="24"/>
                <w:highlight w:val="none"/>
              </w:rPr>
              <w:t>。</w:t>
            </w:r>
          </w:p>
          <w:p w14:paraId="719FEF56">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color w:val="000000"/>
                <w:sz w:val="24"/>
                <w:highlight w:val="none"/>
              </w:rPr>
            </w:pPr>
            <w:r>
              <w:rPr>
                <w:rFonts w:hint="eastAsia"/>
                <w:color w:val="000000"/>
                <w:sz w:val="24"/>
                <w:highlight w:val="none"/>
              </w:rPr>
              <w:t>（1）</w:t>
            </w:r>
            <w:r>
              <w:rPr>
                <w:rFonts w:hint="eastAsia"/>
                <w:color w:val="000000"/>
                <w:sz w:val="24"/>
                <w:highlight w:val="none"/>
                <w:lang w:val="en-US" w:eastAsia="zh-CN"/>
              </w:rPr>
              <w:t>喷雾</w:t>
            </w:r>
            <w:r>
              <w:rPr>
                <w:rFonts w:hint="eastAsia"/>
                <w:color w:val="000000"/>
                <w:sz w:val="24"/>
                <w:highlight w:val="none"/>
              </w:rPr>
              <w:t>用水与排水</w:t>
            </w:r>
          </w:p>
          <w:p w14:paraId="78D10BBB">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rFonts w:hint="default" w:eastAsia="宋体"/>
                <w:color w:val="000000"/>
                <w:sz w:val="24"/>
                <w:highlight w:val="none"/>
                <w:lang w:val="en-US" w:eastAsia="zh-CN"/>
              </w:rPr>
            </w:pPr>
            <w:r>
              <w:rPr>
                <w:rFonts w:hint="eastAsia"/>
                <w:color w:val="000000"/>
                <w:sz w:val="24"/>
                <w:highlight w:val="none"/>
                <w:lang w:val="en-US" w:eastAsia="zh-CN"/>
              </w:rPr>
              <w:t>根据厂房分布和原料</w:t>
            </w:r>
            <w:r>
              <w:rPr>
                <w:color w:val="000000"/>
                <w:sz w:val="24"/>
                <w:highlight w:val="none"/>
              </w:rPr>
              <w:t>堆存情况，建设单位在</w:t>
            </w:r>
            <w:r>
              <w:rPr>
                <w:rFonts w:hint="eastAsia"/>
                <w:color w:val="000000"/>
                <w:sz w:val="24"/>
                <w:highlight w:val="none"/>
                <w:lang w:val="en-US" w:eastAsia="zh-CN"/>
              </w:rPr>
              <w:t>砂石原材料区和水泥稳定土原材料区分别</w:t>
            </w:r>
            <w:r>
              <w:rPr>
                <w:color w:val="000000"/>
                <w:sz w:val="24"/>
                <w:highlight w:val="none"/>
              </w:rPr>
              <w:t>设置1套</w:t>
            </w:r>
            <w:r>
              <w:rPr>
                <w:rFonts w:hint="eastAsia"/>
                <w:color w:val="000000"/>
                <w:sz w:val="24"/>
                <w:highlight w:val="none"/>
              </w:rPr>
              <w:t>喷雾</w:t>
            </w:r>
            <w:r>
              <w:rPr>
                <w:color w:val="000000"/>
                <w:sz w:val="24"/>
                <w:highlight w:val="none"/>
              </w:rPr>
              <w:t>系统，</w:t>
            </w:r>
            <w:r>
              <w:rPr>
                <w:rFonts w:hint="eastAsia"/>
                <w:color w:val="000000"/>
                <w:sz w:val="24"/>
                <w:highlight w:val="none"/>
                <w:lang w:val="en-US" w:eastAsia="zh-CN"/>
              </w:rPr>
              <w:t>根据设计</w:t>
            </w:r>
            <w:r>
              <w:rPr>
                <w:color w:val="000000"/>
                <w:sz w:val="24"/>
                <w:highlight w:val="none"/>
              </w:rPr>
              <w:t>，喷头流量一般在10~15m</w:t>
            </w:r>
            <w:r>
              <w:rPr>
                <w:color w:val="000000"/>
                <w:sz w:val="24"/>
                <w:highlight w:val="none"/>
                <w:vertAlign w:val="superscript"/>
              </w:rPr>
              <w:t>3</w:t>
            </w:r>
            <w:r>
              <w:rPr>
                <w:color w:val="000000"/>
                <w:sz w:val="24"/>
                <w:highlight w:val="none"/>
              </w:rPr>
              <w:t>/h，本次取12m</w:t>
            </w:r>
            <w:r>
              <w:rPr>
                <w:color w:val="000000"/>
                <w:sz w:val="24"/>
                <w:highlight w:val="none"/>
                <w:vertAlign w:val="superscript"/>
              </w:rPr>
              <w:t>3</w:t>
            </w:r>
            <w:r>
              <w:rPr>
                <w:color w:val="000000"/>
                <w:sz w:val="24"/>
                <w:highlight w:val="none"/>
              </w:rPr>
              <w:t>/h。</w:t>
            </w:r>
            <w:r>
              <w:rPr>
                <w:rFonts w:hint="eastAsia"/>
                <w:color w:val="000000"/>
                <w:sz w:val="24"/>
                <w:highlight w:val="none"/>
              </w:rPr>
              <w:t>喷雾</w:t>
            </w:r>
            <w:r>
              <w:rPr>
                <w:color w:val="000000"/>
                <w:sz w:val="24"/>
                <w:highlight w:val="none"/>
              </w:rPr>
              <w:t>系统每天开启</w:t>
            </w:r>
            <w:r>
              <w:rPr>
                <w:rFonts w:hint="eastAsia"/>
                <w:color w:val="000000"/>
                <w:sz w:val="24"/>
                <w:highlight w:val="none"/>
                <w:lang w:val="en-US" w:eastAsia="zh-CN"/>
              </w:rPr>
              <w:t>6</w:t>
            </w:r>
            <w:r>
              <w:rPr>
                <w:rFonts w:hint="eastAsia"/>
                <w:color w:val="000000"/>
                <w:sz w:val="24"/>
                <w:highlight w:val="none"/>
              </w:rPr>
              <w:t>次，每次开启</w:t>
            </w:r>
            <w:r>
              <w:rPr>
                <w:rFonts w:hint="eastAsia"/>
                <w:color w:val="000000"/>
                <w:sz w:val="24"/>
                <w:highlight w:val="none"/>
                <w:lang w:val="en-US" w:eastAsia="zh-CN"/>
              </w:rPr>
              <w:t>1</w:t>
            </w:r>
            <w:r>
              <w:rPr>
                <w:rFonts w:hint="eastAsia"/>
                <w:color w:val="000000"/>
                <w:sz w:val="24"/>
                <w:highlight w:val="none"/>
              </w:rPr>
              <w:t>0</w:t>
            </w:r>
            <w:r>
              <w:rPr>
                <w:color w:val="000000"/>
                <w:sz w:val="24"/>
                <w:highlight w:val="none"/>
              </w:rPr>
              <w:t>min，根据计算</w:t>
            </w:r>
            <w:r>
              <w:rPr>
                <w:rFonts w:hint="eastAsia"/>
                <w:color w:val="000000"/>
                <w:sz w:val="24"/>
                <w:highlight w:val="none"/>
                <w:lang w:val="en-US" w:eastAsia="zh-CN"/>
              </w:rPr>
              <w:t>1套喷雾系统</w:t>
            </w:r>
            <w:r>
              <w:rPr>
                <w:color w:val="000000"/>
                <w:sz w:val="24"/>
                <w:highlight w:val="none"/>
              </w:rPr>
              <w:t>用水量为</w:t>
            </w:r>
            <w:r>
              <w:rPr>
                <w:rFonts w:hint="eastAsia"/>
                <w:color w:val="000000"/>
                <w:sz w:val="24"/>
                <w:highlight w:val="none"/>
                <w:lang w:val="en-US" w:eastAsia="zh-CN"/>
              </w:rPr>
              <w:t>12</w:t>
            </w:r>
            <w:r>
              <w:rPr>
                <w:color w:val="000000"/>
                <w:sz w:val="24"/>
                <w:highlight w:val="none"/>
              </w:rPr>
              <w:t>m</w:t>
            </w:r>
            <w:r>
              <w:rPr>
                <w:color w:val="000000"/>
                <w:sz w:val="24"/>
                <w:highlight w:val="none"/>
                <w:vertAlign w:val="superscript"/>
              </w:rPr>
              <w:t>3</w:t>
            </w:r>
            <w:r>
              <w:rPr>
                <w:color w:val="000000"/>
                <w:sz w:val="24"/>
                <w:highlight w:val="none"/>
              </w:rPr>
              <w:t>/d，</w:t>
            </w:r>
            <w:r>
              <w:rPr>
                <w:rFonts w:hint="eastAsia"/>
                <w:color w:val="000000"/>
                <w:sz w:val="24"/>
                <w:highlight w:val="none"/>
                <w:lang w:val="en-US" w:eastAsia="zh-CN"/>
              </w:rPr>
              <w:t>3600</w:t>
            </w:r>
            <w:r>
              <w:rPr>
                <w:color w:val="000000"/>
                <w:sz w:val="24"/>
                <w:highlight w:val="none"/>
              </w:rPr>
              <w:t>m</w:t>
            </w:r>
            <w:r>
              <w:rPr>
                <w:color w:val="000000"/>
                <w:sz w:val="24"/>
                <w:highlight w:val="none"/>
                <w:vertAlign w:val="superscript"/>
              </w:rPr>
              <w:t>3</w:t>
            </w:r>
            <w:r>
              <w:rPr>
                <w:color w:val="000000"/>
                <w:sz w:val="24"/>
                <w:highlight w:val="none"/>
              </w:rPr>
              <w:t>/a。</w:t>
            </w:r>
          </w:p>
          <w:p w14:paraId="6F46CDB9">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color w:val="000000"/>
                <w:sz w:val="24"/>
                <w:highlight w:val="none"/>
              </w:rPr>
            </w:pPr>
            <w:r>
              <w:rPr>
                <w:rFonts w:hint="eastAsia"/>
                <w:color w:val="000000"/>
                <w:sz w:val="24"/>
                <w:highlight w:val="none"/>
              </w:rPr>
              <w:t>（2）</w:t>
            </w:r>
            <w:r>
              <w:rPr>
                <w:rFonts w:hint="eastAsia"/>
                <w:color w:val="000000"/>
                <w:sz w:val="24"/>
                <w:highlight w:val="none"/>
                <w:lang w:val="en-US" w:eastAsia="zh-CN"/>
              </w:rPr>
              <w:t>筛分、水洗、脱水</w:t>
            </w:r>
            <w:r>
              <w:rPr>
                <w:rFonts w:hint="eastAsia"/>
                <w:color w:val="000000"/>
                <w:sz w:val="24"/>
                <w:highlight w:val="none"/>
              </w:rPr>
              <w:t>用水</w:t>
            </w:r>
            <w:r>
              <w:rPr>
                <w:color w:val="000000"/>
                <w:sz w:val="24"/>
                <w:highlight w:val="none"/>
              </w:rPr>
              <w:t>与排水</w:t>
            </w:r>
          </w:p>
          <w:p w14:paraId="344CE486">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sz w:val="24"/>
                <w:highlight w:val="none"/>
              </w:rPr>
            </w:pPr>
            <w:r>
              <w:rPr>
                <w:sz w:val="24"/>
                <w:szCs w:val="24"/>
                <w:highlight w:val="none"/>
                <w:u w:val="none"/>
              </w:rPr>
              <w:t>本项目</w:t>
            </w:r>
            <w:r>
              <w:rPr>
                <w:rFonts w:hint="eastAsia"/>
                <w:sz w:val="24"/>
                <w:szCs w:val="24"/>
                <w:highlight w:val="none"/>
                <w:u w:val="none"/>
                <w:lang w:val="en-US" w:eastAsia="zh-CN"/>
              </w:rPr>
              <w:t>的砂石筛分、水洗、脱水过程中</w:t>
            </w:r>
            <w:r>
              <w:rPr>
                <w:sz w:val="24"/>
                <w:szCs w:val="24"/>
                <w:highlight w:val="none"/>
                <w:u w:val="none"/>
              </w:rPr>
              <w:t>均</w:t>
            </w:r>
            <w:r>
              <w:rPr>
                <w:rFonts w:hint="eastAsia"/>
                <w:sz w:val="24"/>
                <w:szCs w:val="24"/>
                <w:highlight w:val="none"/>
                <w:u w:val="none"/>
                <w:lang w:val="en-US" w:eastAsia="zh-CN"/>
              </w:rPr>
              <w:t>会产生废</w:t>
            </w:r>
            <w:r>
              <w:rPr>
                <w:sz w:val="24"/>
                <w:szCs w:val="24"/>
                <w:highlight w:val="none"/>
                <w:u w:val="none"/>
              </w:rPr>
              <w:t>水，</w:t>
            </w:r>
            <w:r>
              <w:rPr>
                <w:rFonts w:hint="eastAsia"/>
                <w:sz w:val="24"/>
                <w:szCs w:val="24"/>
                <w:highlight w:val="none"/>
                <w:u w:val="none"/>
                <w:lang w:val="en-US" w:eastAsia="zh-CN"/>
              </w:rPr>
              <w:t>根据企业提供资料和类比</w:t>
            </w:r>
            <w:r>
              <w:rPr>
                <w:rFonts w:hint="eastAsia"/>
                <w:sz w:val="24"/>
                <w:highlight w:val="none"/>
                <w:u w:val="none"/>
                <w:lang w:eastAsia="zh-CN"/>
              </w:rPr>
              <w:t>叶县鸿鑫建材有限公司年处理30万吨废矿石再利用</w:t>
            </w:r>
            <w:r>
              <w:rPr>
                <w:rFonts w:hint="eastAsia"/>
                <w:sz w:val="24"/>
                <w:szCs w:val="24"/>
                <w:highlight w:val="none"/>
                <w:u w:val="none"/>
                <w:lang w:val="en-US" w:eastAsia="zh-CN"/>
              </w:rPr>
              <w:t>同类项目，则本项目筛分、水洗、脱水工序用水量为</w:t>
            </w:r>
            <w:r>
              <w:rPr>
                <w:rFonts w:hint="default"/>
                <w:sz w:val="24"/>
                <w:szCs w:val="24"/>
                <w:highlight w:val="none"/>
                <w:u w:val="none"/>
                <w:lang w:val="en-US" w:eastAsia="zh-CN"/>
              </w:rPr>
              <w:t>0.</w:t>
            </w:r>
            <w:r>
              <w:rPr>
                <w:rFonts w:hint="eastAsia"/>
                <w:sz w:val="24"/>
                <w:szCs w:val="24"/>
                <w:highlight w:val="none"/>
                <w:u w:val="none"/>
                <w:lang w:val="en-US" w:eastAsia="zh-CN"/>
              </w:rPr>
              <w:t>25</w:t>
            </w:r>
            <w:r>
              <w:rPr>
                <w:rFonts w:hint="default"/>
                <w:sz w:val="24"/>
                <w:szCs w:val="24"/>
                <w:highlight w:val="none"/>
                <w:u w:val="none"/>
                <w:lang w:val="en-US" w:eastAsia="zh-CN"/>
              </w:rPr>
              <w:t>m</w:t>
            </w:r>
            <w:r>
              <w:rPr>
                <w:rFonts w:hint="default"/>
                <w:sz w:val="24"/>
                <w:szCs w:val="24"/>
                <w:highlight w:val="none"/>
                <w:u w:val="none"/>
                <w:vertAlign w:val="superscript"/>
                <w:lang w:val="en-US" w:eastAsia="zh-CN"/>
              </w:rPr>
              <w:t>3</w:t>
            </w:r>
            <w:r>
              <w:rPr>
                <w:rFonts w:hint="default"/>
                <w:sz w:val="24"/>
                <w:szCs w:val="24"/>
                <w:highlight w:val="none"/>
                <w:u w:val="none"/>
                <w:lang w:val="en-US" w:eastAsia="zh-CN"/>
              </w:rPr>
              <w:t>/t</w:t>
            </w:r>
            <w:r>
              <w:rPr>
                <w:rFonts w:hint="eastAsia"/>
                <w:sz w:val="24"/>
                <w:szCs w:val="24"/>
                <w:highlight w:val="none"/>
                <w:u w:val="none"/>
                <w:lang w:val="en-US" w:eastAsia="zh-CN"/>
              </w:rPr>
              <w:t>-原料</w:t>
            </w:r>
            <w:r>
              <w:rPr>
                <w:rFonts w:hint="eastAsia"/>
                <w:sz w:val="24"/>
                <w:szCs w:val="24"/>
                <w:highlight w:val="none"/>
                <w:u w:val="none"/>
              </w:rPr>
              <w:t>，</w:t>
            </w:r>
            <w:r>
              <w:rPr>
                <w:rFonts w:hint="eastAsia"/>
                <w:sz w:val="24"/>
                <w:szCs w:val="24"/>
                <w:highlight w:val="none"/>
                <w:u w:val="none"/>
                <w:lang w:val="en-US" w:eastAsia="zh-CN"/>
              </w:rPr>
              <w:t>筛分、水洗、脱水</w:t>
            </w:r>
            <w:r>
              <w:rPr>
                <w:rFonts w:hint="eastAsia"/>
                <w:sz w:val="24"/>
                <w:szCs w:val="24"/>
                <w:highlight w:val="none"/>
                <w:u w:val="none"/>
              </w:rPr>
              <w:t>工序水的用量为</w:t>
            </w:r>
            <w:r>
              <w:rPr>
                <w:rFonts w:hint="eastAsia"/>
                <w:sz w:val="24"/>
                <w:szCs w:val="24"/>
                <w:highlight w:val="none"/>
                <w:u w:val="none"/>
                <w:lang w:val="en-US" w:eastAsia="zh-CN"/>
              </w:rPr>
              <w:t>25000</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w:t>
            </w:r>
            <w:r>
              <w:rPr>
                <w:rFonts w:hint="eastAsia"/>
                <w:sz w:val="24"/>
                <w:szCs w:val="24"/>
                <w:highlight w:val="none"/>
                <w:u w:val="none"/>
                <w:lang w:val="en-US" w:eastAsia="zh-CN"/>
              </w:rPr>
              <w:t>a（83.3</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w:t>
            </w:r>
            <w:r>
              <w:rPr>
                <w:rFonts w:hint="eastAsia"/>
                <w:sz w:val="24"/>
                <w:szCs w:val="24"/>
                <w:highlight w:val="none"/>
                <w:u w:val="none"/>
                <w:lang w:val="en-US" w:eastAsia="zh-CN"/>
              </w:rPr>
              <w:t>d），筛分、水洗、脱水</w:t>
            </w:r>
            <w:r>
              <w:rPr>
                <w:rFonts w:hint="eastAsia"/>
                <w:sz w:val="24"/>
                <w:szCs w:val="24"/>
                <w:highlight w:val="none"/>
                <w:u w:val="none"/>
              </w:rPr>
              <w:t>过程中水损耗</w:t>
            </w:r>
            <w:r>
              <w:rPr>
                <w:rFonts w:hint="eastAsia"/>
                <w:sz w:val="24"/>
                <w:szCs w:val="24"/>
                <w:highlight w:val="none"/>
                <w:u w:val="none"/>
                <w:lang w:val="en-US" w:eastAsia="zh-CN"/>
              </w:rPr>
              <w:t>31</w:t>
            </w:r>
            <w:r>
              <w:rPr>
                <w:rFonts w:hint="eastAsia"/>
                <w:sz w:val="24"/>
                <w:szCs w:val="24"/>
                <w:highlight w:val="none"/>
                <w:u w:val="none"/>
              </w:rPr>
              <w:t>%</w:t>
            </w:r>
            <w:r>
              <w:rPr>
                <w:rFonts w:hint="eastAsia"/>
                <w:sz w:val="24"/>
                <w:szCs w:val="24"/>
                <w:highlight w:val="none"/>
                <w:u w:val="none"/>
                <w:lang w:eastAsia="zh-CN"/>
              </w:rPr>
              <w:t>（</w:t>
            </w:r>
            <w:r>
              <w:rPr>
                <w:rFonts w:hint="eastAsia"/>
                <w:sz w:val="24"/>
                <w:szCs w:val="24"/>
                <w:highlight w:val="none"/>
                <w:u w:val="none"/>
                <w:lang w:val="en-US" w:eastAsia="zh-CN"/>
              </w:rPr>
              <w:t>①蒸发损耗按1%，②成品砂石带走的水分按10%，③底泥带走水分按20%，底泥含水率为25%，则底泥含水量约为5000m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/a，经压滤机脱水后，泥饼含水量约为10%，本项目干泥饼量为原材料用量的0.01%，本项目年处理10万吨原材料，项目干泥饼产生量为10t/a，则压滤后泥饼带走水量约为1m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/a</w:t>
            </w:r>
            <w:r>
              <w:rPr>
                <w:rFonts w:hint="eastAsia"/>
                <w:sz w:val="24"/>
                <w:szCs w:val="24"/>
                <w:highlight w:val="none"/>
                <w:u w:val="none"/>
                <w:lang w:eastAsia="zh-CN"/>
              </w:rPr>
              <w:t>）</w:t>
            </w:r>
            <w:r>
              <w:rPr>
                <w:rFonts w:hint="eastAsia"/>
                <w:sz w:val="24"/>
                <w:szCs w:val="24"/>
                <w:highlight w:val="none"/>
                <w:u w:val="none"/>
              </w:rPr>
              <w:t>，</w:t>
            </w:r>
            <w:r>
              <w:rPr>
                <w:rFonts w:hint="eastAsia"/>
                <w:sz w:val="24"/>
                <w:szCs w:val="24"/>
                <w:highlight w:val="none"/>
                <w:u w:val="none"/>
                <w:lang w:val="en-US" w:eastAsia="zh-CN"/>
              </w:rPr>
              <w:t>经过损耗则本项目筛分、水洗、脱水需要的新鲜水补充量为9.17m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/d，2751m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/a</w:t>
            </w:r>
            <w:r>
              <w:rPr>
                <w:rFonts w:hint="eastAsia"/>
                <w:sz w:val="24"/>
                <w:szCs w:val="24"/>
                <w:highlight w:val="none"/>
                <w:u w:val="none"/>
              </w:rPr>
              <w:t>。</w:t>
            </w:r>
            <w:r>
              <w:rPr>
                <w:rFonts w:hint="eastAsia"/>
                <w:sz w:val="24"/>
                <w:szCs w:val="24"/>
                <w:highlight w:val="none"/>
                <w:u w:val="none"/>
                <w:lang w:val="en-US" w:eastAsia="zh-CN"/>
              </w:rPr>
              <w:t>筛分、水洗、脱水工序产生的</w:t>
            </w:r>
            <w:r>
              <w:rPr>
                <w:rFonts w:hint="eastAsia"/>
                <w:sz w:val="24"/>
                <w:highlight w:val="none"/>
                <w:u w:val="none"/>
              </w:rPr>
              <w:t>废水量为</w:t>
            </w:r>
            <w:r>
              <w:rPr>
                <w:rFonts w:hint="eastAsia"/>
                <w:sz w:val="24"/>
                <w:highlight w:val="none"/>
                <w:u w:val="none"/>
                <w:lang w:val="en-US" w:eastAsia="zh-CN"/>
              </w:rPr>
              <w:t>74.16</w:t>
            </w:r>
            <w:r>
              <w:rPr>
                <w:rFonts w:hint="eastAsia"/>
                <w:sz w:val="24"/>
                <w:highlight w:val="none"/>
                <w:u w:val="none"/>
              </w:rPr>
              <w:t>m</w:t>
            </w:r>
            <w:r>
              <w:rPr>
                <w:rFonts w:hint="eastAsia"/>
                <w:sz w:val="24"/>
                <w:highlight w:val="none"/>
                <w:u w:val="none"/>
                <w:vertAlign w:val="superscript"/>
              </w:rPr>
              <w:t>3</w:t>
            </w:r>
            <w:r>
              <w:rPr>
                <w:rFonts w:hint="eastAsia"/>
                <w:sz w:val="24"/>
                <w:highlight w:val="none"/>
                <w:u w:val="none"/>
              </w:rPr>
              <w:t>/d</w:t>
            </w:r>
            <w:r>
              <w:rPr>
                <w:rFonts w:hint="eastAsia"/>
                <w:sz w:val="24"/>
                <w:highlight w:val="none"/>
                <w:u w:val="none"/>
                <w:lang w:eastAsia="zh-CN"/>
              </w:rPr>
              <w:t>（</w:t>
            </w:r>
            <w:r>
              <w:rPr>
                <w:rFonts w:hint="eastAsia"/>
                <w:sz w:val="24"/>
                <w:szCs w:val="24"/>
                <w:highlight w:val="none"/>
                <w:u w:val="none"/>
                <w:lang w:val="en-US" w:eastAsia="zh-CN"/>
              </w:rPr>
              <w:t>22249m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/a），</w:t>
            </w:r>
            <w:r>
              <w:rPr>
                <w:rFonts w:hint="eastAsia"/>
                <w:sz w:val="24"/>
                <w:highlight w:val="none"/>
                <w:u w:val="none"/>
              </w:rPr>
              <w:t>产生的废水经</w:t>
            </w:r>
            <w:r>
              <w:rPr>
                <w:rFonts w:hint="eastAsia"/>
                <w:sz w:val="24"/>
                <w:highlight w:val="none"/>
                <w:u w:val="none"/>
                <w:lang w:val="en-US" w:eastAsia="zh-CN"/>
              </w:rPr>
              <w:t>过污水池和沉淀罐</w:t>
            </w:r>
            <w:r>
              <w:rPr>
                <w:rFonts w:hint="eastAsia"/>
                <w:sz w:val="24"/>
                <w:highlight w:val="none"/>
                <w:u w:val="none"/>
                <w:lang w:eastAsia="zh-CN"/>
              </w:rPr>
              <w:t>浓缩沉淀</w:t>
            </w:r>
            <w:r>
              <w:rPr>
                <w:rFonts w:hint="eastAsia"/>
                <w:sz w:val="24"/>
                <w:highlight w:val="none"/>
                <w:u w:val="none"/>
              </w:rPr>
              <w:t>后，上清液流至清水池循环利用回用于生产，不外排。</w:t>
            </w:r>
          </w:p>
          <w:p w14:paraId="72A71954">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3</w:t>
            </w:r>
            <w:r>
              <w:rPr>
                <w:rFonts w:hint="eastAsia"/>
                <w:color w:val="000000"/>
                <w:sz w:val="24"/>
                <w:highlight w:val="none"/>
              </w:rPr>
              <w:t>）</w:t>
            </w:r>
            <w:r>
              <w:rPr>
                <w:rFonts w:hint="eastAsia"/>
                <w:color w:val="000000"/>
                <w:sz w:val="24"/>
                <w:highlight w:val="none"/>
                <w:lang w:val="en-US" w:eastAsia="zh-CN"/>
              </w:rPr>
              <w:t>水泥稳定土</w:t>
            </w:r>
            <w:r>
              <w:rPr>
                <w:rFonts w:hint="eastAsia"/>
                <w:color w:val="000000"/>
                <w:sz w:val="24"/>
                <w:highlight w:val="none"/>
              </w:rPr>
              <w:t>用水</w:t>
            </w:r>
          </w:p>
          <w:p w14:paraId="1EB43011">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sz w:val="24"/>
                <w:highlight w:val="none"/>
              </w:rPr>
            </w:pPr>
            <w:r>
              <w:rPr>
                <w:sz w:val="24"/>
                <w:szCs w:val="24"/>
                <w:highlight w:val="none"/>
                <w:u w:val="none"/>
              </w:rPr>
              <w:t>本项目</w:t>
            </w:r>
            <w:r>
              <w:rPr>
                <w:rFonts w:hint="eastAsia"/>
                <w:sz w:val="24"/>
                <w:szCs w:val="24"/>
                <w:highlight w:val="none"/>
                <w:u w:val="none"/>
                <w:lang w:val="en-US" w:eastAsia="zh-CN"/>
              </w:rPr>
              <w:t>的水稳在搅拌时会少量多次的加入水，水和其他原料混合搅拌，搅拌后得到成品，水稳年产20万吨，加入水的用量约占原料的10%，其中水稳</w:t>
            </w:r>
            <w:r>
              <w:rPr>
                <w:rFonts w:hint="eastAsia"/>
                <w:sz w:val="24"/>
                <w:szCs w:val="24"/>
                <w:highlight w:val="none"/>
                <w:u w:val="none"/>
              </w:rPr>
              <w:t>用量为</w:t>
            </w:r>
            <w:r>
              <w:rPr>
                <w:rFonts w:hint="eastAsia"/>
                <w:sz w:val="24"/>
                <w:szCs w:val="24"/>
                <w:highlight w:val="none"/>
                <w:u w:val="none"/>
                <w:lang w:val="en-US" w:eastAsia="zh-CN"/>
              </w:rPr>
              <w:t>20000</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w:t>
            </w:r>
            <w:r>
              <w:rPr>
                <w:rFonts w:hint="eastAsia"/>
                <w:sz w:val="24"/>
                <w:szCs w:val="24"/>
                <w:highlight w:val="none"/>
                <w:u w:val="none"/>
                <w:lang w:val="en-US" w:eastAsia="zh-CN"/>
              </w:rPr>
              <w:t>a，用于的搅拌的水存在于产品本身，不外排。</w:t>
            </w:r>
          </w:p>
          <w:p w14:paraId="705EA391">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4</w:t>
            </w:r>
            <w:r>
              <w:rPr>
                <w:rFonts w:hint="eastAsia"/>
                <w:color w:val="000000"/>
                <w:sz w:val="24"/>
                <w:highlight w:val="none"/>
              </w:rPr>
              <w:t>）</w:t>
            </w:r>
            <w:r>
              <w:rPr>
                <w:color w:val="000000"/>
                <w:sz w:val="24"/>
                <w:highlight w:val="none"/>
              </w:rPr>
              <w:t>车辆冲洗</w:t>
            </w:r>
            <w:r>
              <w:rPr>
                <w:rFonts w:hint="eastAsia"/>
                <w:color w:val="000000"/>
                <w:sz w:val="24"/>
                <w:highlight w:val="none"/>
              </w:rPr>
              <w:t>用水</w:t>
            </w:r>
            <w:r>
              <w:rPr>
                <w:color w:val="000000"/>
                <w:sz w:val="24"/>
                <w:highlight w:val="none"/>
              </w:rPr>
              <w:t>及排水</w:t>
            </w:r>
          </w:p>
          <w:p w14:paraId="7F373EEF">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rFonts w:hint="eastAsia" w:eastAsia="宋体"/>
                <w:sz w:val="24"/>
                <w:highlight w:val="none"/>
                <w:u w:val="none"/>
                <w:lang w:eastAsia="zh-CN"/>
              </w:rPr>
            </w:pPr>
            <w:r>
              <w:rPr>
                <w:sz w:val="24"/>
                <w:szCs w:val="24"/>
                <w:highlight w:val="none"/>
                <w:u w:val="none"/>
              </w:rPr>
              <w:t>项目年运输原料</w:t>
            </w:r>
            <w:r>
              <w:rPr>
                <w:rFonts w:hint="eastAsia"/>
                <w:sz w:val="24"/>
                <w:szCs w:val="24"/>
                <w:highlight w:val="none"/>
                <w:u w:val="none"/>
                <w:lang w:val="en-US" w:eastAsia="zh-CN"/>
              </w:rPr>
              <w:t>或成品由汽车运输，需要冲洗车辆运货量按600000</w:t>
            </w:r>
            <w:r>
              <w:rPr>
                <w:sz w:val="24"/>
                <w:szCs w:val="24"/>
                <w:highlight w:val="none"/>
                <w:u w:val="none"/>
              </w:rPr>
              <w:t>吨</w:t>
            </w:r>
            <w:r>
              <w:rPr>
                <w:rFonts w:hint="eastAsia"/>
                <w:sz w:val="24"/>
                <w:szCs w:val="24"/>
                <w:highlight w:val="none"/>
                <w:u w:val="none"/>
                <w:lang w:val="en-US" w:eastAsia="zh-CN"/>
              </w:rPr>
              <w:t>来计</w:t>
            </w:r>
            <w:r>
              <w:rPr>
                <w:sz w:val="24"/>
                <w:szCs w:val="24"/>
                <w:highlight w:val="none"/>
                <w:u w:val="none"/>
              </w:rPr>
              <w:t>，</w:t>
            </w:r>
            <w:r>
              <w:rPr>
                <w:rFonts w:hint="eastAsia"/>
                <w:sz w:val="24"/>
                <w:szCs w:val="24"/>
                <w:highlight w:val="none"/>
                <w:u w:val="none"/>
                <w:lang w:val="en-US" w:eastAsia="zh-CN"/>
              </w:rPr>
              <w:t>运输车平均载重量按30t考虑，运输车辆为20000辆次/a，</w:t>
            </w:r>
            <w:r>
              <w:rPr>
                <w:rFonts w:hint="eastAsia"/>
                <w:sz w:val="24"/>
                <w:szCs w:val="24"/>
                <w:highlight w:val="none"/>
                <w:u w:val="none"/>
              </w:rPr>
              <w:t>年工作3</w:t>
            </w:r>
            <w:r>
              <w:rPr>
                <w:rFonts w:hint="eastAsia"/>
                <w:sz w:val="24"/>
                <w:szCs w:val="24"/>
                <w:highlight w:val="none"/>
                <w:u w:val="none"/>
                <w:lang w:val="en-US" w:eastAsia="zh-CN"/>
              </w:rPr>
              <w:t>0</w:t>
            </w:r>
            <w:r>
              <w:rPr>
                <w:rFonts w:hint="eastAsia"/>
                <w:sz w:val="24"/>
                <w:szCs w:val="24"/>
                <w:highlight w:val="none"/>
                <w:u w:val="none"/>
              </w:rPr>
              <w:t>0天，根</w:t>
            </w:r>
            <w:r>
              <w:rPr>
                <w:rFonts w:hint="eastAsia"/>
                <w:sz w:val="24"/>
                <w:szCs w:val="24"/>
                <w:highlight w:val="none"/>
                <w:u w:val="none"/>
                <w:lang w:val="en-US" w:eastAsia="zh-CN"/>
              </w:rPr>
              <w:t>据</w:t>
            </w:r>
            <w:r>
              <w:rPr>
                <w:rFonts w:hint="default" w:ascii="Times New Roman" w:hAnsi="Times New Roman" w:eastAsia="宋体" w:cs="Times New Roman"/>
                <w:color w:val="auto"/>
                <w:kern w:val="2"/>
                <w:sz w:val="24"/>
                <w:highlight w:val="none"/>
                <w:u w:val="none"/>
                <w:lang w:val="en-US" w:eastAsia="zh-CN" w:bidi="ar-SA"/>
              </w:rPr>
              <w:t>河南省地方标准《工业与城镇生活用水定额》（DB41/T385-2020）</w:t>
            </w:r>
            <w:r>
              <w:rPr>
                <w:rFonts w:hint="eastAsia"/>
                <w:sz w:val="24"/>
                <w:szCs w:val="24"/>
                <w:highlight w:val="none"/>
                <w:u w:val="none"/>
              </w:rPr>
              <w:t>中“6.</w:t>
            </w:r>
            <w:r>
              <w:rPr>
                <w:rFonts w:hint="eastAsia"/>
                <w:sz w:val="24"/>
                <w:szCs w:val="24"/>
                <w:highlight w:val="none"/>
                <w:u w:val="none"/>
                <w:lang w:val="en-US" w:eastAsia="zh-CN"/>
              </w:rPr>
              <w:t xml:space="preserve">5 </w:t>
            </w:r>
            <w:r>
              <w:rPr>
                <w:rFonts w:hint="eastAsia"/>
                <w:sz w:val="24"/>
                <w:szCs w:val="24"/>
                <w:highlight w:val="none"/>
                <w:u w:val="none"/>
              </w:rPr>
              <w:t>居民服务、修理和其他服务业”表4</w:t>
            </w:r>
            <w:r>
              <w:rPr>
                <w:rFonts w:hint="eastAsia"/>
                <w:sz w:val="24"/>
                <w:szCs w:val="24"/>
                <w:highlight w:val="none"/>
                <w:u w:val="none"/>
                <w:lang w:val="en-US" w:eastAsia="zh-CN"/>
              </w:rPr>
              <w:t xml:space="preserve">4 </w:t>
            </w:r>
            <w:r>
              <w:rPr>
                <w:rFonts w:hint="eastAsia"/>
                <w:sz w:val="24"/>
                <w:szCs w:val="24"/>
                <w:highlight w:val="none"/>
                <w:u w:val="none"/>
              </w:rPr>
              <w:t>大</w:t>
            </w:r>
            <w:r>
              <w:rPr>
                <w:rFonts w:hint="eastAsia"/>
                <w:sz w:val="24"/>
                <w:szCs w:val="24"/>
                <w:highlight w:val="none"/>
                <w:u w:val="none"/>
                <w:lang w:val="en-US" w:eastAsia="zh-CN"/>
              </w:rPr>
              <w:t>中</w:t>
            </w:r>
            <w:r>
              <w:rPr>
                <w:rFonts w:hint="eastAsia"/>
                <w:sz w:val="24"/>
                <w:szCs w:val="24"/>
                <w:highlight w:val="none"/>
                <w:u w:val="none"/>
              </w:rPr>
              <w:t>型车冲洗用水定额为70L/（辆·次），则</w:t>
            </w:r>
            <w:r>
              <w:rPr>
                <w:rFonts w:hint="eastAsia"/>
                <w:sz w:val="24"/>
                <w:szCs w:val="24"/>
                <w:highlight w:val="none"/>
                <w:u w:val="none"/>
                <w:lang w:val="en-US" w:eastAsia="zh-CN"/>
              </w:rPr>
              <w:t>本</w:t>
            </w:r>
            <w:r>
              <w:rPr>
                <w:rFonts w:hint="eastAsia"/>
                <w:sz w:val="24"/>
                <w:szCs w:val="24"/>
                <w:highlight w:val="none"/>
                <w:u w:val="none"/>
              </w:rPr>
              <w:t>项目车辆冲洗用水量约为</w:t>
            </w:r>
            <w:r>
              <w:rPr>
                <w:rFonts w:hint="eastAsia"/>
                <w:sz w:val="24"/>
                <w:szCs w:val="24"/>
                <w:highlight w:val="none"/>
                <w:u w:val="none"/>
                <w:lang w:val="en-US" w:eastAsia="zh-CN"/>
              </w:rPr>
              <w:t>4.66</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/d</w:t>
            </w:r>
            <w:r>
              <w:rPr>
                <w:rFonts w:hint="eastAsia"/>
                <w:sz w:val="24"/>
                <w:szCs w:val="24"/>
                <w:highlight w:val="none"/>
                <w:u w:val="none"/>
                <w:lang w:eastAsia="zh-CN"/>
              </w:rPr>
              <w:t>，</w:t>
            </w:r>
            <w:r>
              <w:rPr>
                <w:rFonts w:hint="eastAsia"/>
                <w:sz w:val="24"/>
                <w:szCs w:val="24"/>
                <w:highlight w:val="none"/>
                <w:u w:val="none"/>
                <w:lang w:val="en-US" w:eastAsia="zh-CN"/>
              </w:rPr>
              <w:t>1400</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/a</w:t>
            </w:r>
            <w:r>
              <w:rPr>
                <w:rFonts w:hint="eastAsia"/>
                <w:sz w:val="24"/>
                <w:szCs w:val="24"/>
                <w:highlight w:val="none"/>
                <w:u w:val="none"/>
                <w:lang w:eastAsia="zh-CN"/>
              </w:rPr>
              <w:t>，</w:t>
            </w:r>
            <w:r>
              <w:rPr>
                <w:rFonts w:hint="eastAsia"/>
                <w:sz w:val="24"/>
                <w:szCs w:val="24"/>
                <w:highlight w:val="none"/>
                <w:u w:val="none"/>
                <w:lang w:val="en-US" w:eastAsia="zh-CN"/>
              </w:rPr>
              <w:t>车辆冲洗废水</w:t>
            </w:r>
            <w:r>
              <w:rPr>
                <w:rFonts w:hint="eastAsia"/>
                <w:sz w:val="24"/>
                <w:highlight w:val="none"/>
                <w:u w:val="none"/>
              </w:rPr>
              <w:t>损耗按20%计算，</w:t>
            </w:r>
            <w:r>
              <w:rPr>
                <w:rFonts w:hint="eastAsia"/>
                <w:sz w:val="24"/>
                <w:highlight w:val="none"/>
                <w:u w:val="none"/>
                <w:lang w:val="en-US" w:eastAsia="zh-CN"/>
              </w:rPr>
              <w:t>那么</w:t>
            </w:r>
            <w:r>
              <w:rPr>
                <w:rFonts w:hint="eastAsia"/>
                <w:sz w:val="24"/>
                <w:highlight w:val="none"/>
                <w:u w:val="none"/>
              </w:rPr>
              <w:t>产生</w:t>
            </w:r>
            <w:r>
              <w:rPr>
                <w:rFonts w:hint="eastAsia"/>
                <w:sz w:val="24"/>
                <w:highlight w:val="none"/>
                <w:u w:val="none"/>
                <w:lang w:val="en-US" w:eastAsia="zh-CN"/>
              </w:rPr>
              <w:t>回用的</w:t>
            </w:r>
            <w:r>
              <w:rPr>
                <w:rFonts w:hint="eastAsia"/>
                <w:sz w:val="24"/>
                <w:highlight w:val="none"/>
                <w:u w:val="none"/>
              </w:rPr>
              <w:t>废水量为</w:t>
            </w:r>
            <w:r>
              <w:rPr>
                <w:rFonts w:hint="eastAsia"/>
                <w:sz w:val="24"/>
                <w:highlight w:val="none"/>
                <w:u w:val="none"/>
                <w:lang w:val="en-US" w:eastAsia="zh-CN"/>
              </w:rPr>
              <w:t>3.73</w:t>
            </w:r>
            <w:r>
              <w:rPr>
                <w:rFonts w:hint="eastAsia"/>
                <w:sz w:val="24"/>
                <w:highlight w:val="none"/>
                <w:u w:val="none"/>
              </w:rPr>
              <w:t>m</w:t>
            </w:r>
            <w:r>
              <w:rPr>
                <w:rFonts w:hint="eastAsia"/>
                <w:sz w:val="24"/>
                <w:highlight w:val="none"/>
                <w:u w:val="none"/>
                <w:vertAlign w:val="superscript"/>
              </w:rPr>
              <w:t>3</w:t>
            </w:r>
            <w:r>
              <w:rPr>
                <w:rFonts w:hint="eastAsia"/>
                <w:sz w:val="24"/>
                <w:highlight w:val="none"/>
                <w:u w:val="none"/>
              </w:rPr>
              <w:t>/d</w:t>
            </w:r>
            <w:r>
              <w:rPr>
                <w:rFonts w:hint="eastAsia"/>
                <w:sz w:val="24"/>
                <w:highlight w:val="none"/>
                <w:u w:val="none"/>
                <w:lang w:eastAsia="zh-CN"/>
              </w:rPr>
              <w:t>，</w:t>
            </w:r>
            <w:r>
              <w:rPr>
                <w:rFonts w:hint="eastAsia"/>
                <w:sz w:val="24"/>
                <w:highlight w:val="none"/>
                <w:u w:val="none"/>
                <w:lang w:val="en-US" w:eastAsia="zh-CN"/>
              </w:rPr>
              <w:t>1120</w:t>
            </w:r>
            <w:r>
              <w:rPr>
                <w:rFonts w:hint="eastAsia"/>
                <w:sz w:val="24"/>
                <w:highlight w:val="none"/>
                <w:u w:val="none"/>
              </w:rPr>
              <w:t>m</w:t>
            </w:r>
            <w:r>
              <w:rPr>
                <w:rFonts w:hint="eastAsia"/>
                <w:sz w:val="24"/>
                <w:highlight w:val="none"/>
                <w:u w:val="none"/>
                <w:vertAlign w:val="superscript"/>
              </w:rPr>
              <w:t>3</w:t>
            </w:r>
            <w:r>
              <w:rPr>
                <w:rFonts w:hint="eastAsia"/>
                <w:sz w:val="24"/>
                <w:highlight w:val="none"/>
                <w:u w:val="none"/>
              </w:rPr>
              <w:t>/a</w:t>
            </w:r>
            <w:r>
              <w:rPr>
                <w:rFonts w:hint="eastAsia"/>
                <w:sz w:val="24"/>
                <w:highlight w:val="none"/>
                <w:u w:val="none"/>
                <w:lang w:eastAsia="zh-CN"/>
              </w:rPr>
              <w:t>，</w:t>
            </w:r>
            <w:r>
              <w:rPr>
                <w:rFonts w:hint="eastAsia"/>
                <w:sz w:val="24"/>
                <w:highlight w:val="none"/>
                <w:u w:val="none"/>
                <w:lang w:val="en-US" w:eastAsia="zh-CN"/>
              </w:rPr>
              <w:t>在厂区内设置</w:t>
            </w:r>
            <w:r>
              <w:rPr>
                <w:rFonts w:hint="eastAsia"/>
                <w:sz w:val="24"/>
                <w:highlight w:val="none"/>
                <w:u w:val="none"/>
                <w:lang w:eastAsia="zh-CN"/>
              </w:rPr>
              <w:t>车辆冲洗装置及沉淀池（</w:t>
            </w:r>
            <w:r>
              <w:rPr>
                <w:rFonts w:hint="eastAsia"/>
                <w:sz w:val="24"/>
                <w:highlight w:val="none"/>
                <w:u w:val="none"/>
                <w:lang w:val="en-US" w:eastAsia="zh-CN"/>
              </w:rPr>
              <w:t>5m</w:t>
            </w:r>
            <w:r>
              <w:rPr>
                <w:rFonts w:hint="eastAsia"/>
                <w:sz w:val="24"/>
                <w:highlight w:val="none"/>
                <w:u w:val="none"/>
                <w:vertAlign w:val="superscript"/>
                <w:lang w:val="en-US" w:eastAsia="zh-CN"/>
              </w:rPr>
              <w:t>3</w:t>
            </w:r>
            <w:r>
              <w:rPr>
                <w:rFonts w:hint="eastAsia"/>
                <w:sz w:val="24"/>
                <w:highlight w:val="none"/>
                <w:u w:val="none"/>
                <w:lang w:eastAsia="zh-CN"/>
              </w:rPr>
              <w:t>），</w:t>
            </w:r>
            <w:r>
              <w:rPr>
                <w:rFonts w:hint="eastAsia"/>
                <w:sz w:val="24"/>
                <w:highlight w:val="none"/>
                <w:u w:val="none"/>
                <w:lang w:val="en-US" w:eastAsia="zh-CN"/>
              </w:rPr>
              <w:t>车辆冲洗废水</w:t>
            </w:r>
            <w:r>
              <w:rPr>
                <w:rFonts w:hint="eastAsia"/>
                <w:sz w:val="24"/>
                <w:highlight w:val="none"/>
                <w:u w:val="none"/>
                <w:lang w:eastAsia="zh-CN"/>
              </w:rPr>
              <w:t>经</w:t>
            </w:r>
            <w:r>
              <w:rPr>
                <w:rFonts w:hint="eastAsia"/>
                <w:sz w:val="24"/>
                <w:highlight w:val="none"/>
                <w:u w:val="none"/>
                <w:lang w:val="en-US" w:eastAsia="zh-CN"/>
              </w:rPr>
              <w:t>过</w:t>
            </w:r>
            <w:r>
              <w:rPr>
                <w:rFonts w:hint="eastAsia"/>
                <w:sz w:val="24"/>
                <w:highlight w:val="none"/>
                <w:u w:val="none"/>
                <w:lang w:eastAsia="zh-CN"/>
              </w:rPr>
              <w:t>沉淀池沉淀后</w:t>
            </w:r>
            <w:r>
              <w:rPr>
                <w:rFonts w:hint="eastAsia"/>
                <w:sz w:val="24"/>
                <w:highlight w:val="none"/>
                <w:u w:val="none"/>
                <w:lang w:val="en-US" w:eastAsia="zh-CN"/>
              </w:rPr>
              <w:t>继续</w:t>
            </w:r>
            <w:r>
              <w:rPr>
                <w:rFonts w:hint="eastAsia"/>
                <w:sz w:val="24"/>
                <w:highlight w:val="none"/>
                <w:u w:val="none"/>
                <w:lang w:eastAsia="zh-CN"/>
              </w:rPr>
              <w:t>回用，不外排。</w:t>
            </w:r>
          </w:p>
          <w:p w14:paraId="784DD046">
            <w:pPr>
              <w:keepNext w:val="0"/>
              <w:keepLines w:val="0"/>
              <w:pageBreakBefore w:val="0"/>
              <w:widowControl w:val="0"/>
              <w:numPr>
                <w:ilvl w:val="0"/>
                <w:numId w:val="0"/>
              </w:numPr>
              <w:kinsoku/>
              <w:wordWrap/>
              <w:overflowPunct/>
              <w:topLinePunct w:val="0"/>
              <w:bidi w:val="0"/>
              <w:adjustRightInd w:val="0"/>
              <w:snapToGrid w:val="0"/>
              <w:spacing w:line="500" w:lineRule="exact"/>
              <w:ind w:firstLine="480" w:firstLineChars="200"/>
              <w:textAlignment w:val="auto"/>
              <w:rPr>
                <w:rFonts w:hint="eastAsia" w:ascii="Times New Roman" w:hAnsi="Times New Roman" w:eastAsia="宋体" w:cs="Times New Roman"/>
                <w:color w:val="000000"/>
                <w:sz w:val="24"/>
                <w:highlight w:val="none"/>
                <w:lang w:eastAsia="zh-CN"/>
              </w:rPr>
            </w:pPr>
            <w:r>
              <w:rPr>
                <w:rFonts w:hint="eastAsia" w:ascii="Times New Roman" w:hAnsi="Times New Roman" w:eastAsia="宋体" w:cs="Times New Roman"/>
                <w:color w:val="000000"/>
                <w:kern w:val="2"/>
                <w:sz w:val="24"/>
                <w:szCs w:val="21"/>
                <w:highlight w:val="none"/>
                <w:lang w:val="en-US" w:eastAsia="zh-CN" w:bidi="ar-SA"/>
              </w:rPr>
              <w:t>（</w:t>
            </w:r>
            <w:r>
              <w:rPr>
                <w:rFonts w:hint="eastAsia" w:cs="Times New Roman"/>
                <w:color w:val="000000"/>
                <w:kern w:val="2"/>
                <w:sz w:val="24"/>
                <w:szCs w:val="21"/>
                <w:highlight w:val="none"/>
                <w:lang w:val="en-US" w:eastAsia="zh-CN" w:bidi="ar-SA"/>
              </w:rPr>
              <w:t>5</w:t>
            </w:r>
            <w:r>
              <w:rPr>
                <w:rFonts w:hint="eastAsia" w:ascii="Times New Roman" w:hAnsi="Times New Roman" w:eastAsia="宋体" w:cs="Times New Roman"/>
                <w:color w:val="000000"/>
                <w:kern w:val="2"/>
                <w:sz w:val="24"/>
                <w:szCs w:val="21"/>
                <w:highlight w:val="none"/>
                <w:lang w:val="en-US" w:eastAsia="zh-CN" w:bidi="ar-SA"/>
              </w:rPr>
              <w:t>）</w:t>
            </w:r>
            <w:r>
              <w:rPr>
                <w:rFonts w:hint="eastAsia" w:ascii="Times New Roman" w:hAnsi="Times New Roman" w:eastAsia="宋体" w:cs="Times New Roman"/>
                <w:color w:val="000000"/>
                <w:sz w:val="24"/>
                <w:highlight w:val="none"/>
                <w:lang w:eastAsia="zh-CN"/>
              </w:rPr>
              <w:t>生活用水及排水</w:t>
            </w:r>
          </w:p>
          <w:p w14:paraId="03D85CFA">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eastAsia="宋体" w:cs="Times New Roman"/>
                <w:color w:val="auto"/>
                <w:kern w:val="2"/>
                <w:sz w:val="24"/>
                <w:highlight w:val="none"/>
                <w:lang w:val="en-US" w:eastAsia="zh-CN" w:bidi="ar-SA"/>
              </w:rPr>
            </w:pPr>
            <w:r>
              <w:rPr>
                <w:sz w:val="24"/>
                <w:highlight w:val="none"/>
              </w:rPr>
              <w:t>厂区内生活污水主要为职工日常生活用水。该项目共有工作人员</w:t>
            </w:r>
            <w:r>
              <w:rPr>
                <w:rFonts w:hint="eastAsia"/>
                <w:sz w:val="24"/>
                <w:highlight w:val="none"/>
                <w:lang w:val="en-US" w:eastAsia="zh-CN"/>
              </w:rPr>
              <w:t>15</w:t>
            </w:r>
            <w:r>
              <w:rPr>
                <w:sz w:val="24"/>
                <w:highlight w:val="none"/>
              </w:rPr>
              <w:t>人，均不在厂区内住宿，根据</w:t>
            </w:r>
            <w:r>
              <w:rPr>
                <w:rFonts w:hint="default" w:ascii="Times New Roman" w:hAnsi="Times New Roman" w:eastAsia="宋体" w:cs="Times New Roman"/>
                <w:color w:val="auto"/>
                <w:kern w:val="2"/>
                <w:sz w:val="24"/>
                <w:highlight w:val="none"/>
                <w:lang w:val="en-US" w:eastAsia="zh-CN" w:bidi="ar-SA"/>
              </w:rPr>
              <w:t>河南省地方标准《工业与城镇生活用水定额》（DB41/T385-2020）</w:t>
            </w:r>
            <w:r>
              <w:rPr>
                <w:sz w:val="24"/>
                <w:highlight w:val="none"/>
              </w:rPr>
              <w:t>中的相关标准，员工用水定额按照</w:t>
            </w:r>
            <w:r>
              <w:rPr>
                <w:rFonts w:hint="default" w:ascii="Times New Roman" w:hAnsi="Times New Roman" w:cs="Times New Roman"/>
                <w:color w:val="auto"/>
                <w:kern w:val="2"/>
                <w:sz w:val="24"/>
                <w:highlight w:val="none"/>
                <w:lang w:val="en-US" w:eastAsia="zh-CN" w:bidi="ar-SA"/>
              </w:rPr>
              <w:t>40</w:t>
            </w:r>
            <w:r>
              <w:rPr>
                <w:rFonts w:hint="default" w:ascii="Times New Roman" w:hAnsi="Times New Roman" w:eastAsia="宋体" w:cs="Times New Roman"/>
                <w:color w:val="auto"/>
                <w:kern w:val="2"/>
                <w:sz w:val="24"/>
                <w:highlight w:val="none"/>
                <w:lang w:val="en-US" w:eastAsia="zh-CN" w:bidi="ar-SA"/>
              </w:rPr>
              <w:t>L/人·d</w:t>
            </w:r>
            <w:r>
              <w:rPr>
                <w:rFonts w:hint="eastAsia" w:ascii="Times New Roman" w:hAnsi="Times New Roman" w:cs="Times New Roman"/>
                <w:color w:val="auto"/>
                <w:kern w:val="2"/>
                <w:sz w:val="24"/>
                <w:highlight w:val="none"/>
                <w:lang w:val="en-US" w:eastAsia="zh-CN" w:bidi="ar-SA"/>
              </w:rPr>
              <w:t>计，</w:t>
            </w:r>
            <w:r>
              <w:rPr>
                <w:sz w:val="24"/>
                <w:highlight w:val="none"/>
              </w:rPr>
              <w:t>按年工作日3</w:t>
            </w:r>
            <w:r>
              <w:rPr>
                <w:rFonts w:hint="eastAsia"/>
                <w:sz w:val="24"/>
                <w:highlight w:val="none"/>
                <w:lang w:val="en-US" w:eastAsia="zh-CN"/>
              </w:rPr>
              <w:t>0</w:t>
            </w:r>
            <w:r>
              <w:rPr>
                <w:sz w:val="24"/>
                <w:highlight w:val="none"/>
              </w:rPr>
              <w:t>0天计，则生活用水量为0.</w:t>
            </w:r>
            <w:r>
              <w:rPr>
                <w:rFonts w:hint="eastAsia"/>
                <w:sz w:val="24"/>
                <w:highlight w:val="none"/>
                <w:lang w:val="en-US" w:eastAsia="zh-CN"/>
              </w:rPr>
              <w:t>6</w:t>
            </w:r>
            <w:r>
              <w:rPr>
                <w:sz w:val="24"/>
                <w:highlight w:val="none"/>
              </w:rPr>
              <w:t>m</w:t>
            </w:r>
            <w:r>
              <w:rPr>
                <w:sz w:val="24"/>
                <w:highlight w:val="none"/>
                <w:vertAlign w:val="superscript"/>
              </w:rPr>
              <w:t>3</w:t>
            </w:r>
            <w:r>
              <w:rPr>
                <w:sz w:val="24"/>
                <w:highlight w:val="none"/>
              </w:rPr>
              <w:t>/d，</w:t>
            </w:r>
            <w:r>
              <w:rPr>
                <w:rFonts w:hint="eastAsia"/>
                <w:sz w:val="24"/>
                <w:highlight w:val="none"/>
                <w:lang w:val="en-US" w:eastAsia="zh-CN"/>
              </w:rPr>
              <w:t>180</w:t>
            </w:r>
            <w:r>
              <w:rPr>
                <w:sz w:val="24"/>
                <w:highlight w:val="none"/>
              </w:rPr>
              <w:t>m</w:t>
            </w:r>
            <w:r>
              <w:rPr>
                <w:sz w:val="24"/>
                <w:highlight w:val="none"/>
                <w:vertAlign w:val="superscript"/>
              </w:rPr>
              <w:t>3</w:t>
            </w:r>
            <w:r>
              <w:rPr>
                <w:sz w:val="24"/>
                <w:highlight w:val="none"/>
              </w:rPr>
              <w:t>/a，以80%的产污系数计算，生活污水产生量为0.</w:t>
            </w:r>
            <w:r>
              <w:rPr>
                <w:rFonts w:hint="eastAsia"/>
                <w:sz w:val="24"/>
                <w:highlight w:val="none"/>
                <w:lang w:val="en-US" w:eastAsia="zh-CN"/>
              </w:rPr>
              <w:t>48</w:t>
            </w:r>
            <w:r>
              <w:rPr>
                <w:sz w:val="24"/>
                <w:highlight w:val="none"/>
              </w:rPr>
              <w:t>m</w:t>
            </w:r>
            <w:r>
              <w:rPr>
                <w:sz w:val="24"/>
                <w:highlight w:val="none"/>
                <w:vertAlign w:val="superscript"/>
              </w:rPr>
              <w:t>3</w:t>
            </w:r>
            <w:r>
              <w:rPr>
                <w:sz w:val="24"/>
                <w:highlight w:val="none"/>
              </w:rPr>
              <w:t>/d，</w:t>
            </w:r>
            <w:r>
              <w:rPr>
                <w:rFonts w:hint="eastAsia"/>
                <w:sz w:val="24"/>
                <w:highlight w:val="none"/>
                <w:lang w:val="en-US" w:eastAsia="zh-CN"/>
              </w:rPr>
              <w:t>144</w:t>
            </w:r>
            <w:r>
              <w:rPr>
                <w:sz w:val="24"/>
                <w:highlight w:val="none"/>
              </w:rPr>
              <w:t>m</w:t>
            </w:r>
            <w:r>
              <w:rPr>
                <w:sz w:val="24"/>
                <w:highlight w:val="none"/>
                <w:vertAlign w:val="superscript"/>
              </w:rPr>
              <w:t>3</w:t>
            </w:r>
            <w:r>
              <w:rPr>
                <w:sz w:val="24"/>
                <w:highlight w:val="none"/>
              </w:rPr>
              <w:t>/a。参照张自杰主编《排水工程》（中国建筑工业出版社）所提供的《典型的生活污水水质》，考虑生活污水中含粪尿污水，取生活污水污染物含量为：CODcr</w:t>
            </w:r>
            <w:r>
              <w:rPr>
                <w:rFonts w:hint="eastAsia"/>
                <w:sz w:val="24"/>
                <w:highlight w:val="none"/>
                <w:lang w:eastAsia="zh-CN"/>
              </w:rPr>
              <w:t>：</w:t>
            </w:r>
            <w:r>
              <w:rPr>
                <w:sz w:val="24"/>
                <w:highlight w:val="none"/>
              </w:rPr>
              <w:t>350mg/L，BOD</w:t>
            </w:r>
            <w:r>
              <w:rPr>
                <w:sz w:val="24"/>
                <w:highlight w:val="none"/>
                <w:vertAlign w:val="subscript"/>
              </w:rPr>
              <w:t>5</w:t>
            </w:r>
            <w:r>
              <w:rPr>
                <w:rFonts w:hint="eastAsia"/>
                <w:sz w:val="24"/>
                <w:highlight w:val="none"/>
                <w:vertAlign w:val="baseline"/>
                <w:lang w:eastAsia="zh-CN"/>
              </w:rPr>
              <w:t>：</w:t>
            </w:r>
            <w:r>
              <w:rPr>
                <w:sz w:val="24"/>
                <w:highlight w:val="none"/>
              </w:rPr>
              <w:t>200mg/L，SS</w:t>
            </w:r>
            <w:r>
              <w:rPr>
                <w:rFonts w:hint="eastAsia"/>
                <w:sz w:val="24"/>
                <w:highlight w:val="none"/>
                <w:lang w:eastAsia="zh-CN"/>
              </w:rPr>
              <w:t>：</w:t>
            </w:r>
            <w:r>
              <w:rPr>
                <w:sz w:val="24"/>
                <w:highlight w:val="none"/>
              </w:rPr>
              <w:t>200mg/L，NH</w:t>
            </w:r>
            <w:r>
              <w:rPr>
                <w:sz w:val="24"/>
                <w:highlight w:val="none"/>
                <w:vertAlign w:val="subscript"/>
              </w:rPr>
              <w:t>3</w:t>
            </w:r>
            <w:r>
              <w:rPr>
                <w:sz w:val="24"/>
                <w:highlight w:val="none"/>
              </w:rPr>
              <w:t>-N</w:t>
            </w:r>
            <w:r>
              <w:rPr>
                <w:rFonts w:hint="eastAsia"/>
                <w:sz w:val="24"/>
                <w:highlight w:val="none"/>
                <w:lang w:eastAsia="zh-CN"/>
              </w:rPr>
              <w:t>：</w:t>
            </w:r>
            <w:r>
              <w:rPr>
                <w:sz w:val="24"/>
                <w:highlight w:val="none"/>
              </w:rPr>
              <w:t>30mg/L。项目生活污水经化粪池处理后（通过查阅资料，化粪池对各种污染物的去除率为COD：15%</w:t>
            </w:r>
            <w:r>
              <w:rPr>
                <w:rFonts w:hint="eastAsia"/>
                <w:sz w:val="24"/>
                <w:highlight w:val="none"/>
              </w:rPr>
              <w:t>，</w:t>
            </w:r>
            <w:r>
              <w:rPr>
                <w:sz w:val="24"/>
                <w:highlight w:val="none"/>
              </w:rPr>
              <w:t>BOD</w:t>
            </w:r>
            <w:r>
              <w:rPr>
                <w:sz w:val="24"/>
                <w:highlight w:val="none"/>
                <w:vertAlign w:val="subscript"/>
              </w:rPr>
              <w:t>5</w:t>
            </w:r>
            <w:r>
              <w:rPr>
                <w:sz w:val="24"/>
                <w:highlight w:val="none"/>
              </w:rPr>
              <w:t>：9%，SS：30%，NH</w:t>
            </w:r>
            <w:r>
              <w:rPr>
                <w:sz w:val="24"/>
                <w:highlight w:val="none"/>
                <w:vertAlign w:val="subscript"/>
              </w:rPr>
              <w:t>3</w:t>
            </w:r>
            <w:r>
              <w:rPr>
                <w:sz w:val="24"/>
                <w:highlight w:val="none"/>
              </w:rPr>
              <w:t>-N：3%。）排放浓度</w:t>
            </w:r>
            <w:r>
              <w:rPr>
                <w:rFonts w:hint="eastAsia"/>
                <w:sz w:val="24"/>
                <w:highlight w:val="none"/>
                <w:lang w:val="en-US" w:eastAsia="zh-CN"/>
              </w:rPr>
              <w:t>分别为</w:t>
            </w:r>
            <w:r>
              <w:rPr>
                <w:sz w:val="24"/>
                <w:highlight w:val="none"/>
              </w:rPr>
              <w:t>CODcr</w:t>
            </w:r>
            <w:r>
              <w:rPr>
                <w:rFonts w:hint="eastAsia"/>
                <w:sz w:val="24"/>
                <w:highlight w:val="none"/>
                <w:lang w:eastAsia="zh-CN"/>
              </w:rPr>
              <w:t>：</w:t>
            </w:r>
            <w:r>
              <w:rPr>
                <w:sz w:val="24"/>
                <w:highlight w:val="none"/>
              </w:rPr>
              <w:t>297.5mg/L，BOD</w:t>
            </w:r>
            <w:r>
              <w:rPr>
                <w:sz w:val="24"/>
                <w:highlight w:val="none"/>
                <w:vertAlign w:val="subscript"/>
              </w:rPr>
              <w:t>5</w:t>
            </w:r>
            <w:r>
              <w:rPr>
                <w:rFonts w:hint="eastAsia"/>
                <w:sz w:val="24"/>
                <w:highlight w:val="none"/>
                <w:vertAlign w:val="baseline"/>
                <w:lang w:eastAsia="zh-CN"/>
              </w:rPr>
              <w:t>：</w:t>
            </w:r>
            <w:r>
              <w:rPr>
                <w:sz w:val="24"/>
                <w:highlight w:val="none"/>
              </w:rPr>
              <w:t>182mg/L，SS</w:t>
            </w:r>
            <w:r>
              <w:rPr>
                <w:rFonts w:hint="eastAsia"/>
                <w:sz w:val="24"/>
                <w:highlight w:val="none"/>
                <w:lang w:eastAsia="zh-CN"/>
              </w:rPr>
              <w:t>：</w:t>
            </w:r>
            <w:r>
              <w:rPr>
                <w:sz w:val="24"/>
                <w:highlight w:val="none"/>
              </w:rPr>
              <w:t>140mg/L，NH</w:t>
            </w:r>
            <w:r>
              <w:rPr>
                <w:sz w:val="24"/>
                <w:highlight w:val="none"/>
                <w:vertAlign w:val="subscript"/>
              </w:rPr>
              <w:t>3</w:t>
            </w:r>
            <w:r>
              <w:rPr>
                <w:sz w:val="24"/>
                <w:highlight w:val="none"/>
              </w:rPr>
              <w:t>-N</w:t>
            </w:r>
            <w:r>
              <w:rPr>
                <w:rFonts w:hint="eastAsia"/>
                <w:sz w:val="24"/>
                <w:highlight w:val="none"/>
                <w:lang w:eastAsia="zh-CN"/>
              </w:rPr>
              <w:t>：</w:t>
            </w:r>
            <w:r>
              <w:rPr>
                <w:sz w:val="24"/>
                <w:highlight w:val="none"/>
              </w:rPr>
              <w:t>29.1mg/L。</w:t>
            </w:r>
            <w:r>
              <w:rPr>
                <w:rFonts w:hint="eastAsia"/>
                <w:sz w:val="24"/>
                <w:highlight w:val="none"/>
                <w:lang w:val="en-US" w:eastAsia="zh-CN"/>
              </w:rPr>
              <w:t>本</w:t>
            </w:r>
            <w:r>
              <w:rPr>
                <w:sz w:val="24"/>
                <w:highlight w:val="none"/>
              </w:rPr>
              <w:t>项目</w:t>
            </w:r>
            <w:r>
              <w:rPr>
                <w:rFonts w:hint="eastAsia"/>
                <w:sz w:val="24"/>
                <w:highlight w:val="none"/>
                <w:lang w:eastAsia="zh-CN"/>
              </w:rPr>
              <w:t>产生的生活污水</w:t>
            </w:r>
            <w:r>
              <w:rPr>
                <w:rFonts w:hint="eastAsia"/>
                <w:sz w:val="24"/>
                <w:highlight w:val="none"/>
                <w:lang w:val="en-US" w:eastAsia="zh-CN"/>
              </w:rPr>
              <w:t>经过</w:t>
            </w:r>
            <w:r>
              <w:rPr>
                <w:rFonts w:hint="eastAsia"/>
                <w:sz w:val="24"/>
                <w:highlight w:val="none"/>
                <w:lang w:eastAsia="zh-CN"/>
              </w:rPr>
              <w:t>化粪池处理后用于周围农田施肥，</w:t>
            </w:r>
            <w:r>
              <w:rPr>
                <w:rFonts w:hint="eastAsia"/>
                <w:sz w:val="24"/>
                <w:highlight w:val="none"/>
                <w:lang w:val="en-US" w:eastAsia="zh-CN"/>
              </w:rPr>
              <w:t>资源化利用，不外排。</w:t>
            </w:r>
          </w:p>
          <w:p w14:paraId="051995D5">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b w:val="0"/>
                <w:bCs w:val="0"/>
                <w:color w:val="000000"/>
                <w:kern w:val="0"/>
                <w:sz w:val="24"/>
              </w:rPr>
            </w:pPr>
            <w:r>
              <w:rPr>
                <w:b w:val="0"/>
                <w:bCs w:val="0"/>
                <w:color w:val="000000"/>
                <w:kern w:val="0"/>
                <w:sz w:val="24"/>
              </w:rPr>
              <w:t>2.</w:t>
            </w:r>
            <w:r>
              <w:rPr>
                <w:rFonts w:hint="eastAsia"/>
                <w:b w:val="0"/>
                <w:bCs w:val="0"/>
                <w:color w:val="000000"/>
                <w:kern w:val="0"/>
                <w:sz w:val="24"/>
                <w:lang w:val="en-US" w:eastAsia="zh-CN"/>
              </w:rPr>
              <w:t>2</w:t>
            </w:r>
            <w:r>
              <w:rPr>
                <w:b w:val="0"/>
                <w:bCs w:val="0"/>
                <w:color w:val="000000"/>
                <w:kern w:val="0"/>
                <w:sz w:val="24"/>
              </w:rPr>
              <w:t>废水污染防治措施</w:t>
            </w:r>
          </w:p>
          <w:p w14:paraId="70BB6854">
            <w:pPr>
              <w:pStyle w:val="38"/>
              <w:keepNext w:val="0"/>
              <w:keepLines w:val="0"/>
              <w:pageBreakBefore w:val="0"/>
              <w:widowControl w:val="0"/>
              <w:kinsoku/>
              <w:wordWrap/>
              <w:overflowPunct/>
              <w:topLinePunct w:val="0"/>
              <w:bidi w:val="0"/>
              <w:snapToGrid/>
              <w:spacing w:line="500" w:lineRule="exact"/>
              <w:ind w:firstLine="480" w:firstLineChars="200"/>
              <w:textAlignment w:val="auto"/>
              <w:rPr>
                <w:rFonts w:ascii="Times New Roman" w:hAnsi="Times New Roman" w:eastAsia="宋体"/>
                <w:b w:val="0"/>
                <w:color w:val="000000"/>
                <w:sz w:val="24"/>
                <w:szCs w:val="21"/>
              </w:rPr>
            </w:pPr>
            <w:r>
              <w:rPr>
                <w:rFonts w:hint="eastAsia" w:ascii="Times New Roman" w:hAnsi="Times New Roman" w:eastAsia="宋体"/>
                <w:b w:val="0"/>
                <w:color w:val="000000"/>
                <w:sz w:val="24"/>
                <w:szCs w:val="21"/>
              </w:rPr>
              <w:t>（1）环保措施处理及生产废水回用可行性分析：</w:t>
            </w:r>
          </w:p>
          <w:p w14:paraId="1C83289C">
            <w:pPr>
              <w:keepNext w:val="0"/>
              <w:keepLines w:val="0"/>
              <w:pageBreakBefore w:val="0"/>
              <w:widowControl w:val="0"/>
              <w:kinsoku/>
              <w:wordWrap/>
              <w:overflowPunct/>
              <w:topLinePunct w:val="0"/>
              <w:bidi w:val="0"/>
              <w:snapToGrid/>
              <w:spacing w:line="500" w:lineRule="exact"/>
              <w:ind w:firstLine="480" w:firstLineChars="200"/>
              <w:textAlignment w:val="auto"/>
              <w:rPr>
                <w:color w:val="000000"/>
                <w:sz w:val="24"/>
                <w:u w:val="none"/>
              </w:rPr>
            </w:pPr>
            <w:r>
              <w:rPr>
                <w:color w:val="000000"/>
                <w:sz w:val="24"/>
                <w:u w:val="none"/>
              </w:rPr>
              <w:t>本项目</w:t>
            </w:r>
            <w:r>
              <w:rPr>
                <w:rFonts w:hint="eastAsia"/>
                <w:color w:val="000000"/>
                <w:sz w:val="24"/>
                <w:u w:val="none"/>
                <w:lang w:val="en-US" w:eastAsia="zh-CN"/>
              </w:rPr>
              <w:t>在</w:t>
            </w:r>
            <w:r>
              <w:rPr>
                <w:rFonts w:hint="eastAsia"/>
                <w:color w:val="000000"/>
                <w:sz w:val="24"/>
                <w:u w:val="none"/>
                <w:lang w:eastAsia="zh-CN"/>
              </w:rPr>
              <w:t>厂区内</w:t>
            </w:r>
            <w:r>
              <w:rPr>
                <w:rFonts w:hint="eastAsia"/>
                <w:color w:val="000000"/>
                <w:sz w:val="24"/>
                <w:u w:val="none"/>
                <w:lang w:val="en-US" w:eastAsia="zh-CN"/>
              </w:rPr>
              <w:t>设置</w:t>
            </w:r>
            <w:r>
              <w:rPr>
                <w:color w:val="000000"/>
                <w:sz w:val="24"/>
                <w:u w:val="none"/>
              </w:rPr>
              <w:t>1座</w:t>
            </w:r>
            <w:r>
              <w:rPr>
                <w:rFonts w:hint="eastAsia"/>
                <w:color w:val="000000"/>
                <w:sz w:val="24"/>
                <w:u w:val="none"/>
                <w:lang w:val="en-US" w:eastAsia="zh-CN"/>
              </w:rPr>
              <w:t>5</w:t>
            </w:r>
            <w:r>
              <w:rPr>
                <w:color w:val="000000"/>
                <w:sz w:val="24"/>
                <w:u w:val="none"/>
              </w:rPr>
              <w:t>m</w:t>
            </w:r>
            <w:r>
              <w:rPr>
                <w:color w:val="000000"/>
                <w:sz w:val="24"/>
                <w:u w:val="none"/>
                <w:vertAlign w:val="superscript"/>
              </w:rPr>
              <w:t>3</w:t>
            </w:r>
            <w:r>
              <w:rPr>
                <w:color w:val="000000"/>
                <w:sz w:val="24"/>
                <w:u w:val="none"/>
              </w:rPr>
              <w:t>的</w:t>
            </w:r>
            <w:r>
              <w:rPr>
                <w:rFonts w:hint="eastAsia"/>
                <w:color w:val="000000"/>
                <w:sz w:val="24"/>
                <w:u w:val="none"/>
                <w:lang w:eastAsia="zh-CN"/>
              </w:rPr>
              <w:t>车辆冲洗</w:t>
            </w:r>
            <w:r>
              <w:rPr>
                <w:color w:val="000000"/>
                <w:sz w:val="24"/>
                <w:u w:val="none"/>
              </w:rPr>
              <w:t>沉淀池</w:t>
            </w:r>
            <w:r>
              <w:rPr>
                <w:rFonts w:hint="eastAsia"/>
                <w:color w:val="000000"/>
                <w:sz w:val="24"/>
                <w:u w:val="none"/>
                <w:lang w:val="en-US" w:eastAsia="zh-CN"/>
              </w:rPr>
              <w:t>以</w:t>
            </w:r>
            <w:r>
              <w:rPr>
                <w:rFonts w:hint="eastAsia"/>
                <w:color w:val="000000"/>
                <w:sz w:val="24"/>
                <w:u w:val="none"/>
                <w:lang w:eastAsia="zh-CN"/>
              </w:rPr>
              <w:t>及</w:t>
            </w:r>
            <w:r>
              <w:rPr>
                <w:rFonts w:hint="eastAsia"/>
                <w:color w:val="000000"/>
                <w:sz w:val="24"/>
                <w:u w:val="none"/>
                <w:lang w:val="en-US" w:eastAsia="zh-CN"/>
              </w:rPr>
              <w:t>配套的</w:t>
            </w:r>
            <w:r>
              <w:rPr>
                <w:rFonts w:hint="eastAsia"/>
                <w:color w:val="000000"/>
                <w:sz w:val="24"/>
                <w:u w:val="none"/>
                <w:lang w:eastAsia="zh-CN"/>
              </w:rPr>
              <w:t>车辆冲洗装置</w:t>
            </w:r>
            <w:r>
              <w:rPr>
                <w:color w:val="000000"/>
                <w:sz w:val="24"/>
                <w:u w:val="none"/>
              </w:rPr>
              <w:t>，</w:t>
            </w:r>
            <w:r>
              <w:rPr>
                <w:rFonts w:hint="eastAsia"/>
                <w:color w:val="000000"/>
                <w:sz w:val="24"/>
                <w:u w:val="none"/>
                <w:lang w:val="en-US" w:eastAsia="zh-CN"/>
              </w:rPr>
              <w:t>车辆冲洗沉淀池</w:t>
            </w:r>
            <w:r>
              <w:rPr>
                <w:color w:val="000000"/>
                <w:sz w:val="24"/>
                <w:u w:val="none"/>
              </w:rPr>
              <w:t>主要去除</w:t>
            </w:r>
            <w:r>
              <w:rPr>
                <w:rFonts w:hint="eastAsia"/>
                <w:color w:val="000000"/>
                <w:sz w:val="24"/>
                <w:u w:val="none"/>
                <w:lang w:val="en-US" w:eastAsia="zh-CN"/>
              </w:rPr>
              <w:t>冲洗废</w:t>
            </w:r>
            <w:r>
              <w:rPr>
                <w:color w:val="000000"/>
                <w:sz w:val="24"/>
                <w:u w:val="none"/>
              </w:rPr>
              <w:t>水中的SS。项目车辆冲洗废水</w:t>
            </w:r>
            <w:r>
              <w:rPr>
                <w:rFonts w:hint="eastAsia"/>
                <w:color w:val="000000"/>
                <w:sz w:val="24"/>
                <w:u w:val="none"/>
              </w:rPr>
              <w:t>总</w:t>
            </w:r>
            <w:r>
              <w:rPr>
                <w:color w:val="000000"/>
                <w:sz w:val="24"/>
                <w:u w:val="none"/>
              </w:rPr>
              <w:t>产生量为</w:t>
            </w:r>
            <w:r>
              <w:rPr>
                <w:rFonts w:hint="eastAsia"/>
                <w:color w:val="000000"/>
                <w:sz w:val="24"/>
                <w:u w:val="none"/>
                <w:lang w:val="en-US" w:eastAsia="zh-CN"/>
              </w:rPr>
              <w:t>4.66</w:t>
            </w:r>
            <w:r>
              <w:rPr>
                <w:color w:val="000000"/>
                <w:sz w:val="24"/>
                <w:u w:val="none"/>
              </w:rPr>
              <w:t>m</w:t>
            </w:r>
            <w:r>
              <w:rPr>
                <w:color w:val="000000"/>
                <w:sz w:val="24"/>
                <w:u w:val="none"/>
                <w:vertAlign w:val="superscript"/>
              </w:rPr>
              <w:t>3</w:t>
            </w:r>
            <w:r>
              <w:rPr>
                <w:color w:val="000000"/>
                <w:sz w:val="24"/>
                <w:u w:val="none"/>
              </w:rPr>
              <w:t>/d，考虑</w:t>
            </w:r>
            <w:r>
              <w:rPr>
                <w:rFonts w:hint="eastAsia"/>
                <w:color w:val="000000"/>
                <w:sz w:val="24"/>
                <w:u w:val="none"/>
                <w:lang w:val="en-US" w:eastAsia="zh-CN"/>
              </w:rPr>
              <w:t>冲洗</w:t>
            </w:r>
            <w:r>
              <w:rPr>
                <w:color w:val="000000"/>
                <w:sz w:val="24"/>
                <w:u w:val="none"/>
              </w:rPr>
              <w:t>废水</w:t>
            </w:r>
            <w:r>
              <w:rPr>
                <w:rFonts w:hint="eastAsia"/>
                <w:color w:val="000000"/>
                <w:sz w:val="24"/>
                <w:u w:val="none"/>
                <w:lang w:val="en-US" w:eastAsia="zh-CN"/>
              </w:rPr>
              <w:t>的损耗和</w:t>
            </w:r>
            <w:r>
              <w:rPr>
                <w:color w:val="000000"/>
                <w:sz w:val="24"/>
                <w:u w:val="none"/>
              </w:rPr>
              <w:t>沉淀</w:t>
            </w:r>
            <w:r>
              <w:rPr>
                <w:rFonts w:hint="eastAsia"/>
                <w:color w:val="000000"/>
                <w:sz w:val="24"/>
                <w:u w:val="none"/>
                <w:lang w:val="en-US" w:eastAsia="zh-CN"/>
              </w:rPr>
              <w:t>静置</w:t>
            </w:r>
            <w:r>
              <w:rPr>
                <w:rFonts w:hint="eastAsia"/>
                <w:color w:val="000000"/>
                <w:sz w:val="24"/>
                <w:u w:val="none"/>
              </w:rPr>
              <w:t>1</w:t>
            </w:r>
            <w:r>
              <w:rPr>
                <w:color w:val="000000"/>
                <w:sz w:val="24"/>
                <w:u w:val="none"/>
              </w:rPr>
              <w:t>天</w:t>
            </w:r>
            <w:r>
              <w:rPr>
                <w:rFonts w:hint="eastAsia"/>
                <w:color w:val="000000"/>
                <w:sz w:val="24"/>
                <w:u w:val="none"/>
                <w:lang w:val="en-US" w:eastAsia="zh-CN"/>
              </w:rPr>
              <w:t>左右</w:t>
            </w:r>
            <w:r>
              <w:rPr>
                <w:rFonts w:hint="eastAsia"/>
                <w:color w:val="000000"/>
                <w:sz w:val="24"/>
                <w:u w:val="none"/>
                <w:vertAlign w:val="baseline"/>
                <w:lang w:val="en-US" w:eastAsia="zh-CN"/>
              </w:rPr>
              <w:t>。</w:t>
            </w:r>
            <w:r>
              <w:rPr>
                <w:color w:val="000000"/>
                <w:sz w:val="24"/>
                <w:u w:val="none"/>
              </w:rPr>
              <w:t>因此，车辆冲洗沉淀池</w:t>
            </w:r>
            <w:r>
              <w:rPr>
                <w:rFonts w:hint="eastAsia"/>
                <w:color w:val="000000"/>
                <w:sz w:val="24"/>
                <w:u w:val="none"/>
                <w:lang w:val="en-US" w:eastAsia="zh-CN"/>
              </w:rPr>
              <w:t>建设</w:t>
            </w:r>
            <w:r>
              <w:rPr>
                <w:color w:val="000000"/>
                <w:sz w:val="24"/>
                <w:u w:val="none"/>
              </w:rPr>
              <w:t>规模可行。</w:t>
            </w:r>
          </w:p>
          <w:p w14:paraId="57F0FB94">
            <w:pPr>
              <w:keepNext w:val="0"/>
              <w:keepLines w:val="0"/>
              <w:pageBreakBefore w:val="0"/>
              <w:widowControl w:val="0"/>
              <w:kinsoku/>
              <w:wordWrap/>
              <w:overflowPunct/>
              <w:topLinePunct w:val="0"/>
              <w:autoSpaceDE w:val="0"/>
              <w:autoSpaceDN w:val="0"/>
              <w:bidi w:val="0"/>
              <w:adjustRightInd w:val="0"/>
              <w:snapToGrid/>
              <w:spacing w:line="500" w:lineRule="exact"/>
              <w:ind w:firstLine="480"/>
              <w:textAlignment w:val="auto"/>
              <w:rPr>
                <w:color w:val="000000"/>
                <w:kern w:val="0"/>
                <w:sz w:val="24"/>
                <w:u w:val="none"/>
                <w:lang w:val="zh-CN"/>
              </w:rPr>
            </w:pPr>
            <w:r>
              <w:rPr>
                <w:color w:val="000000"/>
                <w:kern w:val="0"/>
                <w:sz w:val="24"/>
                <w:u w:val="none"/>
                <w:lang w:val="zh-CN"/>
              </w:rPr>
              <w:t>本项目</w:t>
            </w:r>
            <w:r>
              <w:rPr>
                <w:rFonts w:hint="eastAsia"/>
                <w:color w:val="000000"/>
                <w:kern w:val="0"/>
                <w:sz w:val="24"/>
                <w:u w:val="none"/>
                <w:lang w:val="en-US" w:eastAsia="zh-CN"/>
              </w:rPr>
              <w:t>在</w:t>
            </w:r>
            <w:r>
              <w:rPr>
                <w:rFonts w:hint="eastAsia"/>
                <w:color w:val="000000"/>
                <w:kern w:val="0"/>
                <w:sz w:val="24"/>
                <w:u w:val="none"/>
                <w:lang w:val="zh-CN"/>
              </w:rPr>
              <w:t>厂区内</w:t>
            </w:r>
            <w:r>
              <w:rPr>
                <w:rFonts w:hint="eastAsia"/>
                <w:color w:val="000000"/>
                <w:kern w:val="0"/>
                <w:sz w:val="24"/>
                <w:u w:val="none"/>
                <w:lang w:val="en-US" w:eastAsia="zh-CN"/>
              </w:rPr>
              <w:t>建设</w:t>
            </w:r>
            <w:r>
              <w:rPr>
                <w:color w:val="000000"/>
                <w:kern w:val="0"/>
                <w:sz w:val="24"/>
                <w:u w:val="none"/>
                <w:lang w:val="zh-CN"/>
              </w:rPr>
              <w:t>1座</w:t>
            </w:r>
            <w:r>
              <w:rPr>
                <w:rFonts w:hint="eastAsia"/>
                <w:color w:val="000000"/>
                <w:kern w:val="0"/>
                <w:sz w:val="24"/>
                <w:u w:val="none"/>
                <w:lang w:val="en-US" w:eastAsia="zh-CN"/>
              </w:rPr>
              <w:t>10</w:t>
            </w:r>
            <w:r>
              <w:rPr>
                <w:color w:val="000000"/>
                <w:kern w:val="0"/>
                <w:sz w:val="24"/>
                <w:u w:val="none"/>
                <w:lang w:val="zh-CN"/>
              </w:rPr>
              <w:t>m</w:t>
            </w:r>
            <w:r>
              <w:rPr>
                <w:color w:val="000000"/>
                <w:kern w:val="0"/>
                <w:sz w:val="24"/>
                <w:u w:val="none"/>
                <w:vertAlign w:val="superscript"/>
                <w:lang w:val="zh-CN"/>
              </w:rPr>
              <w:t>3</w:t>
            </w:r>
            <w:r>
              <w:rPr>
                <w:color w:val="000000"/>
                <w:kern w:val="0"/>
                <w:sz w:val="24"/>
                <w:u w:val="none"/>
                <w:lang w:val="zh-CN"/>
              </w:rPr>
              <w:t>化粪池</w:t>
            </w:r>
            <w:r>
              <w:rPr>
                <w:rFonts w:hint="eastAsia"/>
                <w:color w:val="000000"/>
                <w:kern w:val="0"/>
                <w:sz w:val="24"/>
                <w:u w:val="none"/>
                <w:lang w:val="en-US" w:eastAsia="zh-CN"/>
              </w:rPr>
              <w:t>用来</w:t>
            </w:r>
            <w:r>
              <w:rPr>
                <w:color w:val="000000"/>
                <w:kern w:val="0"/>
                <w:sz w:val="24"/>
                <w:u w:val="none"/>
                <w:lang w:val="zh-CN"/>
              </w:rPr>
              <w:t>处理生活污水，本项目生活污水</w:t>
            </w:r>
            <w:r>
              <w:rPr>
                <w:rFonts w:hint="eastAsia"/>
                <w:color w:val="000000"/>
                <w:kern w:val="0"/>
                <w:sz w:val="24"/>
                <w:u w:val="none"/>
                <w:lang w:val="zh-CN"/>
              </w:rPr>
              <w:t>总</w:t>
            </w:r>
            <w:r>
              <w:rPr>
                <w:color w:val="000000"/>
                <w:kern w:val="0"/>
                <w:sz w:val="24"/>
                <w:u w:val="none"/>
                <w:lang w:val="zh-CN"/>
              </w:rPr>
              <w:t>产生量为</w:t>
            </w:r>
            <w:r>
              <w:rPr>
                <w:rFonts w:hint="eastAsia"/>
                <w:color w:val="000000"/>
                <w:kern w:val="0"/>
                <w:sz w:val="24"/>
                <w:u w:val="none"/>
                <w:lang w:val="zh-CN"/>
              </w:rPr>
              <w:t>0.</w:t>
            </w:r>
            <w:r>
              <w:rPr>
                <w:rFonts w:hint="eastAsia"/>
                <w:color w:val="000000"/>
                <w:kern w:val="0"/>
                <w:sz w:val="24"/>
                <w:u w:val="none"/>
                <w:lang w:val="en-US" w:eastAsia="zh-CN"/>
              </w:rPr>
              <w:t>6</w:t>
            </w:r>
            <w:r>
              <w:rPr>
                <w:color w:val="000000"/>
                <w:sz w:val="24"/>
                <w:u w:val="none"/>
              </w:rPr>
              <w:t>m</w:t>
            </w:r>
            <w:r>
              <w:rPr>
                <w:color w:val="000000"/>
                <w:sz w:val="24"/>
                <w:u w:val="none"/>
                <w:vertAlign w:val="superscript"/>
              </w:rPr>
              <w:t>3</w:t>
            </w:r>
            <w:r>
              <w:rPr>
                <w:color w:val="000000"/>
                <w:sz w:val="24"/>
                <w:u w:val="none"/>
              </w:rPr>
              <w:t>/d，考虑</w:t>
            </w:r>
            <w:r>
              <w:rPr>
                <w:rFonts w:hint="eastAsia"/>
                <w:color w:val="000000"/>
                <w:sz w:val="24"/>
                <w:u w:val="none"/>
                <w:lang w:val="en-US" w:eastAsia="zh-CN"/>
              </w:rPr>
              <w:t>到化粪池半月左右</w:t>
            </w:r>
            <w:r>
              <w:rPr>
                <w:color w:val="000000"/>
                <w:sz w:val="24"/>
                <w:u w:val="none"/>
              </w:rPr>
              <w:t>清理一次，则化粪池容积不应小于</w:t>
            </w:r>
            <w:r>
              <w:rPr>
                <w:rFonts w:hint="eastAsia"/>
                <w:color w:val="000000"/>
                <w:sz w:val="24"/>
                <w:u w:val="none"/>
                <w:lang w:val="en-US" w:eastAsia="zh-CN"/>
              </w:rPr>
              <w:t>9</w:t>
            </w:r>
            <w:r>
              <w:rPr>
                <w:color w:val="000000"/>
                <w:sz w:val="24"/>
                <w:u w:val="none"/>
              </w:rPr>
              <w:t>m</w:t>
            </w:r>
            <w:r>
              <w:rPr>
                <w:color w:val="000000"/>
                <w:sz w:val="24"/>
                <w:u w:val="none"/>
                <w:vertAlign w:val="superscript"/>
              </w:rPr>
              <w:t>3</w:t>
            </w:r>
            <w:r>
              <w:rPr>
                <w:color w:val="000000"/>
                <w:sz w:val="24"/>
                <w:u w:val="none"/>
              </w:rPr>
              <w:t>，</w:t>
            </w:r>
            <w:r>
              <w:rPr>
                <w:rFonts w:hint="eastAsia"/>
                <w:color w:val="000000"/>
                <w:sz w:val="24"/>
                <w:u w:val="none"/>
              </w:rPr>
              <w:t>化粪池</w:t>
            </w:r>
            <w:r>
              <w:rPr>
                <w:rFonts w:hint="eastAsia"/>
                <w:color w:val="000000"/>
                <w:sz w:val="24"/>
                <w:u w:val="none"/>
                <w:lang w:val="en-US" w:eastAsia="zh-CN"/>
              </w:rPr>
              <w:t>建设</w:t>
            </w:r>
            <w:r>
              <w:rPr>
                <w:rFonts w:hint="eastAsia"/>
                <w:color w:val="000000"/>
                <w:sz w:val="24"/>
                <w:u w:val="none"/>
              </w:rPr>
              <w:t>规模</w:t>
            </w:r>
            <w:r>
              <w:rPr>
                <w:color w:val="000000"/>
                <w:sz w:val="24"/>
                <w:u w:val="none"/>
              </w:rPr>
              <w:t>可满足</w:t>
            </w:r>
            <w:r>
              <w:rPr>
                <w:rFonts w:hint="eastAsia"/>
                <w:color w:val="000000"/>
                <w:sz w:val="24"/>
                <w:u w:val="none"/>
                <w:lang w:val="en-US" w:eastAsia="zh-CN"/>
              </w:rPr>
              <w:t>项目</w:t>
            </w:r>
            <w:r>
              <w:rPr>
                <w:color w:val="000000"/>
                <w:sz w:val="24"/>
                <w:u w:val="none"/>
              </w:rPr>
              <w:t>生活污水处理需求，</w:t>
            </w:r>
            <w:r>
              <w:rPr>
                <w:color w:val="000000"/>
                <w:kern w:val="0"/>
                <w:sz w:val="24"/>
                <w:u w:val="none"/>
                <w:lang w:val="zh-CN"/>
              </w:rPr>
              <w:t>经</w:t>
            </w:r>
            <w:r>
              <w:rPr>
                <w:rFonts w:hint="eastAsia"/>
                <w:color w:val="000000"/>
                <w:kern w:val="0"/>
                <w:sz w:val="24"/>
                <w:u w:val="none"/>
                <w:lang w:val="en-US" w:eastAsia="zh-CN"/>
              </w:rPr>
              <w:t>过</w:t>
            </w:r>
            <w:r>
              <w:rPr>
                <w:color w:val="000000"/>
                <w:kern w:val="0"/>
                <w:sz w:val="24"/>
                <w:u w:val="none"/>
                <w:lang w:val="zh-CN"/>
              </w:rPr>
              <w:t>调查，</w:t>
            </w:r>
            <w:r>
              <w:rPr>
                <w:rFonts w:hint="eastAsia"/>
                <w:color w:val="000000"/>
                <w:kern w:val="0"/>
                <w:sz w:val="24"/>
                <w:u w:val="none"/>
                <w:lang w:val="en-US" w:eastAsia="zh-CN"/>
              </w:rPr>
              <w:t>本</w:t>
            </w:r>
            <w:r>
              <w:rPr>
                <w:color w:val="000000"/>
                <w:kern w:val="0"/>
                <w:sz w:val="24"/>
                <w:u w:val="none"/>
                <w:lang w:val="zh-CN"/>
              </w:rPr>
              <w:t>项目周边有大面积农田分布，生活污水经化粪池处理后</w:t>
            </w:r>
            <w:r>
              <w:rPr>
                <w:rFonts w:hint="eastAsia"/>
                <w:color w:val="000000"/>
                <w:kern w:val="0"/>
                <w:sz w:val="24"/>
                <w:u w:val="none"/>
                <w:lang w:val="en-US" w:eastAsia="zh-CN"/>
              </w:rPr>
              <w:t>用于</w:t>
            </w:r>
            <w:r>
              <w:rPr>
                <w:color w:val="000000"/>
                <w:kern w:val="0"/>
                <w:sz w:val="24"/>
                <w:u w:val="none"/>
                <w:lang w:val="zh-CN"/>
              </w:rPr>
              <w:t>周边农田施肥可行。</w:t>
            </w:r>
          </w:p>
          <w:p w14:paraId="467D9968">
            <w:pPr>
              <w:keepNext w:val="0"/>
              <w:keepLines w:val="0"/>
              <w:pageBreakBefore w:val="0"/>
              <w:widowControl w:val="0"/>
              <w:kinsoku/>
              <w:wordWrap/>
              <w:overflowPunct/>
              <w:topLinePunct w:val="0"/>
              <w:bidi w:val="0"/>
              <w:snapToGrid/>
              <w:spacing w:line="500" w:lineRule="exact"/>
              <w:ind w:firstLine="480" w:firstLineChars="200"/>
              <w:textAlignment w:val="auto"/>
              <w:rPr>
                <w:rFonts w:hint="eastAsia"/>
                <w:sz w:val="24"/>
                <w:u w:val="none"/>
              </w:rPr>
            </w:pPr>
            <w:r>
              <w:rPr>
                <w:rFonts w:hint="eastAsia"/>
                <w:sz w:val="24"/>
                <w:szCs w:val="21"/>
                <w:u w:val="none"/>
                <w:lang w:val="en-US" w:eastAsia="zh-CN"/>
              </w:rPr>
              <w:t>本</w:t>
            </w:r>
            <w:r>
              <w:rPr>
                <w:rFonts w:hint="eastAsia"/>
                <w:sz w:val="24"/>
                <w:szCs w:val="21"/>
                <w:u w:val="none"/>
              </w:rPr>
              <w:t>项目</w:t>
            </w:r>
            <w:r>
              <w:rPr>
                <w:rFonts w:hint="eastAsia"/>
                <w:sz w:val="24"/>
                <w:szCs w:val="21"/>
                <w:u w:val="none"/>
                <w:lang w:val="en-US" w:eastAsia="zh-CN"/>
              </w:rPr>
              <w:t>筛分、水洗、脱水工序废水统称为生产废水，生产</w:t>
            </w:r>
            <w:r>
              <w:rPr>
                <w:rFonts w:hint="eastAsia"/>
                <w:sz w:val="24"/>
                <w:szCs w:val="21"/>
                <w:u w:val="none"/>
              </w:rPr>
              <w:t>废水</w:t>
            </w:r>
            <w:r>
              <w:rPr>
                <w:rFonts w:hint="eastAsia"/>
                <w:sz w:val="24"/>
                <w:szCs w:val="21"/>
                <w:u w:val="none"/>
                <w:lang w:val="en-US" w:eastAsia="zh-CN"/>
              </w:rPr>
              <w:t>通过管道汇聚至污水池，通过提升泵将废水提升至浓缩罐，通过浓缩沉淀处理后，上清液回流至清水池内循环使用在清洗工序。</w:t>
            </w:r>
            <w:r>
              <w:rPr>
                <w:rFonts w:hint="eastAsia"/>
                <w:sz w:val="24"/>
                <w:u w:val="none"/>
              </w:rPr>
              <w:t>同时排水管、污泥</w:t>
            </w:r>
            <w:r>
              <w:rPr>
                <w:rFonts w:hint="eastAsia"/>
                <w:sz w:val="24"/>
                <w:u w:val="none"/>
                <w:lang w:val="en-US" w:eastAsia="zh-CN"/>
              </w:rPr>
              <w:t>浓缩</w:t>
            </w:r>
            <w:r>
              <w:rPr>
                <w:rFonts w:hint="eastAsia"/>
                <w:sz w:val="24"/>
                <w:u w:val="none"/>
              </w:rPr>
              <w:t>罐、清水池应做到：</w:t>
            </w:r>
          </w:p>
          <w:p w14:paraId="27D6F276">
            <w:pPr>
              <w:keepNext w:val="0"/>
              <w:keepLines w:val="0"/>
              <w:pageBreakBefore w:val="0"/>
              <w:widowControl w:val="0"/>
              <w:numPr>
                <w:ilvl w:val="0"/>
                <w:numId w:val="3"/>
              </w:numPr>
              <w:kinsoku/>
              <w:wordWrap/>
              <w:overflowPunct/>
              <w:topLinePunct w:val="0"/>
              <w:bidi w:val="0"/>
              <w:snapToGrid/>
              <w:spacing w:line="500" w:lineRule="exact"/>
              <w:ind w:firstLine="480" w:firstLineChars="200"/>
              <w:textAlignment w:val="auto"/>
              <w:rPr>
                <w:rFonts w:hint="eastAsia"/>
                <w:sz w:val="24"/>
                <w:u w:val="none"/>
                <w:lang w:eastAsia="zh-CN"/>
              </w:rPr>
            </w:pPr>
            <w:r>
              <w:rPr>
                <w:rFonts w:hint="eastAsia"/>
                <w:sz w:val="24"/>
                <w:u w:val="none"/>
              </w:rPr>
              <w:t>排水管内经及长度合格，保证生产废水及上清液输送通畅</w:t>
            </w:r>
            <w:r>
              <w:rPr>
                <w:rFonts w:hint="eastAsia"/>
                <w:sz w:val="24"/>
                <w:u w:val="none"/>
                <w:lang w:eastAsia="zh-CN"/>
              </w:rPr>
              <w:t>；</w:t>
            </w:r>
          </w:p>
          <w:p w14:paraId="3D2EFDCD">
            <w:pPr>
              <w:keepNext w:val="0"/>
              <w:keepLines w:val="0"/>
              <w:pageBreakBefore w:val="0"/>
              <w:widowControl w:val="0"/>
              <w:numPr>
                <w:ilvl w:val="0"/>
                <w:numId w:val="3"/>
              </w:numPr>
              <w:kinsoku/>
              <w:wordWrap/>
              <w:overflowPunct/>
              <w:topLinePunct w:val="0"/>
              <w:bidi w:val="0"/>
              <w:snapToGrid/>
              <w:spacing w:line="500" w:lineRule="exact"/>
              <w:ind w:left="0" w:leftChars="0" w:firstLine="480" w:firstLineChars="200"/>
              <w:textAlignment w:val="auto"/>
              <w:rPr>
                <w:rFonts w:hint="eastAsia"/>
                <w:sz w:val="24"/>
                <w:u w:val="none"/>
              </w:rPr>
            </w:pPr>
            <w:r>
              <w:rPr>
                <w:rFonts w:hint="eastAsia"/>
                <w:sz w:val="24"/>
                <w:u w:val="none"/>
              </w:rPr>
              <w:t>排水管质量合格，应具备排水安全性及耐腐蚀性等性能，保证废水及上清液不外漏；</w:t>
            </w:r>
          </w:p>
          <w:p w14:paraId="30AB7C6C">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firstLine="480" w:firstLineChars="200"/>
              <w:jc w:val="left"/>
              <w:textAlignment w:val="auto"/>
              <w:rPr>
                <w:rFonts w:hint="eastAsia"/>
                <w:sz w:val="24"/>
                <w:u w:val="none"/>
              </w:rPr>
            </w:pPr>
            <w:r>
              <w:rPr>
                <w:rFonts w:hint="eastAsia"/>
                <w:sz w:val="24"/>
                <w:u w:val="none"/>
              </w:rPr>
              <w:t>c、本项目浓缩罐和清水池为钢结构，均应按照沉淀池和清水池的设计规范进行设计</w:t>
            </w:r>
            <w:r>
              <w:rPr>
                <w:rFonts w:hint="eastAsia"/>
                <w:sz w:val="24"/>
                <w:u w:val="none"/>
                <w:lang w:eastAsia="zh-CN"/>
              </w:rPr>
              <w:t>，</w:t>
            </w:r>
            <w:r>
              <w:rPr>
                <w:rFonts w:hint="eastAsia"/>
                <w:sz w:val="24"/>
                <w:u w:val="none"/>
              </w:rPr>
              <w:t>根据项目生产用水循环水量，并保证污浓缩沉淀罐有足够的余量来容纳筛分</w:t>
            </w:r>
            <w:r>
              <w:rPr>
                <w:rFonts w:hint="eastAsia"/>
                <w:sz w:val="24"/>
                <w:u w:val="none"/>
                <w:lang w:val="en-US" w:eastAsia="zh-CN"/>
              </w:rPr>
              <w:t>和清洗</w:t>
            </w:r>
            <w:r>
              <w:rPr>
                <w:rFonts w:hint="eastAsia"/>
                <w:sz w:val="24"/>
                <w:u w:val="none"/>
              </w:rPr>
              <w:t>工序</w:t>
            </w:r>
            <w:r>
              <w:rPr>
                <w:rFonts w:hint="eastAsia"/>
                <w:sz w:val="24"/>
                <w:u w:val="none"/>
                <w:lang w:val="en-US" w:eastAsia="zh-CN"/>
              </w:rPr>
              <w:t>产生的</w:t>
            </w:r>
            <w:r>
              <w:rPr>
                <w:rFonts w:hint="eastAsia"/>
                <w:sz w:val="24"/>
                <w:u w:val="none"/>
              </w:rPr>
              <w:t>废水，根据工程分析，本项目应设置容积不小于</w:t>
            </w:r>
            <w:r>
              <w:rPr>
                <w:rFonts w:hint="eastAsia"/>
                <w:sz w:val="24"/>
                <w:u w:val="none"/>
                <w:lang w:val="en-US" w:eastAsia="zh-CN"/>
              </w:rPr>
              <w:t>80</w:t>
            </w:r>
            <w:r>
              <w:rPr>
                <w:sz w:val="24"/>
                <w:u w:val="none"/>
              </w:rPr>
              <w:t>m</w:t>
            </w:r>
            <w:r>
              <w:rPr>
                <w:sz w:val="24"/>
                <w:u w:val="none"/>
                <w:vertAlign w:val="superscript"/>
              </w:rPr>
              <w:t>3</w:t>
            </w:r>
            <w:r>
              <w:rPr>
                <w:rFonts w:hint="eastAsia"/>
                <w:sz w:val="24"/>
                <w:u w:val="none"/>
              </w:rPr>
              <w:t>的</w:t>
            </w:r>
            <w:r>
              <w:rPr>
                <w:rFonts w:hint="eastAsia"/>
                <w:sz w:val="24"/>
                <w:u w:val="none"/>
                <w:lang w:val="en-US" w:eastAsia="zh-CN"/>
              </w:rPr>
              <w:t>浓缩罐和清水池</w:t>
            </w:r>
            <w:r>
              <w:rPr>
                <w:rFonts w:hint="eastAsia"/>
                <w:sz w:val="24"/>
                <w:u w:val="none"/>
              </w:rPr>
              <w:t>，</w:t>
            </w:r>
            <w:r>
              <w:rPr>
                <w:rFonts w:hint="eastAsia"/>
                <w:sz w:val="24"/>
                <w:u w:val="none"/>
                <w:lang w:val="en-US" w:eastAsia="zh-CN"/>
              </w:rPr>
              <w:t>所以</w:t>
            </w:r>
            <w:r>
              <w:rPr>
                <w:rFonts w:hint="eastAsia"/>
                <w:sz w:val="24"/>
                <w:u w:val="none"/>
              </w:rPr>
              <w:t>项目</w:t>
            </w:r>
            <w:r>
              <w:rPr>
                <w:rFonts w:hint="eastAsia"/>
                <w:sz w:val="24"/>
                <w:u w:val="none"/>
                <w:lang w:val="en-US" w:eastAsia="zh-CN"/>
              </w:rPr>
              <w:t>污水池10m</w:t>
            </w:r>
            <w:r>
              <w:rPr>
                <w:rFonts w:hint="eastAsia"/>
                <w:sz w:val="24"/>
                <w:u w:val="none"/>
                <w:vertAlign w:val="superscript"/>
                <w:lang w:val="en-US" w:eastAsia="zh-CN"/>
              </w:rPr>
              <w:t>3</w:t>
            </w:r>
            <w:r>
              <w:rPr>
                <w:rFonts w:hint="eastAsia"/>
                <w:sz w:val="24"/>
                <w:u w:val="none"/>
                <w:lang w:val="en-US" w:eastAsia="zh-CN"/>
              </w:rPr>
              <w:t>+</w:t>
            </w:r>
            <w:r>
              <w:rPr>
                <w:rFonts w:hint="eastAsia"/>
                <w:sz w:val="24"/>
                <w:u w:val="none"/>
              </w:rPr>
              <w:t>浓缩</w:t>
            </w:r>
            <w:r>
              <w:rPr>
                <w:rFonts w:hint="eastAsia"/>
                <w:sz w:val="24"/>
                <w:u w:val="none"/>
                <w:lang w:val="en-US" w:eastAsia="zh-CN"/>
              </w:rPr>
              <w:t>罐300</w:t>
            </w:r>
            <w:r>
              <w:rPr>
                <w:rFonts w:hint="eastAsia"/>
                <w:sz w:val="24"/>
                <w:u w:val="none"/>
              </w:rPr>
              <w:t>m</w:t>
            </w:r>
            <w:r>
              <w:rPr>
                <w:rFonts w:hint="eastAsia"/>
                <w:sz w:val="24"/>
                <w:u w:val="none"/>
                <w:vertAlign w:val="superscript"/>
              </w:rPr>
              <w:t>3</w:t>
            </w:r>
            <w:r>
              <w:rPr>
                <w:rFonts w:hint="eastAsia"/>
                <w:sz w:val="24"/>
                <w:u w:val="none"/>
              </w:rPr>
              <w:t>+</w:t>
            </w:r>
            <w:r>
              <w:rPr>
                <w:rFonts w:hint="eastAsia"/>
                <w:sz w:val="24"/>
                <w:u w:val="none"/>
                <w:lang w:val="en-US" w:eastAsia="zh-CN"/>
              </w:rPr>
              <w:t>清水</w:t>
            </w:r>
            <w:r>
              <w:rPr>
                <w:rFonts w:hint="eastAsia"/>
                <w:sz w:val="24"/>
                <w:u w:val="none"/>
              </w:rPr>
              <w:t>池</w:t>
            </w:r>
            <w:r>
              <w:rPr>
                <w:rFonts w:hint="eastAsia"/>
                <w:sz w:val="24"/>
                <w:u w:val="none"/>
                <w:lang w:val="en-US" w:eastAsia="zh-CN"/>
              </w:rPr>
              <w:t>80</w:t>
            </w:r>
            <w:r>
              <w:rPr>
                <w:rFonts w:hint="eastAsia"/>
                <w:sz w:val="24"/>
                <w:u w:val="none"/>
              </w:rPr>
              <w:t>m</w:t>
            </w:r>
            <w:r>
              <w:rPr>
                <w:rFonts w:hint="eastAsia"/>
                <w:sz w:val="24"/>
                <w:u w:val="none"/>
                <w:vertAlign w:val="superscript"/>
              </w:rPr>
              <w:t>3</w:t>
            </w:r>
            <w:r>
              <w:rPr>
                <w:rFonts w:hint="eastAsia"/>
                <w:sz w:val="24"/>
                <w:u w:val="none"/>
              </w:rPr>
              <w:t>，项目设计可满足</w:t>
            </w:r>
            <w:r>
              <w:rPr>
                <w:rFonts w:hint="eastAsia"/>
                <w:sz w:val="24"/>
                <w:u w:val="none"/>
                <w:lang w:val="en-US" w:eastAsia="zh-CN"/>
              </w:rPr>
              <w:t>生产废水</w:t>
            </w:r>
            <w:r>
              <w:rPr>
                <w:rFonts w:hint="eastAsia"/>
                <w:sz w:val="24"/>
                <w:u w:val="none"/>
              </w:rPr>
              <w:t>要求。</w:t>
            </w:r>
          </w:p>
          <w:p w14:paraId="6235533E">
            <w:pPr>
              <w:pStyle w:val="38"/>
              <w:keepNext w:val="0"/>
              <w:keepLines w:val="0"/>
              <w:pageBreakBefore w:val="0"/>
              <w:widowControl w:val="0"/>
              <w:kinsoku/>
              <w:wordWrap/>
              <w:overflowPunct/>
              <w:topLinePunct w:val="0"/>
              <w:bidi w:val="0"/>
              <w:snapToGrid/>
              <w:spacing w:line="500" w:lineRule="exact"/>
              <w:ind w:firstLine="480" w:firstLineChars="200"/>
              <w:textAlignment w:val="auto"/>
              <w:rPr>
                <w:rFonts w:ascii="Times New Roman" w:hAnsi="Times New Roman" w:eastAsia="宋体"/>
                <w:b w:val="0"/>
                <w:color w:val="000000"/>
                <w:sz w:val="24"/>
                <w:szCs w:val="21"/>
              </w:rPr>
            </w:pPr>
            <w:r>
              <w:rPr>
                <w:rFonts w:hint="eastAsia" w:ascii="Times New Roman" w:hAnsi="Times New Roman" w:eastAsia="宋体"/>
                <w:b w:val="0"/>
                <w:color w:val="000000"/>
                <w:sz w:val="24"/>
                <w:szCs w:val="21"/>
              </w:rPr>
              <w:t>（2）结论</w:t>
            </w:r>
          </w:p>
          <w:p w14:paraId="63C525EA">
            <w:pPr>
              <w:keepNext w:val="0"/>
              <w:keepLines w:val="0"/>
              <w:pageBreakBefore w:val="0"/>
              <w:widowControl w:val="0"/>
              <w:kinsoku/>
              <w:wordWrap/>
              <w:overflowPunct/>
              <w:topLinePunct w:val="0"/>
              <w:bidi w:val="0"/>
              <w:snapToGrid/>
              <w:spacing w:line="500" w:lineRule="exact"/>
              <w:ind w:firstLine="480" w:firstLineChars="200"/>
              <w:textAlignment w:val="auto"/>
              <w:rPr>
                <w:rFonts w:hint="eastAsia"/>
                <w:color w:val="000000"/>
                <w:sz w:val="24"/>
                <w:szCs w:val="21"/>
                <w:u w:val="none"/>
              </w:rPr>
            </w:pPr>
            <w:r>
              <w:rPr>
                <w:rFonts w:hint="eastAsia"/>
                <w:color w:val="000000"/>
                <w:sz w:val="24"/>
                <w:szCs w:val="21"/>
                <w:u w:val="none"/>
              </w:rPr>
              <w:t>综上所述，生产废水经</w:t>
            </w:r>
            <w:r>
              <w:rPr>
                <w:rFonts w:hint="eastAsia"/>
                <w:color w:val="000000"/>
                <w:sz w:val="24"/>
                <w:szCs w:val="21"/>
                <w:u w:val="none"/>
                <w:lang w:val="en-US" w:eastAsia="zh-CN"/>
              </w:rPr>
              <w:t>浓缩罐浓缩</w:t>
            </w:r>
            <w:r>
              <w:rPr>
                <w:rFonts w:hint="eastAsia"/>
                <w:color w:val="000000"/>
                <w:sz w:val="24"/>
                <w:szCs w:val="21"/>
                <w:u w:val="none"/>
              </w:rPr>
              <w:t>后上清液进入清水池后回用于</w:t>
            </w:r>
            <w:r>
              <w:rPr>
                <w:rFonts w:hint="eastAsia"/>
                <w:color w:val="000000"/>
                <w:sz w:val="24"/>
                <w:szCs w:val="21"/>
                <w:u w:val="none"/>
                <w:lang w:val="en-US" w:eastAsia="zh-CN"/>
              </w:rPr>
              <w:t>生产工序中，不外排；</w:t>
            </w:r>
            <w:r>
              <w:rPr>
                <w:rFonts w:hint="eastAsia"/>
                <w:color w:val="000000"/>
                <w:sz w:val="24"/>
                <w:szCs w:val="21"/>
                <w:u w:val="none"/>
              </w:rPr>
              <w:t>车辆清洗废水经沉淀池沉淀后回用于</w:t>
            </w:r>
            <w:r>
              <w:rPr>
                <w:rFonts w:hint="eastAsia"/>
                <w:color w:val="000000"/>
                <w:sz w:val="24"/>
                <w:szCs w:val="21"/>
                <w:u w:val="none"/>
                <w:lang w:val="en-US" w:eastAsia="zh-CN"/>
              </w:rPr>
              <w:t>货车冲洗</w:t>
            </w:r>
            <w:r>
              <w:rPr>
                <w:rFonts w:hint="eastAsia"/>
                <w:color w:val="000000"/>
                <w:sz w:val="24"/>
                <w:szCs w:val="21"/>
                <w:u w:val="none"/>
              </w:rPr>
              <w:t>，不外排；生活污水经</w:t>
            </w:r>
            <w:r>
              <w:rPr>
                <w:rFonts w:hint="eastAsia"/>
                <w:color w:val="000000"/>
                <w:sz w:val="24"/>
                <w:szCs w:val="21"/>
                <w:u w:val="none"/>
                <w:lang w:val="en-US" w:eastAsia="zh-CN"/>
              </w:rPr>
              <w:t>过</w:t>
            </w:r>
            <w:r>
              <w:rPr>
                <w:rFonts w:hint="eastAsia"/>
                <w:color w:val="000000"/>
                <w:sz w:val="24"/>
                <w:szCs w:val="21"/>
                <w:u w:val="none"/>
              </w:rPr>
              <w:t>化粪池处理</w:t>
            </w:r>
            <w:r>
              <w:rPr>
                <w:rFonts w:hint="eastAsia"/>
                <w:color w:val="000000"/>
                <w:sz w:val="24"/>
                <w:szCs w:val="21"/>
                <w:u w:val="none"/>
                <w:lang w:val="en-US" w:eastAsia="zh-CN"/>
              </w:rPr>
              <w:t>后</w:t>
            </w:r>
            <w:r>
              <w:rPr>
                <w:rFonts w:hint="eastAsia"/>
                <w:color w:val="000000"/>
                <w:sz w:val="24"/>
                <w:szCs w:val="21"/>
                <w:u w:val="none"/>
              </w:rPr>
              <w:t>定期清掏用作周边农田施肥，</w:t>
            </w:r>
            <w:r>
              <w:rPr>
                <w:rFonts w:hint="eastAsia"/>
                <w:color w:val="000000"/>
                <w:sz w:val="24"/>
                <w:szCs w:val="21"/>
                <w:u w:val="none"/>
                <w:lang w:val="en-US" w:eastAsia="zh-CN"/>
              </w:rPr>
              <w:t>资源化利用，</w:t>
            </w:r>
            <w:r>
              <w:rPr>
                <w:rFonts w:hint="eastAsia"/>
                <w:color w:val="000000"/>
                <w:sz w:val="24"/>
                <w:szCs w:val="21"/>
                <w:u w:val="none"/>
              </w:rPr>
              <w:t>不外排</w:t>
            </w:r>
            <w:r>
              <w:rPr>
                <w:rFonts w:hint="eastAsia"/>
                <w:color w:val="000000"/>
                <w:sz w:val="24"/>
                <w:szCs w:val="21"/>
                <w:u w:val="none"/>
                <w:lang w:eastAsia="zh-CN"/>
              </w:rPr>
              <w:t>。</w:t>
            </w:r>
            <w:r>
              <w:rPr>
                <w:rFonts w:hint="eastAsia"/>
                <w:color w:val="000000"/>
                <w:sz w:val="24"/>
                <w:szCs w:val="21"/>
                <w:u w:val="none"/>
              </w:rPr>
              <w:t>本项目的污水处理设施</w:t>
            </w:r>
            <w:r>
              <w:rPr>
                <w:rFonts w:hint="eastAsia"/>
                <w:color w:val="000000"/>
                <w:sz w:val="24"/>
                <w:szCs w:val="21"/>
                <w:u w:val="none"/>
                <w:lang w:val="en-US" w:eastAsia="zh-CN"/>
              </w:rPr>
              <w:t>均满足污水储存处理要求</w:t>
            </w:r>
            <w:r>
              <w:rPr>
                <w:rFonts w:hint="eastAsia"/>
                <w:color w:val="000000"/>
                <w:sz w:val="24"/>
                <w:szCs w:val="21"/>
                <w:u w:val="none"/>
              </w:rPr>
              <w:t>，因此，项目产生的废水不会对附近</w:t>
            </w:r>
            <w:r>
              <w:rPr>
                <w:rFonts w:hint="eastAsia"/>
                <w:color w:val="000000"/>
                <w:sz w:val="24"/>
                <w:szCs w:val="21"/>
                <w:u w:val="none"/>
                <w:lang w:val="en-US" w:eastAsia="zh-CN"/>
              </w:rPr>
              <w:t>清洁</w:t>
            </w:r>
            <w:r>
              <w:rPr>
                <w:rFonts w:hint="eastAsia"/>
                <w:color w:val="000000"/>
                <w:sz w:val="24"/>
                <w:szCs w:val="21"/>
                <w:u w:val="none"/>
              </w:rPr>
              <w:t>水体</w:t>
            </w:r>
            <w:r>
              <w:rPr>
                <w:rFonts w:hint="eastAsia"/>
                <w:color w:val="000000"/>
                <w:sz w:val="24"/>
                <w:szCs w:val="21"/>
                <w:u w:val="none"/>
                <w:lang w:val="en-US" w:eastAsia="zh-CN"/>
              </w:rPr>
              <w:t>和周围生态环境造成较大</w:t>
            </w:r>
            <w:r>
              <w:rPr>
                <w:rFonts w:hint="eastAsia"/>
                <w:color w:val="000000"/>
                <w:sz w:val="24"/>
                <w:szCs w:val="21"/>
                <w:u w:val="none"/>
              </w:rPr>
              <w:t>影响。</w:t>
            </w:r>
          </w:p>
          <w:p w14:paraId="7D2E7D33">
            <w:pPr>
              <w:pStyle w:val="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b/>
                <w:kern w:val="0"/>
                <w:lang w:val="en-US" w:eastAsia="zh-CN"/>
              </w:rPr>
            </w:pPr>
            <w:r>
              <w:rPr>
                <w:rFonts w:hint="default" w:ascii="Times New Roman" w:hAnsi="Times New Roman" w:cs="Times New Roman"/>
                <w:b/>
                <w:kern w:val="0"/>
              </w:rPr>
              <w:t>3、噪声</w:t>
            </w:r>
            <w:r>
              <w:rPr>
                <w:rFonts w:hint="default" w:ascii="Times New Roman" w:hAnsi="Times New Roman" w:cs="Times New Roman"/>
                <w:b/>
                <w:kern w:val="0"/>
                <w:lang w:val="en-US" w:eastAsia="zh-CN"/>
              </w:rPr>
              <w:t>环境影响分析</w:t>
            </w:r>
          </w:p>
          <w:p w14:paraId="7BF57B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default" w:ascii="Times New Roman" w:hAnsi="Times New Roman" w:eastAsia="宋体" w:cs="Times New Roman"/>
                <w:b w:val="0"/>
                <w:bCs w:val="0"/>
                <w:color w:val="000000"/>
                <w:sz w:val="24"/>
                <w:highlight w:val="yellow"/>
                <w:lang w:val="en-US" w:eastAsia="zh-CN"/>
              </w:rPr>
            </w:pPr>
            <w:r>
              <w:rPr>
                <w:rFonts w:hint="default" w:ascii="Times New Roman" w:hAnsi="Times New Roman" w:cs="Times New Roman"/>
                <w:b w:val="0"/>
                <w:bCs w:val="0"/>
                <w:color w:val="000000"/>
                <w:sz w:val="24"/>
                <w:highlight w:val="none"/>
                <w:lang w:val="en-US" w:eastAsia="zh-CN"/>
              </w:rPr>
              <w:t>3.1</w:t>
            </w:r>
            <w:r>
              <w:rPr>
                <w:rFonts w:hint="default" w:ascii="Times New Roman" w:hAnsi="Times New Roman" w:cs="Times New Roman"/>
                <w:b w:val="0"/>
                <w:bCs w:val="0"/>
                <w:color w:val="000000"/>
                <w:sz w:val="24"/>
                <w:highlight w:val="none"/>
              </w:rPr>
              <w:t>噪声污染源</w:t>
            </w:r>
            <w:r>
              <w:rPr>
                <w:rFonts w:hint="default" w:ascii="Times New Roman" w:hAnsi="Times New Roman" w:cs="Times New Roman"/>
                <w:b w:val="0"/>
                <w:bCs w:val="0"/>
                <w:color w:val="000000"/>
                <w:sz w:val="24"/>
                <w:highlight w:val="none"/>
                <w:lang w:val="en-US" w:eastAsia="zh-CN"/>
              </w:rPr>
              <w:t>调查情况</w:t>
            </w:r>
          </w:p>
          <w:p w14:paraId="6E155E2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本项目噪声主要</w:t>
            </w:r>
            <w:r>
              <w:rPr>
                <w:rFonts w:hint="eastAsia" w:cs="Times New Roman"/>
                <w:bCs/>
                <w:color w:val="auto"/>
                <w:sz w:val="24"/>
                <w:highlight w:val="none"/>
                <w:lang w:val="en-US" w:eastAsia="zh-CN"/>
              </w:rPr>
              <w:t>喂料机、颚破</w:t>
            </w:r>
            <w:r>
              <w:rPr>
                <w:rFonts w:hint="default" w:ascii="Times New Roman" w:hAnsi="Times New Roman" w:cs="Times New Roman"/>
                <w:bCs/>
                <w:color w:val="auto"/>
                <w:sz w:val="24"/>
                <w:highlight w:val="none"/>
                <w:lang w:val="en-US" w:eastAsia="zh-CN"/>
              </w:rPr>
              <w:t>机、</w:t>
            </w:r>
            <w:r>
              <w:rPr>
                <w:rFonts w:hint="eastAsia" w:cs="Times New Roman"/>
                <w:bCs/>
                <w:color w:val="auto"/>
                <w:sz w:val="24"/>
                <w:highlight w:val="none"/>
                <w:lang w:val="en-US" w:eastAsia="zh-CN"/>
              </w:rPr>
              <w:t>筛分机</w:t>
            </w:r>
            <w:r>
              <w:rPr>
                <w:rFonts w:hint="default" w:ascii="Times New Roman" w:hAnsi="Times New Roman" w:cs="Times New Roman"/>
                <w:bCs/>
                <w:color w:val="auto"/>
                <w:sz w:val="24"/>
                <w:highlight w:val="none"/>
                <w:lang w:val="en-US" w:eastAsia="zh-CN"/>
              </w:rPr>
              <w:t>、</w:t>
            </w:r>
            <w:r>
              <w:rPr>
                <w:rFonts w:hint="eastAsia" w:cs="Times New Roman"/>
                <w:bCs/>
                <w:color w:val="auto"/>
                <w:sz w:val="24"/>
                <w:highlight w:val="none"/>
                <w:lang w:val="en-US" w:eastAsia="zh-CN"/>
              </w:rPr>
              <w:t>粉碎机、水轮</w:t>
            </w:r>
            <w:r>
              <w:rPr>
                <w:rFonts w:hint="default" w:ascii="Times New Roman" w:hAnsi="Times New Roman" w:cs="Times New Roman"/>
                <w:bCs/>
                <w:color w:val="auto"/>
                <w:sz w:val="24"/>
                <w:highlight w:val="none"/>
                <w:lang w:val="en-US" w:eastAsia="zh-CN"/>
              </w:rPr>
              <w:t>清洗机、脱水筛、</w:t>
            </w:r>
            <w:r>
              <w:rPr>
                <w:rFonts w:hint="eastAsia" w:cs="Times New Roman"/>
                <w:bCs/>
                <w:color w:val="auto"/>
                <w:sz w:val="24"/>
                <w:highlight w:val="none"/>
                <w:lang w:val="en-US" w:eastAsia="zh-CN"/>
              </w:rPr>
              <w:t>水泥筒仓风机、配料仓给</w:t>
            </w:r>
            <w:r>
              <w:rPr>
                <w:rFonts w:hint="default" w:ascii="Times New Roman" w:hAnsi="Times New Roman" w:cs="Times New Roman"/>
                <w:bCs/>
                <w:color w:val="auto"/>
                <w:sz w:val="24"/>
                <w:highlight w:val="none"/>
                <w:lang w:val="en-US" w:eastAsia="zh-CN"/>
              </w:rPr>
              <w:t>料机、</w:t>
            </w:r>
            <w:r>
              <w:rPr>
                <w:rFonts w:hint="eastAsia" w:cs="Times New Roman"/>
                <w:bCs/>
                <w:color w:val="auto"/>
                <w:sz w:val="24"/>
                <w:highlight w:val="none"/>
                <w:lang w:val="en-US" w:eastAsia="zh-CN"/>
              </w:rPr>
              <w:t>上料</w:t>
            </w:r>
            <w:r>
              <w:rPr>
                <w:rFonts w:hint="default" w:ascii="Times New Roman" w:hAnsi="Times New Roman" w:cs="Times New Roman"/>
                <w:bCs/>
                <w:color w:val="auto"/>
                <w:sz w:val="24"/>
                <w:highlight w:val="none"/>
                <w:lang w:val="en-US" w:eastAsia="zh-CN"/>
              </w:rPr>
              <w:t>机、</w:t>
            </w:r>
            <w:r>
              <w:rPr>
                <w:rFonts w:hint="eastAsia" w:cs="Times New Roman"/>
                <w:bCs/>
                <w:color w:val="auto"/>
                <w:sz w:val="24"/>
                <w:highlight w:val="none"/>
                <w:lang w:val="en-US" w:eastAsia="zh-CN"/>
              </w:rPr>
              <w:t>搅拌设备、板框压滤机、</w:t>
            </w:r>
            <w:r>
              <w:rPr>
                <w:rFonts w:hint="eastAsia" w:ascii="Times New Roman" w:hAnsi="Times New Roman"/>
                <w:color w:val="auto"/>
                <w:sz w:val="24"/>
                <w:highlight w:val="none"/>
                <w:lang w:val="en-US" w:eastAsia="zh-CN"/>
              </w:rPr>
              <w:t>废气处理环保设备</w:t>
            </w:r>
            <w:r>
              <w:rPr>
                <w:rFonts w:hint="eastAsia" w:cs="Times New Roman"/>
                <w:bCs/>
                <w:color w:val="auto"/>
                <w:sz w:val="24"/>
                <w:highlight w:val="none"/>
                <w:lang w:val="en-US" w:eastAsia="zh-CN"/>
              </w:rPr>
              <w:t>风机</w:t>
            </w:r>
            <w:r>
              <w:rPr>
                <w:rFonts w:ascii="Times New Roman" w:hAnsi="Times New Roman"/>
                <w:color w:val="auto"/>
                <w:sz w:val="24"/>
                <w:highlight w:val="none"/>
              </w:rPr>
              <w:t>等运行产生的噪声，</w:t>
            </w:r>
            <w:r>
              <w:rPr>
                <w:rFonts w:ascii="Times New Roman" w:hAnsi="Times New Roman" w:cs="Times New Roman"/>
                <w:bCs/>
                <w:color w:val="auto"/>
                <w:sz w:val="24"/>
                <w:highlight w:val="none"/>
              </w:rPr>
              <w:t>经类比分析，噪声声级值为7</w:t>
            </w:r>
            <w:r>
              <w:rPr>
                <w:rFonts w:hint="eastAsia" w:ascii="Times New Roman" w:hAnsi="Times New Roman" w:cs="Times New Roman"/>
                <w:bCs/>
                <w:color w:val="auto"/>
                <w:sz w:val="24"/>
                <w:highlight w:val="none"/>
                <w:lang w:val="en-US" w:eastAsia="zh-CN"/>
              </w:rPr>
              <w:t>0</w:t>
            </w:r>
            <w:r>
              <w:rPr>
                <w:rFonts w:ascii="Times New Roman" w:hAnsi="Times New Roman" w:cs="Times New Roman"/>
                <w:bCs/>
                <w:color w:val="auto"/>
                <w:sz w:val="24"/>
                <w:highlight w:val="none"/>
              </w:rPr>
              <w:t>~</w:t>
            </w:r>
            <w:r>
              <w:rPr>
                <w:rFonts w:hint="eastAsia" w:ascii="Times New Roman" w:hAnsi="Times New Roman" w:cs="Times New Roman"/>
                <w:bCs/>
                <w:color w:val="auto"/>
                <w:sz w:val="24"/>
                <w:highlight w:val="none"/>
                <w:lang w:val="en-US" w:eastAsia="zh-CN"/>
              </w:rPr>
              <w:t>85</w:t>
            </w:r>
            <w:r>
              <w:rPr>
                <w:rFonts w:hint="eastAsia" w:ascii="Times New Roman" w:hAnsi="Times New Roman" w:cs="Times New Roman"/>
                <w:bCs/>
                <w:color w:val="auto"/>
                <w:sz w:val="24"/>
                <w:highlight w:val="none"/>
              </w:rPr>
              <w:t>dB</w:t>
            </w:r>
            <w:r>
              <w:rPr>
                <w:rFonts w:ascii="Times New Roman" w:hAnsi="Times New Roman" w:cs="Times New Roman"/>
                <w:bCs/>
                <w:color w:val="auto"/>
                <w:sz w:val="24"/>
                <w:highlight w:val="none"/>
              </w:rPr>
              <w:t>(A)。设备为固定噪声源，全部置于生产车间内。</w:t>
            </w:r>
            <w:r>
              <w:rPr>
                <w:rFonts w:hint="eastAsia" w:cs="Times New Roman"/>
                <w:bCs/>
                <w:color w:val="auto"/>
                <w:sz w:val="24"/>
                <w:highlight w:val="none"/>
                <w:lang w:val="en-US" w:eastAsia="zh-CN"/>
              </w:rPr>
              <w:t>本</w:t>
            </w:r>
            <w:r>
              <w:rPr>
                <w:rFonts w:ascii="Times New Roman" w:hAnsi="Times New Roman" w:cs="Times New Roman"/>
                <w:bCs/>
                <w:color w:val="auto"/>
                <w:sz w:val="24"/>
                <w:highlight w:val="none"/>
              </w:rPr>
              <w:t>项目设备产生的噪声值及治理措施见表</w:t>
            </w:r>
            <w:r>
              <w:rPr>
                <w:rFonts w:hint="eastAsia" w:cs="Times New Roman"/>
                <w:bCs/>
                <w:color w:val="auto"/>
                <w:sz w:val="24"/>
                <w:highlight w:val="none"/>
                <w:lang w:val="en-US" w:eastAsia="zh-CN"/>
              </w:rPr>
              <w:t>4-12</w:t>
            </w:r>
            <w:r>
              <w:rPr>
                <w:rFonts w:ascii="Times New Roman" w:hAnsi="Times New Roman" w:cs="Times New Roman"/>
                <w:bCs/>
                <w:color w:val="auto"/>
                <w:sz w:val="24"/>
                <w:highlight w:val="none"/>
              </w:rPr>
              <w:t>。</w:t>
            </w:r>
          </w:p>
          <w:p w14:paraId="526C613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000000"/>
                <w:kern w:val="2"/>
                <w:sz w:val="24"/>
                <w:szCs w:val="24"/>
                <w:highlight w:val="none"/>
                <w:lang w:val="en-US" w:eastAsia="zh-CN" w:bidi="ar-SA"/>
              </w:rPr>
            </w:pPr>
            <w:r>
              <w:rPr>
                <w:rFonts w:hint="eastAsia" w:ascii="Times New Roman" w:hAnsi="Times New Roman" w:eastAsia="宋体" w:cs="Times New Roman"/>
                <w:color w:val="000000"/>
                <w:kern w:val="2"/>
                <w:sz w:val="24"/>
                <w:szCs w:val="24"/>
                <w:highlight w:val="none"/>
                <w:lang w:val="en-US" w:eastAsia="zh-CN" w:bidi="ar-SA"/>
              </w:rPr>
              <w:t>根据《环境影响评价技术导则</w:t>
            </w:r>
            <w:r>
              <w:rPr>
                <w:rFonts w:hint="eastAsia" w:cs="Times New Roman"/>
                <w:color w:val="000000"/>
                <w:kern w:val="2"/>
                <w:sz w:val="24"/>
                <w:szCs w:val="24"/>
                <w:highlight w:val="none"/>
                <w:lang w:val="en-US" w:eastAsia="zh-CN" w:bidi="ar-SA"/>
              </w:rPr>
              <w:t xml:space="preserve"> </w:t>
            </w:r>
            <w:r>
              <w:rPr>
                <w:rFonts w:hint="eastAsia" w:ascii="Times New Roman" w:hAnsi="Times New Roman" w:eastAsia="宋体" w:cs="Times New Roman"/>
                <w:color w:val="000000"/>
                <w:kern w:val="2"/>
                <w:sz w:val="24"/>
                <w:szCs w:val="24"/>
                <w:highlight w:val="none"/>
                <w:lang w:val="en-US" w:eastAsia="zh-CN" w:bidi="ar-SA"/>
              </w:rPr>
              <w:t>声环境》（HJ</w:t>
            </w:r>
            <w:r>
              <w:rPr>
                <w:rFonts w:hint="eastAsia" w:cs="Times New Roman"/>
                <w:color w:val="000000"/>
                <w:kern w:val="2"/>
                <w:sz w:val="24"/>
                <w:szCs w:val="24"/>
                <w:highlight w:val="none"/>
                <w:lang w:val="en-US" w:eastAsia="zh-CN" w:bidi="ar-SA"/>
              </w:rPr>
              <w:t xml:space="preserve"> </w:t>
            </w:r>
            <w:r>
              <w:rPr>
                <w:rFonts w:hint="eastAsia" w:ascii="Times New Roman" w:hAnsi="Times New Roman" w:eastAsia="宋体" w:cs="Times New Roman"/>
                <w:color w:val="000000"/>
                <w:kern w:val="2"/>
                <w:sz w:val="24"/>
                <w:szCs w:val="24"/>
                <w:highlight w:val="none"/>
                <w:lang w:val="en-US" w:eastAsia="zh-CN" w:bidi="ar-SA"/>
              </w:rPr>
              <w:t>2.4-</w:t>
            </w:r>
            <w:r>
              <w:rPr>
                <w:rFonts w:hint="default" w:ascii="Times New Roman" w:hAnsi="Times New Roman" w:eastAsia="宋体" w:cs="Times New Roman"/>
                <w:color w:val="000000"/>
                <w:kern w:val="2"/>
                <w:sz w:val="24"/>
                <w:szCs w:val="24"/>
                <w:highlight w:val="none"/>
                <w:lang w:val="en-US" w:eastAsia="zh-CN" w:bidi="ar-SA"/>
              </w:rPr>
              <w:t>2021</w:t>
            </w:r>
            <w:r>
              <w:rPr>
                <w:rFonts w:hint="eastAsia" w:ascii="Times New Roman" w:hAnsi="Times New Roman" w:eastAsia="宋体" w:cs="Times New Roman"/>
                <w:color w:val="000000"/>
                <w:kern w:val="2"/>
                <w:sz w:val="24"/>
                <w:szCs w:val="24"/>
                <w:highlight w:val="none"/>
                <w:lang w:val="en-US" w:eastAsia="zh-CN" w:bidi="ar-SA"/>
              </w:rPr>
              <w:t>）要求，本项目运营期主要噪声源设备位置及噪声源强见下表，</w:t>
            </w:r>
            <w:r>
              <w:rPr>
                <w:rFonts w:hint="default" w:ascii="Times New Roman" w:hAnsi="Times New Roman" w:eastAsia="宋体" w:cs="Times New Roman"/>
                <w:color w:val="000000"/>
                <w:kern w:val="2"/>
                <w:sz w:val="24"/>
                <w:szCs w:val="24"/>
                <w:highlight w:val="none"/>
                <w:lang w:val="en-US" w:eastAsia="zh-CN" w:bidi="ar-SA"/>
              </w:rPr>
              <w:t>空间位置以</w:t>
            </w:r>
            <w:r>
              <w:rPr>
                <w:rFonts w:hint="eastAsia" w:ascii="Times New Roman" w:hAnsi="Times New Roman" w:eastAsia="宋体" w:cs="Times New Roman"/>
                <w:color w:val="000000"/>
                <w:kern w:val="2"/>
                <w:sz w:val="24"/>
                <w:szCs w:val="24"/>
                <w:highlight w:val="none"/>
                <w:lang w:val="en-US" w:eastAsia="zh-CN" w:bidi="ar-SA"/>
              </w:rPr>
              <w:t>生产车间</w:t>
            </w:r>
            <w:r>
              <w:rPr>
                <w:rFonts w:hint="eastAsia" w:cs="Times New Roman"/>
                <w:color w:val="000000"/>
                <w:kern w:val="2"/>
                <w:sz w:val="24"/>
                <w:szCs w:val="24"/>
                <w:highlight w:val="none"/>
                <w:lang w:val="en-US" w:eastAsia="zh-CN" w:bidi="ar-SA"/>
              </w:rPr>
              <w:t>中心</w:t>
            </w:r>
            <w:r>
              <w:rPr>
                <w:rFonts w:hint="default" w:ascii="Times New Roman" w:hAnsi="Times New Roman" w:eastAsia="宋体" w:cs="Times New Roman"/>
                <w:color w:val="000000"/>
                <w:kern w:val="2"/>
                <w:sz w:val="24"/>
                <w:szCs w:val="24"/>
                <w:highlight w:val="none"/>
                <w:lang w:val="en-US" w:eastAsia="zh-CN" w:bidi="ar-SA"/>
              </w:rPr>
              <w:t>为</w:t>
            </w:r>
            <w:r>
              <w:rPr>
                <w:rFonts w:hint="eastAsia" w:ascii="Times New Roman" w:hAnsi="Times New Roman" w:eastAsia="宋体" w:cs="Times New Roman"/>
                <w:color w:val="000000"/>
                <w:kern w:val="2"/>
                <w:sz w:val="24"/>
                <w:szCs w:val="24"/>
                <w:highlight w:val="none"/>
                <w:lang w:val="en-US" w:eastAsia="zh-CN" w:bidi="ar-SA"/>
              </w:rPr>
              <w:t>起始点。</w:t>
            </w:r>
          </w:p>
          <w:p w14:paraId="12BFAB35">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eastAsia" w:ascii="Times New Roman" w:hAnsi="Times New Roman" w:eastAsia="黑体" w:cs="Times New Roman"/>
                <w:b w:val="0"/>
                <w:bCs w:val="0"/>
                <w:sz w:val="24"/>
                <w:szCs w:val="24"/>
                <w:highlight w:val="none"/>
                <w:lang w:val="en-US" w:eastAsia="zh-CN"/>
              </w:rPr>
            </w:pPr>
            <w:r>
              <w:rPr>
                <w:rFonts w:hint="eastAsia" w:ascii="Times New Roman" w:hAnsi="Times New Roman" w:eastAsia="黑体" w:cs="Times New Roman"/>
                <w:b w:val="0"/>
                <w:bCs w:val="0"/>
                <w:sz w:val="24"/>
                <w:szCs w:val="24"/>
                <w:highlight w:val="none"/>
                <w:lang w:val="en-US" w:eastAsia="zh-CN"/>
              </w:rPr>
              <w:t>表4-</w:t>
            </w:r>
            <w:r>
              <w:rPr>
                <w:rFonts w:hint="eastAsia" w:eastAsia="黑体" w:cs="Times New Roman"/>
                <w:b w:val="0"/>
                <w:bCs w:val="0"/>
                <w:sz w:val="24"/>
                <w:szCs w:val="24"/>
                <w:highlight w:val="none"/>
                <w:lang w:val="en-US" w:eastAsia="zh-CN"/>
              </w:rPr>
              <w:t>12</w:t>
            </w:r>
            <w:r>
              <w:rPr>
                <w:rFonts w:hint="eastAsia" w:ascii="Times New Roman" w:hAnsi="Times New Roman" w:eastAsia="黑体" w:cs="Times New Roman"/>
                <w:b w:val="0"/>
                <w:bCs w:val="0"/>
                <w:sz w:val="24"/>
                <w:szCs w:val="24"/>
                <w:highlight w:val="none"/>
                <w:lang w:val="en-US" w:eastAsia="zh-CN"/>
              </w:rPr>
              <w:t xml:space="preserve">  室内主要声源调查清单</w:t>
            </w:r>
          </w:p>
          <w:tbl>
            <w:tblPr>
              <w:tblStyle w:val="23"/>
              <w:tblW w:w="50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0"/>
              <w:gridCol w:w="636"/>
              <w:gridCol w:w="576"/>
              <w:gridCol w:w="768"/>
              <w:gridCol w:w="468"/>
              <w:gridCol w:w="541"/>
              <w:gridCol w:w="516"/>
              <w:gridCol w:w="732"/>
              <w:gridCol w:w="756"/>
              <w:gridCol w:w="403"/>
              <w:gridCol w:w="688"/>
              <w:gridCol w:w="804"/>
              <w:gridCol w:w="720"/>
            </w:tblGrid>
            <w:tr w14:paraId="7AD9D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61" w:type="pct"/>
                  <w:vMerge w:val="restart"/>
                  <w:tcBorders>
                    <w:tl2br w:val="nil"/>
                    <w:tr2bl w:val="nil"/>
                  </w:tcBorders>
                  <w:noWrap w:val="0"/>
                  <w:vAlign w:val="center"/>
                </w:tcPr>
                <w:p w14:paraId="37CC656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b/>
                      <w:bCs/>
                      <w:sz w:val="21"/>
                      <w:szCs w:val="21"/>
                    </w:rPr>
                    <w:t>位置</w:t>
                  </w:r>
                </w:p>
              </w:tc>
              <w:tc>
                <w:tcPr>
                  <w:tcW w:w="396" w:type="pct"/>
                  <w:vMerge w:val="restart"/>
                  <w:tcBorders>
                    <w:tl2br w:val="nil"/>
                    <w:tr2bl w:val="nil"/>
                  </w:tcBorders>
                  <w:noWrap w:val="0"/>
                  <w:vAlign w:val="center"/>
                </w:tcPr>
                <w:p w14:paraId="553000B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b/>
                      <w:bCs/>
                      <w:sz w:val="21"/>
                      <w:szCs w:val="21"/>
                    </w:rPr>
                    <w:t>声源名称</w:t>
                  </w:r>
                </w:p>
              </w:tc>
              <w:tc>
                <w:tcPr>
                  <w:tcW w:w="358" w:type="pct"/>
                  <w:vMerge w:val="restart"/>
                  <w:tcBorders>
                    <w:tl2br w:val="nil"/>
                    <w:tr2bl w:val="nil"/>
                  </w:tcBorders>
                  <w:noWrap w:val="0"/>
                  <w:tcMar>
                    <w:left w:w="11" w:type="dxa"/>
                    <w:right w:w="11" w:type="dxa"/>
                  </w:tcMar>
                  <w:vAlign w:val="center"/>
                </w:tcPr>
                <w:p w14:paraId="7E0E076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rFonts w:hint="eastAsia"/>
                      <w:b/>
                      <w:bCs/>
                      <w:sz w:val="21"/>
                      <w:szCs w:val="21"/>
                    </w:rPr>
                    <w:t>声源</w:t>
                  </w:r>
                  <w:r>
                    <w:rPr>
                      <w:b/>
                      <w:bCs/>
                      <w:sz w:val="21"/>
                      <w:szCs w:val="21"/>
                    </w:rPr>
                    <w:t>源强</w:t>
                  </w:r>
                  <w:r>
                    <w:rPr>
                      <w:rFonts w:hint="eastAsia"/>
                      <w:b/>
                      <w:bCs/>
                      <w:sz w:val="21"/>
                      <w:szCs w:val="21"/>
                    </w:rPr>
                    <w:t>dB</w:t>
                  </w:r>
                  <w:r>
                    <w:rPr>
                      <w:rFonts w:hint="eastAsia"/>
                      <w:b/>
                      <w:bCs/>
                      <w:sz w:val="21"/>
                      <w:szCs w:val="21"/>
                      <w:highlight w:val="none"/>
                    </w:rPr>
                    <w:t>（A</w:t>
                  </w:r>
                  <w:r>
                    <w:rPr>
                      <w:rFonts w:hint="eastAsia"/>
                      <w:b/>
                      <w:bCs/>
                      <w:sz w:val="21"/>
                      <w:szCs w:val="21"/>
                    </w:rPr>
                    <w:t>）</w:t>
                  </w:r>
                </w:p>
              </w:tc>
              <w:tc>
                <w:tcPr>
                  <w:tcW w:w="478" w:type="pct"/>
                  <w:vMerge w:val="restart"/>
                  <w:tcBorders>
                    <w:tl2br w:val="nil"/>
                    <w:tr2bl w:val="nil"/>
                  </w:tcBorders>
                  <w:noWrap w:val="0"/>
                  <w:vAlign w:val="center"/>
                </w:tcPr>
                <w:p w14:paraId="4165972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b/>
                      <w:bCs/>
                      <w:sz w:val="21"/>
                      <w:szCs w:val="21"/>
                    </w:rPr>
                    <w:t>声源控制措施</w:t>
                  </w:r>
                </w:p>
              </w:tc>
              <w:tc>
                <w:tcPr>
                  <w:tcW w:w="949" w:type="pct"/>
                  <w:gridSpan w:val="3"/>
                  <w:tcBorders>
                    <w:tl2br w:val="nil"/>
                    <w:tr2bl w:val="nil"/>
                  </w:tcBorders>
                  <w:noWrap w:val="0"/>
                  <w:tcMar>
                    <w:left w:w="11" w:type="dxa"/>
                    <w:right w:w="11" w:type="dxa"/>
                  </w:tcMar>
                  <w:vAlign w:val="center"/>
                </w:tcPr>
                <w:p w14:paraId="2F61051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rFonts w:hint="eastAsia"/>
                      <w:b/>
                      <w:bCs/>
                      <w:sz w:val="21"/>
                      <w:szCs w:val="21"/>
                    </w:rPr>
                    <w:t>空间</w:t>
                  </w:r>
                  <w:r>
                    <w:rPr>
                      <w:b/>
                      <w:bCs/>
                      <w:sz w:val="21"/>
                      <w:szCs w:val="21"/>
                    </w:rPr>
                    <w:t>相对位置</w:t>
                  </w:r>
                </w:p>
              </w:tc>
              <w:tc>
                <w:tcPr>
                  <w:tcW w:w="455" w:type="pct"/>
                  <w:vMerge w:val="restart"/>
                  <w:tcBorders>
                    <w:tl2br w:val="nil"/>
                    <w:tr2bl w:val="nil"/>
                  </w:tcBorders>
                  <w:noWrap w:val="0"/>
                  <w:tcMar>
                    <w:left w:w="11" w:type="dxa"/>
                    <w:right w:w="11" w:type="dxa"/>
                  </w:tcMar>
                  <w:vAlign w:val="center"/>
                </w:tcPr>
                <w:p w14:paraId="3977C96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rFonts w:hint="eastAsia"/>
                      <w:b/>
                      <w:bCs/>
                      <w:sz w:val="21"/>
                      <w:szCs w:val="21"/>
                    </w:rPr>
                    <w:t>距室内边界距离</w:t>
                  </w:r>
                  <w:r>
                    <w:rPr>
                      <w:rFonts w:hint="eastAsia"/>
                      <w:b/>
                      <w:bCs/>
                      <w:sz w:val="21"/>
                      <w:szCs w:val="21"/>
                      <w:lang w:val="en-US" w:eastAsia="zh-CN"/>
                    </w:rPr>
                    <w:t>（m）</w:t>
                  </w:r>
                </w:p>
              </w:tc>
              <w:tc>
                <w:tcPr>
                  <w:tcW w:w="470" w:type="pct"/>
                  <w:vMerge w:val="restart"/>
                  <w:tcBorders>
                    <w:tl2br w:val="nil"/>
                    <w:tr2bl w:val="nil"/>
                  </w:tcBorders>
                  <w:noWrap w:val="0"/>
                  <w:tcMar>
                    <w:left w:w="11" w:type="dxa"/>
                    <w:right w:w="11" w:type="dxa"/>
                  </w:tcMar>
                  <w:vAlign w:val="center"/>
                </w:tcPr>
                <w:p w14:paraId="38AEDD0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rFonts w:hint="eastAsia"/>
                      <w:b/>
                      <w:bCs/>
                      <w:sz w:val="21"/>
                      <w:szCs w:val="21"/>
                    </w:rPr>
                    <w:t>室内边界声级dB（A）</w:t>
                  </w:r>
                </w:p>
              </w:tc>
              <w:tc>
                <w:tcPr>
                  <w:tcW w:w="250" w:type="pct"/>
                  <w:vMerge w:val="restart"/>
                  <w:tcBorders>
                    <w:tl2br w:val="nil"/>
                    <w:tr2bl w:val="nil"/>
                  </w:tcBorders>
                  <w:noWrap w:val="0"/>
                  <w:vAlign w:val="center"/>
                </w:tcPr>
                <w:p w14:paraId="1B16AB6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rFonts w:hint="eastAsia"/>
                      <w:b/>
                      <w:bCs/>
                      <w:sz w:val="21"/>
                      <w:szCs w:val="21"/>
                    </w:rPr>
                    <w:t>运行时段</w:t>
                  </w:r>
                </w:p>
              </w:tc>
              <w:tc>
                <w:tcPr>
                  <w:tcW w:w="428" w:type="pct"/>
                  <w:vMerge w:val="restart"/>
                  <w:tcBorders>
                    <w:tl2br w:val="nil"/>
                    <w:tr2bl w:val="nil"/>
                  </w:tcBorders>
                  <w:noWrap w:val="0"/>
                  <w:vAlign w:val="center"/>
                </w:tcPr>
                <w:p w14:paraId="6DB8FBD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rFonts w:hint="eastAsia"/>
                      <w:b/>
                      <w:bCs/>
                      <w:sz w:val="21"/>
                      <w:szCs w:val="21"/>
                      <w:highlight w:val="none"/>
                    </w:rPr>
                    <w:t>建筑物插入损失dB（A）</w:t>
                  </w:r>
                </w:p>
              </w:tc>
              <w:tc>
                <w:tcPr>
                  <w:tcW w:w="949" w:type="pct"/>
                  <w:gridSpan w:val="2"/>
                  <w:tcBorders>
                    <w:tl2br w:val="nil"/>
                    <w:tr2bl w:val="nil"/>
                  </w:tcBorders>
                  <w:noWrap w:val="0"/>
                  <w:vAlign w:val="center"/>
                </w:tcPr>
                <w:p w14:paraId="00ECBF7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eastAsia="宋体"/>
                      <w:b/>
                      <w:bCs/>
                      <w:sz w:val="21"/>
                      <w:szCs w:val="21"/>
                      <w:lang w:val="en-US" w:eastAsia="zh-CN"/>
                    </w:rPr>
                  </w:pPr>
                  <w:r>
                    <w:rPr>
                      <w:rFonts w:hint="eastAsia"/>
                      <w:b/>
                      <w:bCs/>
                      <w:sz w:val="21"/>
                      <w:szCs w:val="21"/>
                    </w:rPr>
                    <w:t>建筑物外</w:t>
                  </w:r>
                  <w:r>
                    <w:rPr>
                      <w:rFonts w:hint="eastAsia"/>
                      <w:b/>
                      <w:bCs/>
                      <w:lang w:val="en-US" w:eastAsia="zh-CN"/>
                    </w:rPr>
                    <w:t>噪声</w:t>
                  </w:r>
                </w:p>
              </w:tc>
            </w:tr>
            <w:tr w14:paraId="51A22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261" w:type="pct"/>
                  <w:vMerge w:val="continue"/>
                  <w:tcBorders>
                    <w:tl2br w:val="nil"/>
                    <w:tr2bl w:val="nil"/>
                  </w:tcBorders>
                  <w:noWrap w:val="0"/>
                  <w:vAlign w:val="center"/>
                </w:tcPr>
                <w:p w14:paraId="2517A39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rPr>
                  </w:pPr>
                </w:p>
              </w:tc>
              <w:tc>
                <w:tcPr>
                  <w:tcW w:w="396" w:type="pct"/>
                  <w:vMerge w:val="continue"/>
                  <w:tcBorders>
                    <w:tl2br w:val="nil"/>
                    <w:tr2bl w:val="nil"/>
                  </w:tcBorders>
                  <w:noWrap w:val="0"/>
                  <w:vAlign w:val="center"/>
                </w:tcPr>
                <w:p w14:paraId="3BFF736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rPr>
                  </w:pPr>
                </w:p>
              </w:tc>
              <w:tc>
                <w:tcPr>
                  <w:tcW w:w="358" w:type="pct"/>
                  <w:vMerge w:val="continue"/>
                  <w:tcBorders>
                    <w:tl2br w:val="nil"/>
                    <w:tr2bl w:val="nil"/>
                  </w:tcBorders>
                  <w:noWrap w:val="0"/>
                  <w:tcMar>
                    <w:left w:w="11" w:type="dxa"/>
                    <w:right w:w="11" w:type="dxa"/>
                  </w:tcMar>
                  <w:vAlign w:val="center"/>
                </w:tcPr>
                <w:p w14:paraId="6D7D47A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rPr>
                  </w:pPr>
                </w:p>
              </w:tc>
              <w:tc>
                <w:tcPr>
                  <w:tcW w:w="478" w:type="pct"/>
                  <w:vMerge w:val="continue"/>
                  <w:tcBorders>
                    <w:tl2br w:val="nil"/>
                    <w:tr2bl w:val="nil"/>
                  </w:tcBorders>
                  <w:noWrap w:val="0"/>
                  <w:vAlign w:val="center"/>
                </w:tcPr>
                <w:p w14:paraId="084141E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rPr>
                  </w:pPr>
                </w:p>
              </w:tc>
              <w:tc>
                <w:tcPr>
                  <w:tcW w:w="291" w:type="pct"/>
                  <w:tcBorders>
                    <w:tl2br w:val="nil"/>
                    <w:tr2bl w:val="nil"/>
                  </w:tcBorders>
                  <w:noWrap w:val="0"/>
                  <w:tcMar>
                    <w:left w:w="11" w:type="dxa"/>
                    <w:right w:w="11" w:type="dxa"/>
                  </w:tcMar>
                  <w:vAlign w:val="center"/>
                </w:tcPr>
                <w:p w14:paraId="0E8386E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rFonts w:hint="eastAsia"/>
                      <w:b/>
                      <w:bCs/>
                      <w:sz w:val="21"/>
                      <w:szCs w:val="21"/>
                    </w:rPr>
                    <w:t>X</w:t>
                  </w:r>
                </w:p>
              </w:tc>
              <w:tc>
                <w:tcPr>
                  <w:tcW w:w="336" w:type="pct"/>
                  <w:tcBorders>
                    <w:tl2br w:val="nil"/>
                    <w:tr2bl w:val="nil"/>
                  </w:tcBorders>
                  <w:noWrap w:val="0"/>
                  <w:vAlign w:val="center"/>
                </w:tcPr>
                <w:p w14:paraId="3395144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rFonts w:hint="eastAsia"/>
                      <w:b/>
                      <w:bCs/>
                      <w:sz w:val="21"/>
                      <w:szCs w:val="21"/>
                    </w:rPr>
                    <w:t>Y</w:t>
                  </w:r>
                </w:p>
              </w:tc>
              <w:tc>
                <w:tcPr>
                  <w:tcW w:w="321" w:type="pct"/>
                  <w:tcBorders>
                    <w:tl2br w:val="nil"/>
                    <w:tr2bl w:val="nil"/>
                  </w:tcBorders>
                  <w:noWrap w:val="0"/>
                  <w:vAlign w:val="center"/>
                </w:tcPr>
                <w:p w14:paraId="5FD2EA9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b/>
                      <w:bCs/>
                      <w:sz w:val="21"/>
                      <w:szCs w:val="21"/>
                    </w:rPr>
                  </w:pPr>
                  <w:r>
                    <w:rPr>
                      <w:rFonts w:hint="eastAsia"/>
                      <w:b/>
                      <w:bCs/>
                      <w:sz w:val="21"/>
                      <w:szCs w:val="21"/>
                    </w:rPr>
                    <w:t>Z</w:t>
                  </w:r>
                </w:p>
              </w:tc>
              <w:tc>
                <w:tcPr>
                  <w:tcW w:w="455" w:type="pct"/>
                  <w:vMerge w:val="continue"/>
                  <w:tcBorders>
                    <w:tl2br w:val="nil"/>
                    <w:tr2bl w:val="nil"/>
                  </w:tcBorders>
                  <w:noWrap w:val="0"/>
                  <w:tcMar>
                    <w:left w:w="11" w:type="dxa"/>
                    <w:right w:w="11" w:type="dxa"/>
                  </w:tcMar>
                  <w:vAlign w:val="center"/>
                </w:tcPr>
                <w:p w14:paraId="213051A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rPr>
                  </w:pPr>
                </w:p>
              </w:tc>
              <w:tc>
                <w:tcPr>
                  <w:tcW w:w="470" w:type="pct"/>
                  <w:vMerge w:val="continue"/>
                  <w:tcBorders>
                    <w:tl2br w:val="nil"/>
                    <w:tr2bl w:val="nil"/>
                  </w:tcBorders>
                  <w:noWrap w:val="0"/>
                  <w:tcMar>
                    <w:left w:w="11" w:type="dxa"/>
                    <w:right w:w="11" w:type="dxa"/>
                  </w:tcMar>
                  <w:vAlign w:val="center"/>
                </w:tcPr>
                <w:p w14:paraId="07801FC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rPr>
                  </w:pPr>
                </w:p>
              </w:tc>
              <w:tc>
                <w:tcPr>
                  <w:tcW w:w="250" w:type="pct"/>
                  <w:vMerge w:val="continue"/>
                  <w:tcBorders>
                    <w:tl2br w:val="nil"/>
                    <w:tr2bl w:val="nil"/>
                  </w:tcBorders>
                  <w:noWrap w:val="0"/>
                  <w:vAlign w:val="center"/>
                </w:tcPr>
                <w:p w14:paraId="54E8B61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rPr>
                  </w:pPr>
                </w:p>
              </w:tc>
              <w:tc>
                <w:tcPr>
                  <w:tcW w:w="428" w:type="pct"/>
                  <w:vMerge w:val="continue"/>
                  <w:tcBorders>
                    <w:tl2br w:val="nil"/>
                    <w:tr2bl w:val="nil"/>
                  </w:tcBorders>
                  <w:noWrap w:val="0"/>
                  <w:vAlign w:val="center"/>
                </w:tcPr>
                <w:p w14:paraId="2B7DF1B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rPr>
                  </w:pPr>
                </w:p>
              </w:tc>
              <w:tc>
                <w:tcPr>
                  <w:tcW w:w="500" w:type="pct"/>
                  <w:tcBorders>
                    <w:tl2br w:val="nil"/>
                    <w:tr2bl w:val="nil"/>
                  </w:tcBorders>
                  <w:noWrap w:val="0"/>
                  <w:vAlign w:val="center"/>
                </w:tcPr>
                <w:p w14:paraId="312288A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rPr>
                  </w:pPr>
                  <w:r>
                    <w:rPr>
                      <w:rFonts w:hint="eastAsia"/>
                      <w:b/>
                      <w:bCs/>
                      <w:sz w:val="21"/>
                      <w:szCs w:val="21"/>
                      <w:highlight w:val="none"/>
                    </w:rPr>
                    <w:t>声压级dB（A）</w:t>
                  </w:r>
                </w:p>
              </w:tc>
              <w:tc>
                <w:tcPr>
                  <w:tcW w:w="448" w:type="pct"/>
                  <w:tcBorders>
                    <w:tl2br w:val="nil"/>
                    <w:tr2bl w:val="nil"/>
                  </w:tcBorders>
                  <w:noWrap w:val="0"/>
                  <w:vAlign w:val="center"/>
                </w:tcPr>
                <w:p w14:paraId="3DBCFDE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sz w:val="21"/>
                      <w:szCs w:val="21"/>
                      <w:lang w:val="en-US" w:eastAsia="zh-CN"/>
                    </w:rPr>
                  </w:pPr>
                  <w:r>
                    <w:rPr>
                      <w:rFonts w:hint="eastAsia"/>
                      <w:b/>
                      <w:bCs/>
                      <w:sz w:val="21"/>
                      <w:szCs w:val="21"/>
                      <w:lang w:val="en-US" w:eastAsia="zh-CN"/>
                    </w:rPr>
                    <w:t>建筑外距离</w:t>
                  </w:r>
                </w:p>
              </w:tc>
            </w:tr>
            <w:tr w14:paraId="7CDD7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261" w:type="pct"/>
                  <w:vMerge w:val="restart"/>
                  <w:tcBorders>
                    <w:tl2br w:val="nil"/>
                    <w:tr2bl w:val="nil"/>
                  </w:tcBorders>
                  <w:noWrap w:val="0"/>
                  <w:vAlign w:val="center"/>
                </w:tcPr>
                <w:p w14:paraId="78EF604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r>
                    <w:rPr>
                      <w:rFonts w:hint="eastAsia"/>
                      <w:sz w:val="21"/>
                      <w:szCs w:val="21"/>
                    </w:rPr>
                    <w:t>生产</w:t>
                  </w:r>
                  <w:r>
                    <w:rPr>
                      <w:sz w:val="21"/>
                      <w:szCs w:val="21"/>
                    </w:rPr>
                    <w:t>车间</w:t>
                  </w:r>
                </w:p>
              </w:tc>
              <w:tc>
                <w:tcPr>
                  <w:tcW w:w="396" w:type="pct"/>
                  <w:tcBorders>
                    <w:tl2br w:val="nil"/>
                    <w:tr2bl w:val="nil"/>
                  </w:tcBorders>
                  <w:noWrap w:val="0"/>
                  <w:tcMar>
                    <w:left w:w="11" w:type="dxa"/>
                    <w:right w:w="11" w:type="dxa"/>
                  </w:tcMar>
                  <w:vAlign w:val="center"/>
                </w:tcPr>
                <w:p w14:paraId="72DF0899">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料仓喂料机</w:t>
                  </w:r>
                </w:p>
              </w:tc>
              <w:tc>
                <w:tcPr>
                  <w:tcW w:w="358" w:type="pct"/>
                  <w:tcBorders>
                    <w:tl2br w:val="nil"/>
                    <w:tr2bl w:val="nil"/>
                  </w:tcBorders>
                  <w:noWrap w:val="0"/>
                  <w:tcMar>
                    <w:left w:w="11" w:type="dxa"/>
                    <w:right w:w="11" w:type="dxa"/>
                  </w:tcMar>
                  <w:vAlign w:val="center"/>
                </w:tcPr>
                <w:p w14:paraId="65BB976B">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70</w:t>
                  </w:r>
                </w:p>
              </w:tc>
              <w:tc>
                <w:tcPr>
                  <w:tcW w:w="478" w:type="pct"/>
                  <w:vMerge w:val="restart"/>
                  <w:tcBorders>
                    <w:tl2br w:val="nil"/>
                    <w:tr2bl w:val="nil"/>
                  </w:tcBorders>
                  <w:noWrap w:val="0"/>
                  <w:vAlign w:val="center"/>
                </w:tcPr>
                <w:p w14:paraId="21C3F6A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highlight w:val="none"/>
                    </w:rPr>
                  </w:pPr>
                  <w:r>
                    <w:rPr>
                      <w:rFonts w:hint="eastAsia" w:ascii="Times New Roman" w:hAnsi="Times New Roman" w:eastAsia="宋体" w:cs="Times New Roman"/>
                      <w:color w:val="auto"/>
                      <w:sz w:val="21"/>
                      <w:szCs w:val="21"/>
                      <w:highlight w:val="none"/>
                      <w:u w:val="none"/>
                    </w:rPr>
                    <w:t>选用低噪音设备；</w:t>
                  </w:r>
                  <w:r>
                    <w:rPr>
                      <w:rFonts w:hint="eastAsia" w:ascii="Times New Roman" w:hAnsi="Times New Roman" w:eastAsia="宋体" w:cs="Times New Roman"/>
                      <w:color w:val="auto"/>
                      <w:sz w:val="21"/>
                      <w:szCs w:val="21"/>
                      <w:highlight w:val="none"/>
                      <w:u w:val="none"/>
                      <w:lang w:val="en-US" w:eastAsia="zh-CN"/>
                    </w:rPr>
                    <w:t>基础减震、</w:t>
                  </w:r>
                  <w:r>
                    <w:rPr>
                      <w:rFonts w:hint="eastAsia" w:ascii="Times New Roman" w:hAnsi="Times New Roman" w:eastAsia="宋体" w:cs="Times New Roman"/>
                      <w:color w:val="auto"/>
                      <w:sz w:val="21"/>
                      <w:szCs w:val="21"/>
                      <w:highlight w:val="none"/>
                      <w:u w:val="none"/>
                    </w:rPr>
                    <w:t>减振垫；</w:t>
                  </w:r>
                  <w:r>
                    <w:rPr>
                      <w:rFonts w:hint="eastAsia" w:ascii="Times New Roman" w:hAnsi="Times New Roman" w:eastAsia="宋体" w:cs="Times New Roman"/>
                      <w:color w:val="auto"/>
                      <w:sz w:val="21"/>
                      <w:szCs w:val="21"/>
                      <w:highlight w:val="none"/>
                      <w:u w:val="none"/>
                      <w:lang w:val="en-US" w:eastAsia="zh-CN"/>
                    </w:rPr>
                    <w:t>合理布局、</w:t>
                  </w:r>
                  <w:r>
                    <w:rPr>
                      <w:rFonts w:hint="eastAsia" w:ascii="Times New Roman" w:hAnsi="Times New Roman" w:eastAsia="宋体" w:cs="Times New Roman"/>
                      <w:color w:val="auto"/>
                      <w:sz w:val="21"/>
                      <w:szCs w:val="21"/>
                      <w:highlight w:val="none"/>
                      <w:u w:val="none"/>
                    </w:rPr>
                    <w:t>利用</w:t>
                  </w:r>
                  <w:r>
                    <w:rPr>
                      <w:rFonts w:hint="eastAsia" w:ascii="Times New Roman" w:hAnsi="Times New Roman" w:eastAsia="宋体" w:cs="Times New Roman"/>
                      <w:color w:val="auto"/>
                      <w:sz w:val="21"/>
                      <w:szCs w:val="21"/>
                      <w:highlight w:val="none"/>
                      <w:u w:val="none"/>
                      <w:lang w:val="en-US" w:eastAsia="zh-CN"/>
                    </w:rPr>
                    <w:t>厂房</w:t>
                  </w:r>
                  <w:r>
                    <w:rPr>
                      <w:rFonts w:hint="eastAsia" w:ascii="Times New Roman" w:hAnsi="Times New Roman" w:eastAsia="宋体" w:cs="Times New Roman"/>
                      <w:color w:val="auto"/>
                      <w:sz w:val="21"/>
                      <w:szCs w:val="21"/>
                      <w:highlight w:val="none"/>
                      <w:u w:val="none"/>
                    </w:rPr>
                    <w:t>建筑物隔声屏蔽</w:t>
                  </w:r>
                </w:p>
              </w:tc>
              <w:tc>
                <w:tcPr>
                  <w:tcW w:w="291" w:type="pct"/>
                  <w:tcBorders>
                    <w:tl2br w:val="nil"/>
                    <w:tr2bl w:val="nil"/>
                  </w:tcBorders>
                  <w:noWrap w:val="0"/>
                  <w:tcMar>
                    <w:left w:w="11" w:type="dxa"/>
                    <w:right w:w="11" w:type="dxa"/>
                  </w:tcMar>
                  <w:vAlign w:val="center"/>
                </w:tcPr>
                <w:p w14:paraId="44B050DE">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-25</w:t>
                  </w:r>
                </w:p>
              </w:tc>
              <w:tc>
                <w:tcPr>
                  <w:tcW w:w="336" w:type="pct"/>
                  <w:tcBorders>
                    <w:tl2br w:val="nil"/>
                    <w:tr2bl w:val="nil"/>
                  </w:tcBorders>
                  <w:noWrap w:val="0"/>
                  <w:vAlign w:val="center"/>
                </w:tcPr>
                <w:p w14:paraId="4F9BF17C">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8</w:t>
                  </w:r>
                </w:p>
              </w:tc>
              <w:tc>
                <w:tcPr>
                  <w:tcW w:w="321" w:type="pct"/>
                  <w:tcBorders>
                    <w:tl2br w:val="nil"/>
                    <w:tr2bl w:val="nil"/>
                  </w:tcBorders>
                  <w:noWrap w:val="0"/>
                  <w:vAlign w:val="center"/>
                </w:tcPr>
                <w:p w14:paraId="0D0A1215">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1.0</w:t>
                  </w:r>
                </w:p>
              </w:tc>
              <w:tc>
                <w:tcPr>
                  <w:tcW w:w="455" w:type="pct"/>
                  <w:tcBorders>
                    <w:tl2br w:val="nil"/>
                    <w:tr2bl w:val="nil"/>
                  </w:tcBorders>
                  <w:noWrap w:val="0"/>
                  <w:tcMar>
                    <w:left w:w="11" w:type="dxa"/>
                    <w:right w:w="11" w:type="dxa"/>
                  </w:tcMar>
                  <w:vAlign w:val="center"/>
                </w:tcPr>
                <w:p w14:paraId="6289259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23</w:t>
                  </w:r>
                </w:p>
                <w:p w14:paraId="4DEDF14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60</w:t>
                  </w:r>
                </w:p>
                <w:p w14:paraId="2A09ADA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35</w:t>
                  </w:r>
                </w:p>
                <w:p w14:paraId="5BB0C2C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15</w:t>
                  </w:r>
                </w:p>
              </w:tc>
              <w:tc>
                <w:tcPr>
                  <w:tcW w:w="470" w:type="pct"/>
                  <w:tcBorders>
                    <w:tl2br w:val="nil"/>
                    <w:tr2bl w:val="nil"/>
                  </w:tcBorders>
                  <w:noWrap w:val="0"/>
                  <w:tcMar>
                    <w:left w:w="11" w:type="dxa"/>
                    <w:right w:w="11" w:type="dxa"/>
                  </w:tcMar>
                  <w:vAlign w:val="center"/>
                </w:tcPr>
                <w:p w14:paraId="5D6AAA1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52.4</w:t>
                  </w:r>
                </w:p>
                <w:p w14:paraId="604D3F9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23.7</w:t>
                  </w:r>
                </w:p>
                <w:p w14:paraId="5703DCF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43.6</w:t>
                  </w:r>
                </w:p>
                <w:p w14:paraId="45F972B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57.5</w:t>
                  </w:r>
                </w:p>
              </w:tc>
              <w:tc>
                <w:tcPr>
                  <w:tcW w:w="250" w:type="pct"/>
                  <w:vMerge w:val="restart"/>
                  <w:tcBorders>
                    <w:tl2br w:val="nil"/>
                    <w:tr2bl w:val="nil"/>
                  </w:tcBorders>
                  <w:noWrap w:val="0"/>
                  <w:vAlign w:val="center"/>
                </w:tcPr>
                <w:p w14:paraId="1694C43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工作时间</w:t>
                  </w:r>
                </w:p>
              </w:tc>
              <w:tc>
                <w:tcPr>
                  <w:tcW w:w="428" w:type="pct"/>
                  <w:tcBorders>
                    <w:tl2br w:val="nil"/>
                    <w:tr2bl w:val="nil"/>
                  </w:tcBorders>
                  <w:noWrap w:val="0"/>
                  <w:vAlign w:val="center"/>
                </w:tcPr>
                <w:p w14:paraId="44A7D0D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15</w:t>
                  </w:r>
                </w:p>
              </w:tc>
              <w:tc>
                <w:tcPr>
                  <w:tcW w:w="500" w:type="pct"/>
                  <w:tcBorders>
                    <w:tl2br w:val="nil"/>
                    <w:tr2bl w:val="nil"/>
                  </w:tcBorders>
                  <w:noWrap w:val="0"/>
                  <w:vAlign w:val="center"/>
                </w:tcPr>
                <w:p w14:paraId="72143763">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37.4</w:t>
                  </w:r>
                </w:p>
                <w:p w14:paraId="31F46BF9">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8.7</w:t>
                  </w:r>
                </w:p>
                <w:p w14:paraId="6BEE045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28.6</w:t>
                  </w:r>
                </w:p>
                <w:p w14:paraId="1B8BE331">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42.5</w:t>
                  </w:r>
                </w:p>
              </w:tc>
              <w:tc>
                <w:tcPr>
                  <w:tcW w:w="448" w:type="pct"/>
                  <w:tcBorders>
                    <w:tl2br w:val="nil"/>
                    <w:tr2bl w:val="nil"/>
                  </w:tcBorders>
                  <w:noWrap w:val="0"/>
                  <w:vAlign w:val="center"/>
                </w:tcPr>
                <w:p w14:paraId="6402BF5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33BE9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261" w:type="pct"/>
                  <w:vMerge w:val="continue"/>
                  <w:tcBorders>
                    <w:tl2br w:val="nil"/>
                    <w:tr2bl w:val="nil"/>
                  </w:tcBorders>
                  <w:noWrap w:val="0"/>
                  <w:vAlign w:val="center"/>
                </w:tcPr>
                <w:p w14:paraId="07FA330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3217EB4F">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颚破机</w:t>
                  </w:r>
                </w:p>
              </w:tc>
              <w:tc>
                <w:tcPr>
                  <w:tcW w:w="358" w:type="pct"/>
                  <w:tcBorders>
                    <w:tl2br w:val="nil"/>
                    <w:tr2bl w:val="nil"/>
                  </w:tcBorders>
                  <w:noWrap w:val="0"/>
                  <w:tcMar>
                    <w:left w:w="11" w:type="dxa"/>
                    <w:right w:w="11" w:type="dxa"/>
                  </w:tcMar>
                  <w:vAlign w:val="center"/>
                </w:tcPr>
                <w:p w14:paraId="37A021D1">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80</w:t>
                  </w:r>
                </w:p>
              </w:tc>
              <w:tc>
                <w:tcPr>
                  <w:tcW w:w="478" w:type="pct"/>
                  <w:vMerge w:val="continue"/>
                  <w:tcBorders>
                    <w:tl2br w:val="nil"/>
                    <w:tr2bl w:val="nil"/>
                  </w:tcBorders>
                  <w:noWrap w:val="0"/>
                  <w:vAlign w:val="center"/>
                </w:tcPr>
                <w:p w14:paraId="4152727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sz w:val="21"/>
                      <w:szCs w:val="21"/>
                      <w:highlight w:val="none"/>
                    </w:rPr>
                  </w:pPr>
                </w:p>
              </w:tc>
              <w:tc>
                <w:tcPr>
                  <w:tcW w:w="291" w:type="pct"/>
                  <w:tcBorders>
                    <w:tl2br w:val="nil"/>
                    <w:tr2bl w:val="nil"/>
                  </w:tcBorders>
                  <w:noWrap w:val="0"/>
                  <w:tcMar>
                    <w:left w:w="11" w:type="dxa"/>
                    <w:right w:w="11" w:type="dxa"/>
                  </w:tcMar>
                  <w:vAlign w:val="center"/>
                </w:tcPr>
                <w:p w14:paraId="36E383F9">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w:t>
                  </w:r>
                </w:p>
              </w:tc>
              <w:tc>
                <w:tcPr>
                  <w:tcW w:w="336" w:type="pct"/>
                  <w:tcBorders>
                    <w:tl2br w:val="nil"/>
                    <w:tr2bl w:val="nil"/>
                  </w:tcBorders>
                  <w:noWrap w:val="0"/>
                  <w:vAlign w:val="center"/>
                </w:tcPr>
                <w:p w14:paraId="22BDDCA1">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321" w:type="pct"/>
                  <w:tcBorders>
                    <w:tl2br w:val="nil"/>
                    <w:tr2bl w:val="nil"/>
                  </w:tcBorders>
                  <w:noWrap w:val="0"/>
                  <w:vAlign w:val="center"/>
                </w:tcPr>
                <w:p w14:paraId="534B8884">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Cs w:val="21"/>
                      <w:highlight w:val="none"/>
                      <w:lang w:val="en-US" w:eastAsia="zh-CN"/>
                    </w:rPr>
                    <w:t>1</w:t>
                  </w:r>
                  <w:r>
                    <w:rPr>
                      <w:rFonts w:hint="eastAsia" w:cs="Times New Roman"/>
                      <w:color w:val="auto"/>
                      <w:kern w:val="0"/>
                      <w:szCs w:val="21"/>
                      <w:highlight w:val="none"/>
                      <w:lang w:val="en-US" w:eastAsia="zh-CN"/>
                    </w:rPr>
                    <w:t>.0</w:t>
                  </w:r>
                </w:p>
              </w:tc>
              <w:tc>
                <w:tcPr>
                  <w:tcW w:w="455" w:type="pct"/>
                  <w:tcBorders>
                    <w:tl2br w:val="nil"/>
                    <w:tr2bl w:val="nil"/>
                  </w:tcBorders>
                  <w:noWrap w:val="0"/>
                  <w:tcMar>
                    <w:left w:w="11" w:type="dxa"/>
                    <w:right w:w="11" w:type="dxa"/>
                  </w:tcMar>
                  <w:vAlign w:val="center"/>
                </w:tcPr>
                <w:p w14:paraId="264EF55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20</w:t>
                  </w:r>
                </w:p>
                <w:p w14:paraId="6B67E98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60</w:t>
                  </w:r>
                </w:p>
                <w:p w14:paraId="03C7C8C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38</w:t>
                  </w:r>
                </w:p>
                <w:p w14:paraId="585D5DE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W</w:t>
                  </w:r>
                  <w:r>
                    <w:rPr>
                      <w:rFonts w:hint="eastAsia"/>
                      <w:color w:val="auto"/>
                      <w:sz w:val="21"/>
                      <w:szCs w:val="21"/>
                      <w:highlight w:val="none"/>
                      <w:lang w:val="en-US" w:eastAsia="zh-CN"/>
                    </w:rPr>
                    <w:t>15</w:t>
                  </w:r>
                </w:p>
              </w:tc>
              <w:tc>
                <w:tcPr>
                  <w:tcW w:w="470" w:type="pct"/>
                  <w:tcBorders>
                    <w:tl2br w:val="nil"/>
                    <w:tr2bl w:val="nil"/>
                  </w:tcBorders>
                  <w:noWrap w:val="0"/>
                  <w:tcMar>
                    <w:left w:w="11" w:type="dxa"/>
                    <w:right w:w="11" w:type="dxa"/>
                  </w:tcMar>
                  <w:vAlign w:val="center"/>
                </w:tcPr>
                <w:p w14:paraId="5F7E420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66.2</w:t>
                  </w:r>
                </w:p>
                <w:p w14:paraId="5B9CFB4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33.7</w:t>
                  </w:r>
                </w:p>
                <w:p w14:paraId="1CB5C70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52.5</w:t>
                  </w:r>
                </w:p>
                <w:p w14:paraId="226E9F2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W</w:t>
                  </w:r>
                  <w:r>
                    <w:rPr>
                      <w:rFonts w:hint="eastAsia"/>
                      <w:color w:val="auto"/>
                      <w:sz w:val="21"/>
                      <w:szCs w:val="21"/>
                      <w:highlight w:val="none"/>
                      <w:lang w:val="en-US" w:eastAsia="zh-CN"/>
                    </w:rPr>
                    <w:t>67.5</w:t>
                  </w:r>
                </w:p>
              </w:tc>
              <w:tc>
                <w:tcPr>
                  <w:tcW w:w="250" w:type="pct"/>
                  <w:vMerge w:val="continue"/>
                  <w:tcBorders>
                    <w:tl2br w:val="nil"/>
                    <w:tr2bl w:val="nil"/>
                  </w:tcBorders>
                  <w:noWrap w:val="0"/>
                  <w:vAlign w:val="center"/>
                </w:tcPr>
                <w:p w14:paraId="0749481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p>
              </w:tc>
              <w:tc>
                <w:tcPr>
                  <w:tcW w:w="428" w:type="pct"/>
                  <w:tcBorders>
                    <w:tl2br w:val="nil"/>
                    <w:tr2bl w:val="nil"/>
                  </w:tcBorders>
                  <w:noWrap w:val="0"/>
                  <w:vAlign w:val="center"/>
                </w:tcPr>
                <w:p w14:paraId="4E35D91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500" w:type="pct"/>
                  <w:tcBorders>
                    <w:tl2br w:val="nil"/>
                    <w:tr2bl w:val="nil"/>
                  </w:tcBorders>
                  <w:noWrap w:val="0"/>
                  <w:vAlign w:val="center"/>
                </w:tcPr>
                <w:p w14:paraId="7DC0B56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51.2</w:t>
                  </w:r>
                </w:p>
                <w:p w14:paraId="651B7308">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18.7</w:t>
                  </w:r>
                </w:p>
                <w:p w14:paraId="69E67C83">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37.5</w:t>
                  </w:r>
                </w:p>
                <w:p w14:paraId="3E61BC31">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color w:val="auto"/>
                      <w:sz w:val="21"/>
                      <w:szCs w:val="21"/>
                      <w:lang w:val="en-US"/>
                    </w:rPr>
                  </w:pPr>
                  <w:r>
                    <w:rPr>
                      <w:rStyle w:val="47"/>
                      <w:rFonts w:eastAsia="宋体"/>
                      <w:color w:val="auto"/>
                      <w:sz w:val="21"/>
                      <w:szCs w:val="21"/>
                      <w:lang w:val="en-US" w:eastAsia="zh-CN" w:bidi="ar"/>
                    </w:rPr>
                    <w:t>W</w:t>
                  </w:r>
                  <w:r>
                    <w:rPr>
                      <w:rStyle w:val="47"/>
                      <w:rFonts w:hint="eastAsia"/>
                      <w:color w:val="auto"/>
                      <w:sz w:val="21"/>
                      <w:szCs w:val="21"/>
                      <w:lang w:val="en-US" w:eastAsia="zh-CN" w:bidi="ar"/>
                    </w:rPr>
                    <w:t>52.5</w:t>
                  </w:r>
                </w:p>
              </w:tc>
              <w:tc>
                <w:tcPr>
                  <w:tcW w:w="448" w:type="pct"/>
                  <w:tcBorders>
                    <w:tl2br w:val="nil"/>
                    <w:tr2bl w:val="nil"/>
                  </w:tcBorders>
                  <w:noWrap w:val="0"/>
                  <w:vAlign w:val="center"/>
                </w:tcPr>
                <w:p w14:paraId="44D9EE38">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hint="eastAsia"/>
                      <w:color w:val="auto"/>
                      <w:sz w:val="21"/>
                      <w:szCs w:val="21"/>
                      <w:lang w:val="en-US" w:eastAsia="zh-CN" w:bidi="ar"/>
                    </w:rPr>
                    <w:t>1m</w:t>
                  </w:r>
                </w:p>
              </w:tc>
            </w:tr>
            <w:tr w14:paraId="05FD7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5" w:hRule="atLeast"/>
                <w:jc w:val="center"/>
              </w:trPr>
              <w:tc>
                <w:tcPr>
                  <w:tcW w:w="261" w:type="pct"/>
                  <w:vMerge w:val="continue"/>
                  <w:tcBorders>
                    <w:tl2br w:val="nil"/>
                    <w:tr2bl w:val="nil"/>
                  </w:tcBorders>
                  <w:noWrap w:val="0"/>
                  <w:vAlign w:val="center"/>
                </w:tcPr>
                <w:p w14:paraId="400815B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4F693605">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#1粉碎机</w:t>
                  </w:r>
                </w:p>
              </w:tc>
              <w:tc>
                <w:tcPr>
                  <w:tcW w:w="358" w:type="pct"/>
                  <w:tcBorders>
                    <w:tl2br w:val="nil"/>
                    <w:tr2bl w:val="nil"/>
                  </w:tcBorders>
                  <w:noWrap w:val="0"/>
                  <w:tcMar>
                    <w:left w:w="11" w:type="dxa"/>
                    <w:right w:w="11" w:type="dxa"/>
                  </w:tcMar>
                  <w:vAlign w:val="center"/>
                </w:tcPr>
                <w:p w14:paraId="3D20AF78">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80</w:t>
                  </w:r>
                </w:p>
              </w:tc>
              <w:tc>
                <w:tcPr>
                  <w:tcW w:w="478" w:type="pct"/>
                  <w:vMerge w:val="continue"/>
                  <w:tcBorders>
                    <w:tl2br w:val="nil"/>
                    <w:tr2bl w:val="nil"/>
                  </w:tcBorders>
                  <w:noWrap w:val="0"/>
                  <w:vAlign w:val="center"/>
                </w:tcPr>
                <w:p w14:paraId="6B4E501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6A720530">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-15</w:t>
                  </w:r>
                </w:p>
              </w:tc>
              <w:tc>
                <w:tcPr>
                  <w:tcW w:w="336" w:type="pct"/>
                  <w:tcBorders>
                    <w:tl2br w:val="nil"/>
                    <w:tr2bl w:val="nil"/>
                  </w:tcBorders>
                  <w:noWrap w:val="0"/>
                  <w:vAlign w:val="center"/>
                </w:tcPr>
                <w:p w14:paraId="639550B1">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25</w:t>
                  </w:r>
                </w:p>
              </w:tc>
              <w:tc>
                <w:tcPr>
                  <w:tcW w:w="321" w:type="pct"/>
                  <w:tcBorders>
                    <w:tl2br w:val="nil"/>
                    <w:tr2bl w:val="nil"/>
                  </w:tcBorders>
                  <w:noWrap w:val="0"/>
                  <w:vAlign w:val="center"/>
                </w:tcPr>
                <w:p w14:paraId="459CDF91">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Cs w:val="21"/>
                      <w:highlight w:val="none"/>
                      <w:lang w:val="en-US" w:eastAsia="zh-CN"/>
                    </w:rPr>
                    <w:t>1</w:t>
                  </w:r>
                  <w:r>
                    <w:rPr>
                      <w:rFonts w:hint="eastAsia" w:cs="Times New Roman"/>
                      <w:color w:val="auto"/>
                      <w:kern w:val="0"/>
                      <w:szCs w:val="21"/>
                      <w:highlight w:val="none"/>
                      <w:lang w:val="en-US" w:eastAsia="zh-CN"/>
                    </w:rPr>
                    <w:t>.5</w:t>
                  </w:r>
                </w:p>
              </w:tc>
              <w:tc>
                <w:tcPr>
                  <w:tcW w:w="455" w:type="pct"/>
                  <w:tcBorders>
                    <w:tl2br w:val="nil"/>
                    <w:tr2bl w:val="nil"/>
                  </w:tcBorders>
                  <w:noWrap w:val="0"/>
                  <w:tcMar>
                    <w:left w:w="11" w:type="dxa"/>
                    <w:right w:w="11" w:type="dxa"/>
                  </w:tcMar>
                  <w:vAlign w:val="center"/>
                </w:tcPr>
                <w:p w14:paraId="1DEC9C4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10</w:t>
                  </w:r>
                </w:p>
                <w:p w14:paraId="4E4CA2C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55</w:t>
                  </w:r>
                </w:p>
                <w:p w14:paraId="5CE8030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48</w:t>
                  </w:r>
                </w:p>
                <w:p w14:paraId="17A50DE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20</w:t>
                  </w:r>
                </w:p>
              </w:tc>
              <w:tc>
                <w:tcPr>
                  <w:tcW w:w="470" w:type="pct"/>
                  <w:tcBorders>
                    <w:tl2br w:val="nil"/>
                    <w:tr2bl w:val="nil"/>
                  </w:tcBorders>
                  <w:noWrap w:val="0"/>
                  <w:tcMar>
                    <w:left w:w="11" w:type="dxa"/>
                    <w:right w:w="11" w:type="dxa"/>
                  </w:tcMar>
                  <w:vAlign w:val="center"/>
                </w:tcPr>
                <w:p w14:paraId="0EA9C3B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72.3</w:t>
                  </w:r>
                </w:p>
                <w:p w14:paraId="21A7B64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44.5</w:t>
                  </w:r>
                </w:p>
                <w:p w14:paraId="5813983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41.8</w:t>
                  </w:r>
                </w:p>
                <w:p w14:paraId="1CA7661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66.2</w:t>
                  </w:r>
                </w:p>
              </w:tc>
              <w:tc>
                <w:tcPr>
                  <w:tcW w:w="250" w:type="pct"/>
                  <w:vMerge w:val="continue"/>
                  <w:tcBorders>
                    <w:tl2br w:val="nil"/>
                    <w:tr2bl w:val="nil"/>
                  </w:tcBorders>
                  <w:noWrap w:val="0"/>
                  <w:vAlign w:val="center"/>
                </w:tcPr>
                <w:p w14:paraId="622B61E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olor w:val="auto"/>
                      <w:sz w:val="21"/>
                      <w:szCs w:val="21"/>
                      <w:highlight w:val="none"/>
                      <w:lang w:val="en-US" w:eastAsia="zh-CN"/>
                    </w:rPr>
                  </w:pPr>
                </w:p>
              </w:tc>
              <w:tc>
                <w:tcPr>
                  <w:tcW w:w="428" w:type="pct"/>
                  <w:tcBorders>
                    <w:tl2br w:val="nil"/>
                    <w:tr2bl w:val="nil"/>
                  </w:tcBorders>
                  <w:noWrap w:val="0"/>
                  <w:vAlign w:val="center"/>
                </w:tcPr>
                <w:p w14:paraId="6FFC310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15</w:t>
                  </w:r>
                </w:p>
              </w:tc>
              <w:tc>
                <w:tcPr>
                  <w:tcW w:w="500" w:type="pct"/>
                  <w:tcBorders>
                    <w:tl2br w:val="nil"/>
                    <w:tr2bl w:val="nil"/>
                  </w:tcBorders>
                  <w:noWrap w:val="0"/>
                  <w:vAlign w:val="center"/>
                </w:tcPr>
                <w:p w14:paraId="011B92EA">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57.3</w:t>
                  </w:r>
                </w:p>
                <w:p w14:paraId="1FA34A82">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29.5</w:t>
                  </w:r>
                </w:p>
                <w:p w14:paraId="7645CAEC">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26.8</w:t>
                  </w:r>
                </w:p>
                <w:p w14:paraId="04B54C86">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51.2</w:t>
                  </w:r>
                </w:p>
              </w:tc>
              <w:tc>
                <w:tcPr>
                  <w:tcW w:w="448" w:type="pct"/>
                  <w:tcBorders>
                    <w:tl2br w:val="nil"/>
                    <w:tr2bl w:val="nil"/>
                  </w:tcBorders>
                  <w:noWrap w:val="0"/>
                  <w:vAlign w:val="center"/>
                </w:tcPr>
                <w:p w14:paraId="74FDB2DF">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63705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5" w:hRule="atLeast"/>
                <w:jc w:val="center"/>
              </w:trPr>
              <w:tc>
                <w:tcPr>
                  <w:tcW w:w="261" w:type="pct"/>
                  <w:vMerge w:val="continue"/>
                  <w:tcBorders>
                    <w:tl2br w:val="nil"/>
                    <w:tr2bl w:val="nil"/>
                  </w:tcBorders>
                  <w:noWrap w:val="0"/>
                  <w:vAlign w:val="center"/>
                </w:tcPr>
                <w:p w14:paraId="27028CF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3A1657C1">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#2粉碎机</w:t>
                  </w:r>
                </w:p>
              </w:tc>
              <w:tc>
                <w:tcPr>
                  <w:tcW w:w="358" w:type="pct"/>
                  <w:tcBorders>
                    <w:tl2br w:val="nil"/>
                    <w:tr2bl w:val="nil"/>
                  </w:tcBorders>
                  <w:noWrap w:val="0"/>
                  <w:tcMar>
                    <w:left w:w="11" w:type="dxa"/>
                    <w:right w:w="11" w:type="dxa"/>
                  </w:tcMar>
                  <w:vAlign w:val="center"/>
                </w:tcPr>
                <w:p w14:paraId="703D21B5">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80</w:t>
                  </w:r>
                </w:p>
              </w:tc>
              <w:tc>
                <w:tcPr>
                  <w:tcW w:w="478" w:type="pct"/>
                  <w:vMerge w:val="continue"/>
                  <w:tcBorders>
                    <w:tl2br w:val="nil"/>
                    <w:tr2bl w:val="nil"/>
                  </w:tcBorders>
                  <w:noWrap w:val="0"/>
                  <w:vAlign w:val="center"/>
                </w:tcPr>
                <w:p w14:paraId="0B1EAD5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267BAA69">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-15</w:t>
                  </w:r>
                </w:p>
              </w:tc>
              <w:tc>
                <w:tcPr>
                  <w:tcW w:w="336" w:type="pct"/>
                  <w:tcBorders>
                    <w:tl2br w:val="nil"/>
                    <w:tr2bl w:val="nil"/>
                  </w:tcBorders>
                  <w:noWrap w:val="0"/>
                  <w:vAlign w:val="center"/>
                </w:tcPr>
                <w:p w14:paraId="0FAE1EB1">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Cs w:val="21"/>
                      <w:highlight w:val="none"/>
                      <w:lang w:val="en-US" w:eastAsia="zh-CN"/>
                    </w:rPr>
                  </w:pPr>
                  <w:r>
                    <w:rPr>
                      <w:rFonts w:hint="eastAsia" w:cs="Times New Roman"/>
                      <w:color w:val="auto"/>
                      <w:kern w:val="0"/>
                      <w:szCs w:val="21"/>
                      <w:highlight w:val="none"/>
                      <w:lang w:val="en-US" w:eastAsia="zh-CN"/>
                    </w:rPr>
                    <w:t>20</w:t>
                  </w:r>
                </w:p>
              </w:tc>
              <w:tc>
                <w:tcPr>
                  <w:tcW w:w="321" w:type="pct"/>
                  <w:tcBorders>
                    <w:tl2br w:val="nil"/>
                    <w:tr2bl w:val="nil"/>
                  </w:tcBorders>
                  <w:noWrap w:val="0"/>
                  <w:vAlign w:val="center"/>
                </w:tcPr>
                <w:p w14:paraId="6D2D42CD">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1.5</w:t>
                  </w:r>
                </w:p>
              </w:tc>
              <w:tc>
                <w:tcPr>
                  <w:tcW w:w="455" w:type="pct"/>
                  <w:tcBorders>
                    <w:tl2br w:val="nil"/>
                    <w:tr2bl w:val="nil"/>
                  </w:tcBorders>
                  <w:noWrap w:val="0"/>
                  <w:tcMar>
                    <w:left w:w="11" w:type="dxa"/>
                    <w:right w:w="11" w:type="dxa"/>
                  </w:tcMar>
                  <w:vAlign w:val="center"/>
                </w:tcPr>
                <w:p w14:paraId="37D23E3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12</w:t>
                  </w:r>
                </w:p>
                <w:p w14:paraId="44BB4F9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55</w:t>
                  </w:r>
                </w:p>
                <w:p w14:paraId="64E3A5D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46</w:t>
                  </w:r>
                </w:p>
                <w:p w14:paraId="511976D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20</w:t>
                  </w:r>
                </w:p>
              </w:tc>
              <w:tc>
                <w:tcPr>
                  <w:tcW w:w="470" w:type="pct"/>
                  <w:tcBorders>
                    <w:tl2br w:val="nil"/>
                    <w:tr2bl w:val="nil"/>
                  </w:tcBorders>
                  <w:noWrap w:val="0"/>
                  <w:tcMar>
                    <w:left w:w="11" w:type="dxa"/>
                    <w:right w:w="11" w:type="dxa"/>
                  </w:tcMar>
                  <w:vAlign w:val="center"/>
                </w:tcPr>
                <w:p w14:paraId="29F2B29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69.4</w:t>
                  </w:r>
                </w:p>
                <w:p w14:paraId="357F8A7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44.5</w:t>
                  </w:r>
                </w:p>
                <w:p w14:paraId="30A45D6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42.3</w:t>
                  </w:r>
                </w:p>
                <w:p w14:paraId="5CD4097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66.2</w:t>
                  </w:r>
                </w:p>
              </w:tc>
              <w:tc>
                <w:tcPr>
                  <w:tcW w:w="250" w:type="pct"/>
                  <w:vMerge w:val="continue"/>
                  <w:tcBorders>
                    <w:tl2br w:val="nil"/>
                    <w:tr2bl w:val="nil"/>
                  </w:tcBorders>
                  <w:noWrap w:val="0"/>
                  <w:vAlign w:val="center"/>
                </w:tcPr>
                <w:p w14:paraId="425D79A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olor w:val="auto"/>
                      <w:sz w:val="21"/>
                      <w:szCs w:val="21"/>
                      <w:highlight w:val="none"/>
                      <w:lang w:val="en-US" w:eastAsia="zh-CN"/>
                    </w:rPr>
                  </w:pPr>
                </w:p>
              </w:tc>
              <w:tc>
                <w:tcPr>
                  <w:tcW w:w="428" w:type="pct"/>
                  <w:tcBorders>
                    <w:tl2br w:val="nil"/>
                    <w:tr2bl w:val="nil"/>
                  </w:tcBorders>
                  <w:noWrap w:val="0"/>
                  <w:vAlign w:val="center"/>
                </w:tcPr>
                <w:p w14:paraId="40CB30D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500" w:type="pct"/>
                  <w:tcBorders>
                    <w:tl2br w:val="nil"/>
                    <w:tr2bl w:val="nil"/>
                  </w:tcBorders>
                  <w:noWrap w:val="0"/>
                  <w:vAlign w:val="center"/>
                </w:tcPr>
                <w:p w14:paraId="451AD78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54.4</w:t>
                  </w:r>
                </w:p>
                <w:p w14:paraId="5D99D45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29.5</w:t>
                  </w:r>
                </w:p>
                <w:p w14:paraId="7EFF2EBA">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27.3</w:t>
                  </w:r>
                </w:p>
                <w:p w14:paraId="09DAEFBA">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W</w:t>
                  </w:r>
                  <w:r>
                    <w:rPr>
                      <w:rStyle w:val="47"/>
                      <w:rFonts w:hint="eastAsia"/>
                      <w:color w:val="auto"/>
                      <w:sz w:val="21"/>
                      <w:szCs w:val="21"/>
                      <w:lang w:val="en-US" w:eastAsia="zh-CN" w:bidi="ar"/>
                    </w:rPr>
                    <w:t>51.2</w:t>
                  </w:r>
                </w:p>
              </w:tc>
              <w:tc>
                <w:tcPr>
                  <w:tcW w:w="448" w:type="pct"/>
                  <w:tcBorders>
                    <w:tl2br w:val="nil"/>
                    <w:tr2bl w:val="nil"/>
                  </w:tcBorders>
                  <w:noWrap w:val="0"/>
                  <w:vAlign w:val="center"/>
                </w:tcPr>
                <w:p w14:paraId="4F8A3E2D">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eastAsia"/>
                      <w:color w:val="auto"/>
                      <w:sz w:val="21"/>
                      <w:szCs w:val="21"/>
                      <w:lang w:val="en-US" w:eastAsia="zh-CN" w:bidi="ar"/>
                    </w:rPr>
                  </w:pPr>
                  <w:r>
                    <w:rPr>
                      <w:rStyle w:val="47"/>
                      <w:rFonts w:hint="eastAsia"/>
                      <w:color w:val="auto"/>
                      <w:sz w:val="21"/>
                      <w:szCs w:val="21"/>
                      <w:lang w:val="en-US" w:eastAsia="zh-CN" w:bidi="ar"/>
                    </w:rPr>
                    <w:t>1m</w:t>
                  </w:r>
                </w:p>
              </w:tc>
            </w:tr>
            <w:tr w14:paraId="18140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1" w:type="pct"/>
                  <w:vMerge w:val="continue"/>
                  <w:tcBorders>
                    <w:tl2br w:val="nil"/>
                    <w:tr2bl w:val="nil"/>
                  </w:tcBorders>
                  <w:noWrap w:val="0"/>
                  <w:vAlign w:val="center"/>
                </w:tcPr>
                <w:p w14:paraId="04D2331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79786062">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#1筛分机</w:t>
                  </w:r>
                </w:p>
              </w:tc>
              <w:tc>
                <w:tcPr>
                  <w:tcW w:w="358" w:type="pct"/>
                  <w:tcBorders>
                    <w:tl2br w:val="nil"/>
                    <w:tr2bl w:val="nil"/>
                  </w:tcBorders>
                  <w:noWrap w:val="0"/>
                  <w:tcMar>
                    <w:left w:w="11" w:type="dxa"/>
                    <w:right w:w="11" w:type="dxa"/>
                  </w:tcMar>
                  <w:vAlign w:val="center"/>
                </w:tcPr>
                <w:p w14:paraId="7CFC9A03">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7</w:t>
                  </w:r>
                  <w:r>
                    <w:rPr>
                      <w:rFonts w:hint="eastAsia" w:cs="Times New Roman"/>
                      <w:color w:val="auto"/>
                      <w:szCs w:val="21"/>
                      <w:highlight w:val="none"/>
                      <w:lang w:val="en-US" w:eastAsia="zh-CN"/>
                    </w:rPr>
                    <w:t>5</w:t>
                  </w:r>
                </w:p>
              </w:tc>
              <w:tc>
                <w:tcPr>
                  <w:tcW w:w="478" w:type="pct"/>
                  <w:vMerge w:val="continue"/>
                  <w:tcBorders>
                    <w:tl2br w:val="nil"/>
                    <w:tr2bl w:val="nil"/>
                  </w:tcBorders>
                  <w:noWrap w:val="0"/>
                  <w:vAlign w:val="center"/>
                </w:tcPr>
                <w:p w14:paraId="53D13A6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highlight w:val="none"/>
                    </w:rPr>
                  </w:pPr>
                </w:p>
              </w:tc>
              <w:tc>
                <w:tcPr>
                  <w:tcW w:w="291" w:type="pct"/>
                  <w:tcBorders>
                    <w:tl2br w:val="nil"/>
                    <w:tr2bl w:val="nil"/>
                  </w:tcBorders>
                  <w:noWrap w:val="0"/>
                  <w:tcMar>
                    <w:left w:w="11" w:type="dxa"/>
                    <w:right w:w="11" w:type="dxa"/>
                  </w:tcMar>
                  <w:vAlign w:val="center"/>
                </w:tcPr>
                <w:p w14:paraId="22C364E5">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w:t>
                  </w:r>
                </w:p>
              </w:tc>
              <w:tc>
                <w:tcPr>
                  <w:tcW w:w="336" w:type="pct"/>
                  <w:tcBorders>
                    <w:tl2br w:val="nil"/>
                    <w:tr2bl w:val="nil"/>
                  </w:tcBorders>
                  <w:noWrap w:val="0"/>
                  <w:vAlign w:val="center"/>
                </w:tcPr>
                <w:p w14:paraId="47EFCC32">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30</w:t>
                  </w:r>
                </w:p>
              </w:tc>
              <w:tc>
                <w:tcPr>
                  <w:tcW w:w="321" w:type="pct"/>
                  <w:tcBorders>
                    <w:tl2br w:val="nil"/>
                    <w:tr2bl w:val="nil"/>
                  </w:tcBorders>
                  <w:noWrap w:val="0"/>
                  <w:vAlign w:val="center"/>
                </w:tcPr>
                <w:p w14:paraId="011262CB">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1</w:t>
                  </w:r>
                  <w:r>
                    <w:rPr>
                      <w:rFonts w:hint="eastAsia" w:cs="Times New Roman"/>
                      <w:color w:val="auto"/>
                      <w:kern w:val="0"/>
                      <w:sz w:val="21"/>
                      <w:szCs w:val="21"/>
                      <w:highlight w:val="none"/>
                      <w:lang w:val="en-US" w:eastAsia="zh-CN" w:bidi="ar-SA"/>
                    </w:rPr>
                    <w:t>.0</w:t>
                  </w:r>
                </w:p>
              </w:tc>
              <w:tc>
                <w:tcPr>
                  <w:tcW w:w="455" w:type="pct"/>
                  <w:tcBorders>
                    <w:tl2br w:val="nil"/>
                    <w:tr2bl w:val="nil"/>
                  </w:tcBorders>
                  <w:noWrap w:val="0"/>
                  <w:tcMar>
                    <w:left w:w="11" w:type="dxa"/>
                    <w:right w:w="11" w:type="dxa"/>
                  </w:tcMar>
                  <w:vAlign w:val="center"/>
                </w:tcPr>
                <w:p w14:paraId="4BB40D9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8</w:t>
                  </w:r>
                </w:p>
                <w:p w14:paraId="6D6C0C0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45</w:t>
                  </w:r>
                </w:p>
                <w:p w14:paraId="28A3517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50</w:t>
                  </w:r>
                </w:p>
                <w:p w14:paraId="28DF3C6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W</w:t>
                  </w:r>
                  <w:r>
                    <w:rPr>
                      <w:rFonts w:hint="eastAsia"/>
                      <w:color w:val="auto"/>
                      <w:sz w:val="21"/>
                      <w:szCs w:val="21"/>
                      <w:highlight w:val="none"/>
                      <w:lang w:val="en-US" w:eastAsia="zh-CN"/>
                    </w:rPr>
                    <w:t>30</w:t>
                  </w:r>
                </w:p>
              </w:tc>
              <w:tc>
                <w:tcPr>
                  <w:tcW w:w="470" w:type="pct"/>
                  <w:tcBorders>
                    <w:tl2br w:val="nil"/>
                    <w:tr2bl w:val="nil"/>
                  </w:tcBorders>
                  <w:noWrap w:val="0"/>
                  <w:tcMar>
                    <w:left w:w="11" w:type="dxa"/>
                    <w:right w:w="11" w:type="dxa"/>
                  </w:tcMar>
                  <w:vAlign w:val="center"/>
                </w:tcPr>
                <w:p w14:paraId="568CB77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70.3</w:t>
                  </w:r>
                </w:p>
                <w:p w14:paraId="3FE62DF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39.0</w:t>
                  </w:r>
                </w:p>
                <w:p w14:paraId="786A533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35.0</w:t>
                  </w:r>
                </w:p>
                <w:p w14:paraId="1DCCEDF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W</w:t>
                  </w:r>
                  <w:r>
                    <w:rPr>
                      <w:rFonts w:hint="eastAsia"/>
                      <w:color w:val="auto"/>
                      <w:sz w:val="21"/>
                      <w:szCs w:val="21"/>
                      <w:highlight w:val="none"/>
                      <w:lang w:val="en-US" w:eastAsia="zh-CN"/>
                    </w:rPr>
                    <w:t xml:space="preserve">47.5 </w:t>
                  </w:r>
                </w:p>
              </w:tc>
              <w:tc>
                <w:tcPr>
                  <w:tcW w:w="250" w:type="pct"/>
                  <w:vMerge w:val="continue"/>
                  <w:tcBorders>
                    <w:tl2br w:val="nil"/>
                    <w:tr2bl w:val="nil"/>
                  </w:tcBorders>
                  <w:noWrap w:val="0"/>
                  <w:vAlign w:val="center"/>
                </w:tcPr>
                <w:p w14:paraId="6DE55A3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color w:val="auto"/>
                      <w:sz w:val="21"/>
                      <w:szCs w:val="21"/>
                      <w:highlight w:val="none"/>
                    </w:rPr>
                  </w:pPr>
                </w:p>
              </w:tc>
              <w:tc>
                <w:tcPr>
                  <w:tcW w:w="428" w:type="pct"/>
                  <w:tcBorders>
                    <w:tl2br w:val="nil"/>
                    <w:tr2bl w:val="nil"/>
                  </w:tcBorders>
                  <w:noWrap w:val="0"/>
                  <w:vAlign w:val="center"/>
                </w:tcPr>
                <w:p w14:paraId="0435835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500" w:type="pct"/>
                  <w:tcBorders>
                    <w:tl2br w:val="nil"/>
                    <w:tr2bl w:val="nil"/>
                  </w:tcBorders>
                  <w:noWrap w:val="0"/>
                  <w:vAlign w:val="center"/>
                </w:tcPr>
                <w:p w14:paraId="1CEACF3D">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55.3</w:t>
                  </w:r>
                </w:p>
                <w:p w14:paraId="4278CEF4">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24.0</w:t>
                  </w:r>
                </w:p>
                <w:p w14:paraId="30AE48E8">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20.0</w:t>
                  </w:r>
                </w:p>
                <w:p w14:paraId="50723349">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32.5</w:t>
                  </w:r>
                </w:p>
              </w:tc>
              <w:tc>
                <w:tcPr>
                  <w:tcW w:w="448" w:type="pct"/>
                  <w:tcBorders>
                    <w:tl2br w:val="nil"/>
                    <w:tr2bl w:val="nil"/>
                  </w:tcBorders>
                  <w:noWrap w:val="0"/>
                  <w:vAlign w:val="center"/>
                </w:tcPr>
                <w:p w14:paraId="1F976ADA">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eastAsia="宋体"/>
                      <w:color w:val="auto"/>
                      <w:sz w:val="21"/>
                      <w:szCs w:val="21"/>
                      <w:lang w:val="en-US" w:eastAsia="zh-CN" w:bidi="ar"/>
                    </w:rPr>
                  </w:pPr>
                  <w:r>
                    <w:rPr>
                      <w:rStyle w:val="47"/>
                      <w:rFonts w:hint="eastAsia"/>
                      <w:color w:val="auto"/>
                      <w:sz w:val="21"/>
                      <w:szCs w:val="21"/>
                      <w:lang w:val="en-US" w:eastAsia="zh-CN" w:bidi="ar"/>
                    </w:rPr>
                    <w:t>1m</w:t>
                  </w:r>
                </w:p>
              </w:tc>
            </w:tr>
            <w:tr w14:paraId="0D9F5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261" w:type="pct"/>
                  <w:vMerge w:val="continue"/>
                  <w:tcBorders>
                    <w:tl2br w:val="nil"/>
                    <w:tr2bl w:val="nil"/>
                  </w:tcBorders>
                  <w:noWrap w:val="0"/>
                  <w:vAlign w:val="center"/>
                </w:tcPr>
                <w:p w14:paraId="5E98E80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7DE447A0">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#2筛分机</w:t>
                  </w:r>
                </w:p>
              </w:tc>
              <w:tc>
                <w:tcPr>
                  <w:tcW w:w="358" w:type="pct"/>
                  <w:tcBorders>
                    <w:tl2br w:val="nil"/>
                    <w:tr2bl w:val="nil"/>
                  </w:tcBorders>
                  <w:noWrap w:val="0"/>
                  <w:tcMar>
                    <w:left w:w="11" w:type="dxa"/>
                    <w:right w:w="11" w:type="dxa"/>
                  </w:tcMar>
                  <w:vAlign w:val="center"/>
                </w:tcPr>
                <w:p w14:paraId="1B6D044A">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75</w:t>
                  </w:r>
                </w:p>
              </w:tc>
              <w:tc>
                <w:tcPr>
                  <w:tcW w:w="478" w:type="pct"/>
                  <w:vMerge w:val="continue"/>
                  <w:tcBorders>
                    <w:tl2br w:val="nil"/>
                    <w:tr2bl w:val="nil"/>
                  </w:tcBorders>
                  <w:noWrap w:val="0"/>
                  <w:vAlign w:val="center"/>
                </w:tcPr>
                <w:p w14:paraId="228290D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highlight w:val="none"/>
                    </w:rPr>
                  </w:pPr>
                </w:p>
              </w:tc>
              <w:tc>
                <w:tcPr>
                  <w:tcW w:w="291" w:type="pct"/>
                  <w:tcBorders>
                    <w:tl2br w:val="nil"/>
                    <w:tr2bl w:val="nil"/>
                  </w:tcBorders>
                  <w:noWrap w:val="0"/>
                  <w:tcMar>
                    <w:left w:w="11" w:type="dxa"/>
                    <w:right w:w="11" w:type="dxa"/>
                  </w:tcMar>
                  <w:vAlign w:val="center"/>
                </w:tcPr>
                <w:p w14:paraId="2F196E1A">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w:t>
                  </w:r>
                </w:p>
              </w:tc>
              <w:tc>
                <w:tcPr>
                  <w:tcW w:w="336" w:type="pct"/>
                  <w:tcBorders>
                    <w:tl2br w:val="nil"/>
                    <w:tr2bl w:val="nil"/>
                  </w:tcBorders>
                  <w:noWrap w:val="0"/>
                  <w:vAlign w:val="center"/>
                </w:tcPr>
                <w:p w14:paraId="4659123C">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w:t>
                  </w:r>
                </w:p>
              </w:tc>
              <w:tc>
                <w:tcPr>
                  <w:tcW w:w="321" w:type="pct"/>
                  <w:tcBorders>
                    <w:tl2br w:val="nil"/>
                    <w:tr2bl w:val="nil"/>
                  </w:tcBorders>
                  <w:noWrap w:val="0"/>
                  <w:vAlign w:val="center"/>
                </w:tcPr>
                <w:p w14:paraId="1B12619B">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455" w:type="pct"/>
                  <w:tcBorders>
                    <w:tl2br w:val="nil"/>
                    <w:tr2bl w:val="nil"/>
                  </w:tcBorders>
                  <w:noWrap w:val="0"/>
                  <w:tcMar>
                    <w:left w:w="11" w:type="dxa"/>
                    <w:right w:w="11" w:type="dxa"/>
                  </w:tcMar>
                  <w:vAlign w:val="center"/>
                </w:tcPr>
                <w:p w14:paraId="2E38D28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10</w:t>
                  </w:r>
                </w:p>
                <w:p w14:paraId="3AF9C56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45</w:t>
                  </w:r>
                </w:p>
                <w:p w14:paraId="650DA49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48</w:t>
                  </w:r>
                </w:p>
                <w:p w14:paraId="1D2D252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30</w:t>
                  </w:r>
                </w:p>
              </w:tc>
              <w:tc>
                <w:tcPr>
                  <w:tcW w:w="470" w:type="pct"/>
                  <w:tcBorders>
                    <w:tl2br w:val="nil"/>
                    <w:tr2bl w:val="nil"/>
                  </w:tcBorders>
                  <w:noWrap w:val="0"/>
                  <w:tcMar>
                    <w:left w:w="11" w:type="dxa"/>
                    <w:right w:w="11" w:type="dxa"/>
                  </w:tcMar>
                  <w:vAlign w:val="center"/>
                </w:tcPr>
                <w:p w14:paraId="75DE3F8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69.3</w:t>
                  </w:r>
                </w:p>
                <w:p w14:paraId="76B8860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39.0</w:t>
                  </w:r>
                </w:p>
                <w:p w14:paraId="62E55CB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34.5</w:t>
                  </w:r>
                </w:p>
                <w:p w14:paraId="19231E6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47.5</w:t>
                  </w:r>
                </w:p>
              </w:tc>
              <w:tc>
                <w:tcPr>
                  <w:tcW w:w="250" w:type="pct"/>
                  <w:vMerge w:val="continue"/>
                  <w:tcBorders>
                    <w:tl2br w:val="nil"/>
                    <w:tr2bl w:val="nil"/>
                  </w:tcBorders>
                  <w:noWrap w:val="0"/>
                  <w:vAlign w:val="center"/>
                </w:tcPr>
                <w:p w14:paraId="53B1814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color w:val="auto"/>
                      <w:sz w:val="21"/>
                      <w:szCs w:val="21"/>
                      <w:highlight w:val="none"/>
                    </w:rPr>
                  </w:pPr>
                </w:p>
              </w:tc>
              <w:tc>
                <w:tcPr>
                  <w:tcW w:w="428" w:type="pct"/>
                  <w:tcBorders>
                    <w:tl2br w:val="nil"/>
                    <w:tr2bl w:val="nil"/>
                  </w:tcBorders>
                  <w:noWrap w:val="0"/>
                  <w:vAlign w:val="center"/>
                </w:tcPr>
                <w:p w14:paraId="6270474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500" w:type="pct"/>
                  <w:tcBorders>
                    <w:tl2br w:val="nil"/>
                    <w:tr2bl w:val="nil"/>
                  </w:tcBorders>
                  <w:noWrap w:val="0"/>
                  <w:vAlign w:val="center"/>
                </w:tcPr>
                <w:p w14:paraId="22E5B100">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54.3</w:t>
                  </w:r>
                </w:p>
                <w:p w14:paraId="0D76D440">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24.0</w:t>
                  </w:r>
                </w:p>
                <w:p w14:paraId="49D69F64">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19.5</w:t>
                  </w:r>
                </w:p>
                <w:p w14:paraId="7D1BF074">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32.5</w:t>
                  </w:r>
                </w:p>
              </w:tc>
              <w:tc>
                <w:tcPr>
                  <w:tcW w:w="448" w:type="pct"/>
                  <w:tcBorders>
                    <w:tl2br w:val="nil"/>
                    <w:tr2bl w:val="nil"/>
                  </w:tcBorders>
                  <w:noWrap w:val="0"/>
                  <w:vAlign w:val="center"/>
                </w:tcPr>
                <w:p w14:paraId="2B42682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eastAsia"/>
                      <w:color w:val="auto"/>
                      <w:sz w:val="21"/>
                      <w:szCs w:val="21"/>
                      <w:lang w:val="en-US" w:eastAsia="zh-CN" w:bidi="ar"/>
                    </w:rPr>
                  </w:pPr>
                  <w:r>
                    <w:rPr>
                      <w:rStyle w:val="47"/>
                      <w:rFonts w:hint="eastAsia"/>
                      <w:color w:val="auto"/>
                      <w:sz w:val="21"/>
                      <w:szCs w:val="21"/>
                      <w:lang w:val="en-US" w:eastAsia="zh-CN" w:bidi="ar"/>
                    </w:rPr>
                    <w:t>1m</w:t>
                  </w:r>
                </w:p>
              </w:tc>
            </w:tr>
            <w:tr w14:paraId="0B866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261" w:type="pct"/>
                  <w:vMerge w:val="continue"/>
                  <w:tcBorders>
                    <w:tl2br w:val="nil"/>
                    <w:tr2bl w:val="nil"/>
                  </w:tcBorders>
                  <w:noWrap w:val="0"/>
                  <w:vAlign w:val="center"/>
                </w:tcPr>
                <w:p w14:paraId="226D06F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2EE0F776">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#1水轮清洗机</w:t>
                  </w:r>
                </w:p>
              </w:tc>
              <w:tc>
                <w:tcPr>
                  <w:tcW w:w="358" w:type="pct"/>
                  <w:tcBorders>
                    <w:tl2br w:val="nil"/>
                    <w:tr2bl w:val="nil"/>
                  </w:tcBorders>
                  <w:noWrap w:val="0"/>
                  <w:tcMar>
                    <w:left w:w="11" w:type="dxa"/>
                    <w:right w:w="11" w:type="dxa"/>
                  </w:tcMar>
                  <w:vAlign w:val="center"/>
                </w:tcPr>
                <w:p w14:paraId="39C6FC0A">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70</w:t>
                  </w:r>
                </w:p>
              </w:tc>
              <w:tc>
                <w:tcPr>
                  <w:tcW w:w="478" w:type="pct"/>
                  <w:vMerge w:val="continue"/>
                  <w:tcBorders>
                    <w:tl2br w:val="nil"/>
                    <w:tr2bl w:val="nil"/>
                  </w:tcBorders>
                  <w:noWrap w:val="0"/>
                  <w:vAlign w:val="center"/>
                </w:tcPr>
                <w:p w14:paraId="1EA7AFB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0258CDAD">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20</w:t>
                  </w:r>
                </w:p>
              </w:tc>
              <w:tc>
                <w:tcPr>
                  <w:tcW w:w="336" w:type="pct"/>
                  <w:tcBorders>
                    <w:tl2br w:val="nil"/>
                    <w:tr2bl w:val="nil"/>
                  </w:tcBorders>
                  <w:noWrap w:val="0"/>
                  <w:vAlign w:val="center"/>
                </w:tcPr>
                <w:p w14:paraId="0E0787DB">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30</w:t>
                  </w:r>
                </w:p>
              </w:tc>
              <w:tc>
                <w:tcPr>
                  <w:tcW w:w="321" w:type="pct"/>
                  <w:tcBorders>
                    <w:tl2br w:val="nil"/>
                    <w:tr2bl w:val="nil"/>
                  </w:tcBorders>
                  <w:noWrap w:val="0"/>
                  <w:vAlign w:val="center"/>
                </w:tcPr>
                <w:p w14:paraId="38180F03">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Cs w:val="21"/>
                      <w:highlight w:val="none"/>
                      <w:lang w:val="en-US" w:eastAsia="zh-CN"/>
                    </w:rPr>
                    <w:t>1</w:t>
                  </w:r>
                  <w:r>
                    <w:rPr>
                      <w:rFonts w:hint="eastAsia" w:cs="Times New Roman"/>
                      <w:color w:val="auto"/>
                      <w:kern w:val="0"/>
                      <w:szCs w:val="21"/>
                      <w:highlight w:val="none"/>
                      <w:lang w:val="en-US" w:eastAsia="zh-CN"/>
                    </w:rPr>
                    <w:t>.0</w:t>
                  </w:r>
                </w:p>
              </w:tc>
              <w:tc>
                <w:tcPr>
                  <w:tcW w:w="455" w:type="pct"/>
                  <w:tcBorders>
                    <w:tl2br w:val="nil"/>
                    <w:tr2bl w:val="nil"/>
                  </w:tcBorders>
                  <w:noWrap w:val="0"/>
                  <w:tcMar>
                    <w:left w:w="11" w:type="dxa"/>
                    <w:right w:w="11" w:type="dxa"/>
                  </w:tcMar>
                  <w:vAlign w:val="center"/>
                </w:tcPr>
                <w:p w14:paraId="359F805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10</w:t>
                  </w:r>
                </w:p>
                <w:p w14:paraId="10BD892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30</w:t>
                  </w:r>
                </w:p>
                <w:p w14:paraId="3957CB7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48</w:t>
                  </w:r>
                </w:p>
                <w:p w14:paraId="03A9C2E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45</w:t>
                  </w:r>
                </w:p>
              </w:tc>
              <w:tc>
                <w:tcPr>
                  <w:tcW w:w="470" w:type="pct"/>
                  <w:tcBorders>
                    <w:tl2br w:val="nil"/>
                    <w:tr2bl w:val="nil"/>
                  </w:tcBorders>
                  <w:noWrap w:val="0"/>
                  <w:tcMar>
                    <w:left w:w="11" w:type="dxa"/>
                    <w:right w:w="11" w:type="dxa"/>
                  </w:tcMar>
                  <w:vAlign w:val="center"/>
                </w:tcPr>
                <w:p w14:paraId="6B0A704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62.5</w:t>
                  </w:r>
                </w:p>
                <w:p w14:paraId="1614459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45.0</w:t>
                  </w:r>
                </w:p>
                <w:p w14:paraId="723BBFD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31.0</w:t>
                  </w:r>
                </w:p>
                <w:p w14:paraId="3CD67E3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33.2</w:t>
                  </w:r>
                </w:p>
              </w:tc>
              <w:tc>
                <w:tcPr>
                  <w:tcW w:w="250" w:type="pct"/>
                  <w:vMerge w:val="continue"/>
                  <w:tcBorders>
                    <w:tl2br w:val="nil"/>
                    <w:tr2bl w:val="nil"/>
                  </w:tcBorders>
                  <w:noWrap w:val="0"/>
                  <w:vAlign w:val="center"/>
                </w:tcPr>
                <w:p w14:paraId="5C650F8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12EFAA5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0ECBB4B8">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47.5</w:t>
                  </w:r>
                </w:p>
                <w:p w14:paraId="3559DDE2">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30.0</w:t>
                  </w:r>
                </w:p>
                <w:p w14:paraId="251B8FEB">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16.0</w:t>
                  </w:r>
                </w:p>
                <w:p w14:paraId="35E009F4">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18.2</w:t>
                  </w:r>
                </w:p>
              </w:tc>
              <w:tc>
                <w:tcPr>
                  <w:tcW w:w="448" w:type="pct"/>
                  <w:tcBorders>
                    <w:tl2br w:val="nil"/>
                    <w:tr2bl w:val="nil"/>
                  </w:tcBorders>
                  <w:noWrap w:val="0"/>
                  <w:vAlign w:val="center"/>
                </w:tcPr>
                <w:p w14:paraId="58F7D3DE">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5E00B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261" w:type="pct"/>
                  <w:vMerge w:val="continue"/>
                  <w:tcBorders>
                    <w:tl2br w:val="nil"/>
                    <w:tr2bl w:val="nil"/>
                  </w:tcBorders>
                  <w:noWrap w:val="0"/>
                  <w:vAlign w:val="center"/>
                </w:tcPr>
                <w:p w14:paraId="1DEC08F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55547D13">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#2水轮清洗机</w:t>
                  </w:r>
                </w:p>
              </w:tc>
              <w:tc>
                <w:tcPr>
                  <w:tcW w:w="358" w:type="pct"/>
                  <w:tcBorders>
                    <w:tl2br w:val="nil"/>
                    <w:tr2bl w:val="nil"/>
                  </w:tcBorders>
                  <w:noWrap w:val="0"/>
                  <w:tcMar>
                    <w:left w:w="11" w:type="dxa"/>
                    <w:right w:w="11" w:type="dxa"/>
                  </w:tcMar>
                  <w:vAlign w:val="center"/>
                </w:tcPr>
                <w:p w14:paraId="1D019D97">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70</w:t>
                  </w:r>
                </w:p>
              </w:tc>
              <w:tc>
                <w:tcPr>
                  <w:tcW w:w="478" w:type="pct"/>
                  <w:vMerge w:val="continue"/>
                  <w:tcBorders>
                    <w:tl2br w:val="nil"/>
                    <w:tr2bl w:val="nil"/>
                  </w:tcBorders>
                  <w:noWrap w:val="0"/>
                  <w:vAlign w:val="center"/>
                </w:tcPr>
                <w:p w14:paraId="5168F2D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589D3732">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336" w:type="pct"/>
                  <w:tcBorders>
                    <w:tl2br w:val="nil"/>
                    <w:tr2bl w:val="nil"/>
                  </w:tcBorders>
                  <w:noWrap w:val="0"/>
                  <w:vAlign w:val="center"/>
                </w:tcPr>
                <w:p w14:paraId="43530FD2">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23</w:t>
                  </w:r>
                </w:p>
              </w:tc>
              <w:tc>
                <w:tcPr>
                  <w:tcW w:w="321" w:type="pct"/>
                  <w:tcBorders>
                    <w:tl2br w:val="nil"/>
                    <w:tr2bl w:val="nil"/>
                  </w:tcBorders>
                  <w:noWrap w:val="0"/>
                  <w:vAlign w:val="center"/>
                </w:tcPr>
                <w:p w14:paraId="7070DC2B">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Cs w:val="21"/>
                      <w:highlight w:val="none"/>
                      <w:lang w:val="en-US" w:eastAsia="zh-CN"/>
                    </w:rPr>
                    <w:t>1</w:t>
                  </w:r>
                  <w:r>
                    <w:rPr>
                      <w:rFonts w:hint="eastAsia" w:cs="Times New Roman"/>
                      <w:color w:val="auto"/>
                      <w:kern w:val="0"/>
                      <w:szCs w:val="21"/>
                      <w:highlight w:val="none"/>
                      <w:lang w:val="en-US" w:eastAsia="zh-CN"/>
                    </w:rPr>
                    <w:t>.0</w:t>
                  </w:r>
                </w:p>
              </w:tc>
              <w:tc>
                <w:tcPr>
                  <w:tcW w:w="455" w:type="pct"/>
                  <w:tcBorders>
                    <w:tl2br w:val="nil"/>
                    <w:tr2bl w:val="nil"/>
                  </w:tcBorders>
                  <w:noWrap w:val="0"/>
                  <w:tcMar>
                    <w:left w:w="11" w:type="dxa"/>
                    <w:right w:w="11" w:type="dxa"/>
                  </w:tcMar>
                  <w:vAlign w:val="center"/>
                </w:tcPr>
                <w:p w14:paraId="7E4014B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N</w:t>
                  </w:r>
                  <w:r>
                    <w:rPr>
                      <w:rFonts w:hint="eastAsia"/>
                      <w:color w:val="000000" w:themeColor="text1"/>
                      <w:sz w:val="21"/>
                      <w:szCs w:val="21"/>
                      <w:highlight w:val="none"/>
                      <w:lang w:val="en-US" w:eastAsia="zh-CN"/>
                      <w14:textFill>
                        <w14:solidFill>
                          <w14:schemeClr w14:val="tx1"/>
                        </w14:solidFill>
                      </w14:textFill>
                    </w:rPr>
                    <w:t>12</w:t>
                  </w:r>
                </w:p>
                <w:p w14:paraId="77EAEA6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30</w:t>
                  </w:r>
                </w:p>
                <w:p w14:paraId="28E5C37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46</w:t>
                  </w:r>
                </w:p>
                <w:p w14:paraId="55A2412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45</w:t>
                  </w:r>
                </w:p>
              </w:tc>
              <w:tc>
                <w:tcPr>
                  <w:tcW w:w="470" w:type="pct"/>
                  <w:tcBorders>
                    <w:tl2br w:val="nil"/>
                    <w:tr2bl w:val="nil"/>
                  </w:tcBorders>
                  <w:noWrap w:val="0"/>
                  <w:tcMar>
                    <w:left w:w="11" w:type="dxa"/>
                    <w:right w:w="11" w:type="dxa"/>
                  </w:tcMar>
                  <w:vAlign w:val="center"/>
                </w:tcPr>
                <w:p w14:paraId="76C85E7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61.5</w:t>
                  </w:r>
                </w:p>
                <w:p w14:paraId="2372103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45.0</w:t>
                  </w:r>
                </w:p>
                <w:p w14:paraId="3F4200E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32.5</w:t>
                  </w:r>
                </w:p>
                <w:p w14:paraId="76C8F61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33.2</w:t>
                  </w:r>
                </w:p>
              </w:tc>
              <w:tc>
                <w:tcPr>
                  <w:tcW w:w="250" w:type="pct"/>
                  <w:vMerge w:val="continue"/>
                  <w:tcBorders>
                    <w:tl2br w:val="nil"/>
                    <w:tr2bl w:val="nil"/>
                  </w:tcBorders>
                  <w:noWrap w:val="0"/>
                  <w:vAlign w:val="center"/>
                </w:tcPr>
                <w:p w14:paraId="711EB97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color w:val="auto"/>
                      <w:sz w:val="21"/>
                      <w:szCs w:val="21"/>
                      <w:highlight w:val="none"/>
                    </w:rPr>
                  </w:pPr>
                </w:p>
              </w:tc>
              <w:tc>
                <w:tcPr>
                  <w:tcW w:w="428" w:type="pct"/>
                  <w:tcBorders>
                    <w:tl2br w:val="nil"/>
                    <w:tr2bl w:val="nil"/>
                  </w:tcBorders>
                  <w:noWrap w:val="0"/>
                  <w:vAlign w:val="center"/>
                </w:tcPr>
                <w:p w14:paraId="1B3AA8C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500" w:type="pct"/>
                  <w:tcBorders>
                    <w:tl2br w:val="nil"/>
                    <w:tr2bl w:val="nil"/>
                  </w:tcBorders>
                  <w:noWrap w:val="0"/>
                  <w:vAlign w:val="center"/>
                </w:tcPr>
                <w:p w14:paraId="2A3D1BE5">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46.5</w:t>
                  </w:r>
                </w:p>
                <w:p w14:paraId="3BC1F881">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30.0</w:t>
                  </w:r>
                </w:p>
                <w:p w14:paraId="5AB2B64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17.5</w:t>
                  </w:r>
                </w:p>
                <w:p w14:paraId="072D13A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18.2</w:t>
                  </w:r>
                </w:p>
              </w:tc>
              <w:tc>
                <w:tcPr>
                  <w:tcW w:w="448" w:type="pct"/>
                  <w:tcBorders>
                    <w:tl2br w:val="nil"/>
                    <w:tr2bl w:val="nil"/>
                  </w:tcBorders>
                  <w:noWrap w:val="0"/>
                  <w:vAlign w:val="center"/>
                </w:tcPr>
                <w:p w14:paraId="6F38A0BB">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70591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261" w:type="pct"/>
                  <w:vMerge w:val="continue"/>
                  <w:tcBorders>
                    <w:tl2br w:val="nil"/>
                    <w:tr2bl w:val="nil"/>
                  </w:tcBorders>
                  <w:noWrap w:val="0"/>
                  <w:vAlign w:val="center"/>
                </w:tcPr>
                <w:p w14:paraId="751D2D0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779BD313">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#1脱水筛</w:t>
                  </w:r>
                </w:p>
              </w:tc>
              <w:tc>
                <w:tcPr>
                  <w:tcW w:w="358" w:type="pct"/>
                  <w:tcBorders>
                    <w:tl2br w:val="nil"/>
                    <w:tr2bl w:val="nil"/>
                  </w:tcBorders>
                  <w:noWrap w:val="0"/>
                  <w:tcMar>
                    <w:left w:w="11" w:type="dxa"/>
                    <w:right w:w="11" w:type="dxa"/>
                  </w:tcMar>
                  <w:vAlign w:val="center"/>
                </w:tcPr>
                <w:p w14:paraId="0E110EC4">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7</w:t>
                  </w:r>
                  <w:r>
                    <w:rPr>
                      <w:rFonts w:hint="eastAsia" w:cs="Times New Roman"/>
                      <w:color w:val="auto"/>
                      <w:szCs w:val="21"/>
                      <w:highlight w:val="none"/>
                      <w:lang w:val="en-US" w:eastAsia="zh-CN"/>
                    </w:rPr>
                    <w:t>5</w:t>
                  </w:r>
                </w:p>
              </w:tc>
              <w:tc>
                <w:tcPr>
                  <w:tcW w:w="478" w:type="pct"/>
                  <w:vMerge w:val="continue"/>
                  <w:tcBorders>
                    <w:tl2br w:val="nil"/>
                    <w:tr2bl w:val="nil"/>
                  </w:tcBorders>
                  <w:noWrap w:val="0"/>
                  <w:vAlign w:val="center"/>
                </w:tcPr>
                <w:p w14:paraId="3DEA232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5EE64520">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w:t>
                  </w:r>
                </w:p>
              </w:tc>
              <w:tc>
                <w:tcPr>
                  <w:tcW w:w="336" w:type="pct"/>
                  <w:tcBorders>
                    <w:tl2br w:val="nil"/>
                    <w:tr2bl w:val="nil"/>
                  </w:tcBorders>
                  <w:noWrap w:val="0"/>
                  <w:vAlign w:val="center"/>
                </w:tcPr>
                <w:p w14:paraId="7BCA6C38">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30</w:t>
                  </w:r>
                </w:p>
              </w:tc>
              <w:tc>
                <w:tcPr>
                  <w:tcW w:w="321" w:type="pct"/>
                  <w:tcBorders>
                    <w:tl2br w:val="nil"/>
                    <w:tr2bl w:val="nil"/>
                  </w:tcBorders>
                  <w:noWrap w:val="0"/>
                  <w:vAlign w:val="center"/>
                </w:tcPr>
                <w:p w14:paraId="19CF8985">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Cs w:val="21"/>
                      <w:highlight w:val="none"/>
                      <w:lang w:val="en-US" w:eastAsia="zh-CN"/>
                    </w:rPr>
                    <w:t>1</w:t>
                  </w:r>
                  <w:r>
                    <w:rPr>
                      <w:rFonts w:hint="eastAsia" w:cs="Times New Roman"/>
                      <w:color w:val="auto"/>
                      <w:kern w:val="0"/>
                      <w:szCs w:val="21"/>
                      <w:highlight w:val="none"/>
                      <w:lang w:val="en-US" w:eastAsia="zh-CN"/>
                    </w:rPr>
                    <w:t>.0</w:t>
                  </w:r>
                </w:p>
              </w:tc>
              <w:tc>
                <w:tcPr>
                  <w:tcW w:w="455" w:type="pct"/>
                  <w:tcBorders>
                    <w:tl2br w:val="nil"/>
                    <w:tr2bl w:val="nil"/>
                  </w:tcBorders>
                  <w:noWrap w:val="0"/>
                  <w:tcMar>
                    <w:left w:w="11" w:type="dxa"/>
                    <w:right w:w="11" w:type="dxa"/>
                  </w:tcMar>
                  <w:vAlign w:val="center"/>
                </w:tcPr>
                <w:p w14:paraId="105A7EE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8</w:t>
                  </w:r>
                </w:p>
                <w:p w14:paraId="7A34C17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25</w:t>
                  </w:r>
                </w:p>
                <w:p w14:paraId="292EC0D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50</w:t>
                  </w:r>
                </w:p>
                <w:p w14:paraId="12D088F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50</w:t>
                  </w:r>
                </w:p>
              </w:tc>
              <w:tc>
                <w:tcPr>
                  <w:tcW w:w="470" w:type="pct"/>
                  <w:tcBorders>
                    <w:tl2br w:val="nil"/>
                    <w:tr2bl w:val="nil"/>
                  </w:tcBorders>
                  <w:noWrap w:val="0"/>
                  <w:tcMar>
                    <w:left w:w="11" w:type="dxa"/>
                    <w:right w:w="11" w:type="dxa"/>
                  </w:tcMar>
                  <w:vAlign w:val="center"/>
                </w:tcPr>
                <w:p w14:paraId="1C8A1A1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70.7</w:t>
                  </w:r>
                </w:p>
                <w:p w14:paraId="1D5F6E8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62.5</w:t>
                  </w:r>
                </w:p>
                <w:p w14:paraId="13F65A8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30.4</w:t>
                  </w:r>
                </w:p>
                <w:p w14:paraId="5232413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30.4</w:t>
                  </w:r>
                </w:p>
              </w:tc>
              <w:tc>
                <w:tcPr>
                  <w:tcW w:w="250" w:type="pct"/>
                  <w:vMerge w:val="continue"/>
                  <w:tcBorders>
                    <w:tl2br w:val="nil"/>
                    <w:tr2bl w:val="nil"/>
                  </w:tcBorders>
                  <w:noWrap w:val="0"/>
                  <w:vAlign w:val="center"/>
                </w:tcPr>
                <w:p w14:paraId="2B07820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color w:val="auto"/>
                      <w:sz w:val="21"/>
                      <w:szCs w:val="21"/>
                      <w:highlight w:val="none"/>
                    </w:rPr>
                  </w:pPr>
                </w:p>
              </w:tc>
              <w:tc>
                <w:tcPr>
                  <w:tcW w:w="428" w:type="pct"/>
                  <w:tcBorders>
                    <w:tl2br w:val="nil"/>
                    <w:tr2bl w:val="nil"/>
                  </w:tcBorders>
                  <w:noWrap w:val="0"/>
                  <w:vAlign w:val="center"/>
                </w:tcPr>
                <w:p w14:paraId="7D1DE8D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244D0F2E">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55.7</w:t>
                  </w:r>
                </w:p>
                <w:p w14:paraId="1A26ECFB">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47.5</w:t>
                  </w:r>
                </w:p>
                <w:p w14:paraId="4729AB93">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15.4</w:t>
                  </w:r>
                </w:p>
                <w:p w14:paraId="1D653590">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15.4</w:t>
                  </w:r>
                </w:p>
              </w:tc>
              <w:tc>
                <w:tcPr>
                  <w:tcW w:w="448" w:type="pct"/>
                  <w:tcBorders>
                    <w:tl2br w:val="nil"/>
                    <w:tr2bl w:val="nil"/>
                  </w:tcBorders>
                  <w:noWrap w:val="0"/>
                  <w:vAlign w:val="center"/>
                </w:tcPr>
                <w:p w14:paraId="32A9B7BD">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7EB59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7" w:hRule="atLeast"/>
                <w:jc w:val="center"/>
              </w:trPr>
              <w:tc>
                <w:tcPr>
                  <w:tcW w:w="261" w:type="pct"/>
                  <w:vMerge w:val="continue"/>
                  <w:tcBorders>
                    <w:tl2br w:val="nil"/>
                    <w:tr2bl w:val="nil"/>
                  </w:tcBorders>
                  <w:noWrap w:val="0"/>
                  <w:vAlign w:val="center"/>
                </w:tcPr>
                <w:p w14:paraId="79F03AB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4352A271">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#2脱水筛</w:t>
                  </w:r>
                </w:p>
              </w:tc>
              <w:tc>
                <w:tcPr>
                  <w:tcW w:w="358" w:type="pct"/>
                  <w:tcBorders>
                    <w:tl2br w:val="nil"/>
                    <w:tr2bl w:val="nil"/>
                  </w:tcBorders>
                  <w:noWrap w:val="0"/>
                  <w:tcMar>
                    <w:left w:w="11" w:type="dxa"/>
                    <w:right w:w="11" w:type="dxa"/>
                  </w:tcMar>
                  <w:vAlign w:val="center"/>
                </w:tcPr>
                <w:p w14:paraId="0A8A5E97">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7</w:t>
                  </w:r>
                  <w:r>
                    <w:rPr>
                      <w:rFonts w:hint="eastAsia" w:cs="Times New Roman"/>
                      <w:color w:val="auto"/>
                      <w:szCs w:val="21"/>
                      <w:highlight w:val="none"/>
                      <w:lang w:val="en-US" w:eastAsia="zh-CN"/>
                    </w:rPr>
                    <w:t>5</w:t>
                  </w:r>
                </w:p>
              </w:tc>
              <w:tc>
                <w:tcPr>
                  <w:tcW w:w="478" w:type="pct"/>
                  <w:vMerge w:val="continue"/>
                  <w:tcBorders>
                    <w:tl2br w:val="nil"/>
                    <w:tr2bl w:val="nil"/>
                  </w:tcBorders>
                  <w:noWrap w:val="0"/>
                  <w:vAlign w:val="center"/>
                </w:tcPr>
                <w:p w14:paraId="2C2C3B1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26E9FBAF">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w:t>
                  </w:r>
                </w:p>
              </w:tc>
              <w:tc>
                <w:tcPr>
                  <w:tcW w:w="336" w:type="pct"/>
                  <w:tcBorders>
                    <w:tl2br w:val="nil"/>
                    <w:tr2bl w:val="nil"/>
                  </w:tcBorders>
                  <w:noWrap w:val="0"/>
                  <w:vAlign w:val="center"/>
                </w:tcPr>
                <w:p w14:paraId="508883C6">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25</w:t>
                  </w:r>
                </w:p>
              </w:tc>
              <w:tc>
                <w:tcPr>
                  <w:tcW w:w="321" w:type="pct"/>
                  <w:tcBorders>
                    <w:tl2br w:val="nil"/>
                    <w:tr2bl w:val="nil"/>
                  </w:tcBorders>
                  <w:noWrap w:val="0"/>
                  <w:vAlign w:val="center"/>
                </w:tcPr>
                <w:p w14:paraId="74C76650">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Cs w:val="21"/>
                      <w:highlight w:val="none"/>
                      <w:lang w:val="en-US" w:eastAsia="zh-CN"/>
                    </w:rPr>
                    <w:t>1</w:t>
                  </w:r>
                  <w:r>
                    <w:rPr>
                      <w:rFonts w:hint="eastAsia" w:cs="Times New Roman"/>
                      <w:color w:val="auto"/>
                      <w:kern w:val="0"/>
                      <w:szCs w:val="21"/>
                      <w:highlight w:val="none"/>
                      <w:lang w:val="en-US" w:eastAsia="zh-CN"/>
                    </w:rPr>
                    <w:t>.0</w:t>
                  </w:r>
                </w:p>
              </w:tc>
              <w:tc>
                <w:tcPr>
                  <w:tcW w:w="455" w:type="pct"/>
                  <w:tcBorders>
                    <w:tl2br w:val="nil"/>
                    <w:tr2bl w:val="nil"/>
                  </w:tcBorders>
                  <w:noWrap w:val="0"/>
                  <w:tcMar>
                    <w:left w:w="11" w:type="dxa"/>
                    <w:right w:w="11" w:type="dxa"/>
                  </w:tcMar>
                  <w:vAlign w:val="center"/>
                </w:tcPr>
                <w:p w14:paraId="5C9D47F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10</w:t>
                  </w:r>
                </w:p>
                <w:p w14:paraId="022209F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25</w:t>
                  </w:r>
                </w:p>
                <w:p w14:paraId="706171A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48</w:t>
                  </w:r>
                </w:p>
                <w:p w14:paraId="71932EB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50</w:t>
                  </w:r>
                </w:p>
              </w:tc>
              <w:tc>
                <w:tcPr>
                  <w:tcW w:w="470" w:type="pct"/>
                  <w:tcBorders>
                    <w:tl2br w:val="nil"/>
                    <w:tr2bl w:val="nil"/>
                  </w:tcBorders>
                  <w:noWrap w:val="0"/>
                  <w:tcMar>
                    <w:left w:w="11" w:type="dxa"/>
                    <w:right w:w="11" w:type="dxa"/>
                  </w:tcMar>
                  <w:vAlign w:val="center"/>
                </w:tcPr>
                <w:p w14:paraId="0724AC8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69.0</w:t>
                  </w:r>
                </w:p>
                <w:p w14:paraId="697A793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62.5</w:t>
                  </w:r>
                </w:p>
                <w:p w14:paraId="5B9F4AF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32.5</w:t>
                  </w:r>
                </w:p>
                <w:p w14:paraId="3728D56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30.4</w:t>
                  </w:r>
                </w:p>
              </w:tc>
              <w:tc>
                <w:tcPr>
                  <w:tcW w:w="250" w:type="pct"/>
                  <w:vMerge w:val="continue"/>
                  <w:tcBorders>
                    <w:tl2br w:val="nil"/>
                    <w:tr2bl w:val="nil"/>
                  </w:tcBorders>
                  <w:noWrap w:val="0"/>
                  <w:vAlign w:val="center"/>
                </w:tcPr>
                <w:p w14:paraId="391C3F9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7888444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7B8F331E">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54.0</w:t>
                  </w:r>
                </w:p>
                <w:p w14:paraId="47A768DB">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47.5</w:t>
                  </w:r>
                </w:p>
                <w:p w14:paraId="64E9921D">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17.5</w:t>
                  </w:r>
                </w:p>
                <w:p w14:paraId="7BD0DD2F">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15.4</w:t>
                  </w:r>
                </w:p>
              </w:tc>
              <w:tc>
                <w:tcPr>
                  <w:tcW w:w="448" w:type="pct"/>
                  <w:tcBorders>
                    <w:tl2br w:val="nil"/>
                    <w:tr2bl w:val="nil"/>
                  </w:tcBorders>
                  <w:noWrap w:val="0"/>
                  <w:vAlign w:val="center"/>
                </w:tcPr>
                <w:p w14:paraId="1B8B9ED4">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11C39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261" w:type="pct"/>
                  <w:vMerge w:val="continue"/>
                  <w:tcBorders>
                    <w:tl2br w:val="nil"/>
                    <w:tr2bl w:val="nil"/>
                  </w:tcBorders>
                  <w:noWrap w:val="0"/>
                  <w:vAlign w:val="center"/>
                </w:tcPr>
                <w:p w14:paraId="15CCC92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66B226BE">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#1板框压滤机</w:t>
                  </w:r>
                </w:p>
              </w:tc>
              <w:tc>
                <w:tcPr>
                  <w:tcW w:w="358" w:type="pct"/>
                  <w:tcBorders>
                    <w:tl2br w:val="nil"/>
                    <w:tr2bl w:val="nil"/>
                  </w:tcBorders>
                  <w:noWrap w:val="0"/>
                  <w:tcMar>
                    <w:left w:w="11" w:type="dxa"/>
                    <w:right w:w="11" w:type="dxa"/>
                  </w:tcMar>
                  <w:vAlign w:val="center"/>
                </w:tcPr>
                <w:p w14:paraId="2833017C">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70</w:t>
                  </w:r>
                </w:p>
              </w:tc>
              <w:tc>
                <w:tcPr>
                  <w:tcW w:w="478" w:type="pct"/>
                  <w:vMerge w:val="continue"/>
                  <w:tcBorders>
                    <w:tl2br w:val="nil"/>
                    <w:tr2bl w:val="nil"/>
                  </w:tcBorders>
                  <w:noWrap w:val="0"/>
                  <w:vAlign w:val="center"/>
                </w:tcPr>
                <w:p w14:paraId="295E11E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2353E6B1">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30</w:t>
                  </w:r>
                </w:p>
              </w:tc>
              <w:tc>
                <w:tcPr>
                  <w:tcW w:w="336" w:type="pct"/>
                  <w:tcBorders>
                    <w:tl2br w:val="nil"/>
                    <w:tr2bl w:val="nil"/>
                  </w:tcBorders>
                  <w:noWrap w:val="0"/>
                  <w:vAlign w:val="center"/>
                </w:tcPr>
                <w:p w14:paraId="4423FBF6">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321" w:type="pct"/>
                  <w:tcBorders>
                    <w:tl2br w:val="nil"/>
                    <w:tr2bl w:val="nil"/>
                  </w:tcBorders>
                  <w:noWrap w:val="0"/>
                  <w:vAlign w:val="center"/>
                </w:tcPr>
                <w:p w14:paraId="7A032A1F">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1.0</w:t>
                  </w:r>
                </w:p>
              </w:tc>
              <w:tc>
                <w:tcPr>
                  <w:tcW w:w="455" w:type="pct"/>
                  <w:tcBorders>
                    <w:tl2br w:val="nil"/>
                    <w:tr2bl w:val="nil"/>
                  </w:tcBorders>
                  <w:noWrap w:val="0"/>
                  <w:tcMar>
                    <w:left w:w="11" w:type="dxa"/>
                    <w:right w:w="11" w:type="dxa"/>
                  </w:tcMar>
                  <w:vAlign w:val="center"/>
                </w:tcPr>
                <w:p w14:paraId="1978D76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10</w:t>
                  </w:r>
                </w:p>
                <w:p w14:paraId="0C30EC4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15</w:t>
                  </w:r>
                </w:p>
                <w:p w14:paraId="6AB9ECE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48</w:t>
                  </w:r>
                </w:p>
                <w:p w14:paraId="7DA4436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60</w:t>
                  </w:r>
                </w:p>
              </w:tc>
              <w:tc>
                <w:tcPr>
                  <w:tcW w:w="470" w:type="pct"/>
                  <w:tcBorders>
                    <w:tl2br w:val="nil"/>
                    <w:tr2bl w:val="nil"/>
                  </w:tcBorders>
                  <w:noWrap w:val="0"/>
                  <w:tcMar>
                    <w:left w:w="11" w:type="dxa"/>
                    <w:right w:w="11" w:type="dxa"/>
                  </w:tcMar>
                  <w:vAlign w:val="center"/>
                </w:tcPr>
                <w:p w14:paraId="097E2C7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62.5</w:t>
                  </w:r>
                </w:p>
                <w:p w14:paraId="18F8D29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57.5</w:t>
                  </w:r>
                </w:p>
                <w:p w14:paraId="6901A38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31.0</w:t>
                  </w:r>
                </w:p>
                <w:p w14:paraId="58E32A7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23.7</w:t>
                  </w:r>
                </w:p>
              </w:tc>
              <w:tc>
                <w:tcPr>
                  <w:tcW w:w="250" w:type="pct"/>
                  <w:vMerge w:val="continue"/>
                  <w:tcBorders>
                    <w:tl2br w:val="nil"/>
                    <w:tr2bl w:val="nil"/>
                  </w:tcBorders>
                  <w:noWrap w:val="0"/>
                  <w:vAlign w:val="center"/>
                </w:tcPr>
                <w:p w14:paraId="27EC195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0423AA0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62E75CE5">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47.5</w:t>
                  </w:r>
                </w:p>
                <w:p w14:paraId="520D64B5">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42.5</w:t>
                  </w:r>
                </w:p>
                <w:p w14:paraId="0A06FA9F">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16.0</w:t>
                  </w:r>
                </w:p>
                <w:p w14:paraId="0DE610BC">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8.7</w:t>
                  </w:r>
                </w:p>
              </w:tc>
              <w:tc>
                <w:tcPr>
                  <w:tcW w:w="448" w:type="pct"/>
                  <w:tcBorders>
                    <w:tl2br w:val="nil"/>
                    <w:tr2bl w:val="nil"/>
                  </w:tcBorders>
                  <w:noWrap w:val="0"/>
                  <w:vAlign w:val="center"/>
                </w:tcPr>
                <w:p w14:paraId="4D51A665">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2ABCB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261" w:type="pct"/>
                  <w:vMerge w:val="continue"/>
                  <w:tcBorders>
                    <w:tl2br w:val="nil"/>
                    <w:tr2bl w:val="nil"/>
                  </w:tcBorders>
                  <w:noWrap w:val="0"/>
                  <w:vAlign w:val="center"/>
                </w:tcPr>
                <w:p w14:paraId="2BD04B1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6A5755FC">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#2板框压滤机</w:t>
                  </w:r>
                </w:p>
              </w:tc>
              <w:tc>
                <w:tcPr>
                  <w:tcW w:w="358" w:type="pct"/>
                  <w:tcBorders>
                    <w:tl2br w:val="nil"/>
                    <w:tr2bl w:val="nil"/>
                  </w:tcBorders>
                  <w:noWrap w:val="0"/>
                  <w:tcMar>
                    <w:left w:w="11" w:type="dxa"/>
                    <w:right w:w="11" w:type="dxa"/>
                  </w:tcMar>
                  <w:vAlign w:val="center"/>
                </w:tcPr>
                <w:p w14:paraId="4D55B09E">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70</w:t>
                  </w:r>
                </w:p>
              </w:tc>
              <w:tc>
                <w:tcPr>
                  <w:tcW w:w="478" w:type="pct"/>
                  <w:vMerge w:val="continue"/>
                  <w:tcBorders>
                    <w:tl2br w:val="nil"/>
                    <w:tr2bl w:val="nil"/>
                  </w:tcBorders>
                  <w:noWrap w:val="0"/>
                  <w:vAlign w:val="center"/>
                </w:tcPr>
                <w:p w14:paraId="3B37CE5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21EE9990">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33</w:t>
                  </w:r>
                </w:p>
              </w:tc>
              <w:tc>
                <w:tcPr>
                  <w:tcW w:w="336" w:type="pct"/>
                  <w:tcBorders>
                    <w:tl2br w:val="nil"/>
                    <w:tr2bl w:val="nil"/>
                  </w:tcBorders>
                  <w:noWrap w:val="0"/>
                  <w:vAlign w:val="center"/>
                </w:tcPr>
                <w:p w14:paraId="4E384BD8">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321" w:type="pct"/>
                  <w:tcBorders>
                    <w:tl2br w:val="nil"/>
                    <w:tr2bl w:val="nil"/>
                  </w:tcBorders>
                  <w:noWrap w:val="0"/>
                  <w:vAlign w:val="center"/>
                </w:tcPr>
                <w:p w14:paraId="1632FC4D">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1.0</w:t>
                  </w:r>
                </w:p>
              </w:tc>
              <w:tc>
                <w:tcPr>
                  <w:tcW w:w="455" w:type="pct"/>
                  <w:tcBorders>
                    <w:tl2br w:val="nil"/>
                    <w:tr2bl w:val="nil"/>
                  </w:tcBorders>
                  <w:noWrap w:val="0"/>
                  <w:tcMar>
                    <w:left w:w="11" w:type="dxa"/>
                    <w:right w:w="11" w:type="dxa"/>
                  </w:tcMar>
                  <w:vAlign w:val="center"/>
                </w:tcPr>
                <w:p w14:paraId="0657A5B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10</w:t>
                  </w:r>
                </w:p>
                <w:p w14:paraId="195D460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13</w:t>
                  </w:r>
                </w:p>
                <w:p w14:paraId="1659C14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48</w:t>
                  </w:r>
                </w:p>
                <w:p w14:paraId="77CEF58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62</w:t>
                  </w:r>
                </w:p>
              </w:tc>
              <w:tc>
                <w:tcPr>
                  <w:tcW w:w="470" w:type="pct"/>
                  <w:tcBorders>
                    <w:tl2br w:val="nil"/>
                    <w:tr2bl w:val="nil"/>
                  </w:tcBorders>
                  <w:noWrap w:val="0"/>
                  <w:tcMar>
                    <w:left w:w="11" w:type="dxa"/>
                    <w:right w:w="11" w:type="dxa"/>
                  </w:tcMar>
                  <w:vAlign w:val="center"/>
                </w:tcPr>
                <w:p w14:paraId="7029FBA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62.5</w:t>
                  </w:r>
                </w:p>
                <w:p w14:paraId="2152394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60.8</w:t>
                  </w:r>
                </w:p>
                <w:p w14:paraId="24E6FC6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31.0</w:t>
                  </w:r>
                </w:p>
                <w:p w14:paraId="68466BA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24.7</w:t>
                  </w:r>
                </w:p>
              </w:tc>
              <w:tc>
                <w:tcPr>
                  <w:tcW w:w="250" w:type="pct"/>
                  <w:vMerge w:val="continue"/>
                  <w:tcBorders>
                    <w:tl2br w:val="nil"/>
                    <w:tr2bl w:val="nil"/>
                  </w:tcBorders>
                  <w:noWrap w:val="0"/>
                  <w:vAlign w:val="center"/>
                </w:tcPr>
                <w:p w14:paraId="2F5B1D5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513ED18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304EA261">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47.5</w:t>
                  </w:r>
                </w:p>
                <w:p w14:paraId="732A7990">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45.8</w:t>
                  </w:r>
                </w:p>
                <w:p w14:paraId="7E63BB92">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16.0</w:t>
                  </w:r>
                </w:p>
                <w:p w14:paraId="1780C145">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9.7</w:t>
                  </w:r>
                </w:p>
              </w:tc>
              <w:tc>
                <w:tcPr>
                  <w:tcW w:w="448" w:type="pct"/>
                  <w:tcBorders>
                    <w:tl2br w:val="nil"/>
                    <w:tr2bl w:val="nil"/>
                  </w:tcBorders>
                  <w:noWrap w:val="0"/>
                  <w:vAlign w:val="center"/>
                </w:tcPr>
                <w:p w14:paraId="0003C4CC">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21B50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261" w:type="pct"/>
                  <w:vMerge w:val="continue"/>
                  <w:tcBorders>
                    <w:tl2br w:val="nil"/>
                    <w:tr2bl w:val="nil"/>
                  </w:tcBorders>
                  <w:noWrap w:val="0"/>
                  <w:vAlign w:val="center"/>
                </w:tcPr>
                <w:p w14:paraId="683BCE9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0E003B35">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#1配料给料机</w:t>
                  </w:r>
                </w:p>
              </w:tc>
              <w:tc>
                <w:tcPr>
                  <w:tcW w:w="358" w:type="pct"/>
                  <w:tcBorders>
                    <w:tl2br w:val="nil"/>
                    <w:tr2bl w:val="nil"/>
                  </w:tcBorders>
                  <w:noWrap w:val="0"/>
                  <w:tcMar>
                    <w:left w:w="11" w:type="dxa"/>
                    <w:right w:w="11" w:type="dxa"/>
                  </w:tcMar>
                  <w:vAlign w:val="center"/>
                </w:tcPr>
                <w:p w14:paraId="3C5FB8B9">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80</w:t>
                  </w:r>
                </w:p>
              </w:tc>
              <w:tc>
                <w:tcPr>
                  <w:tcW w:w="478" w:type="pct"/>
                  <w:vMerge w:val="continue"/>
                  <w:tcBorders>
                    <w:tl2br w:val="nil"/>
                    <w:tr2bl w:val="nil"/>
                  </w:tcBorders>
                  <w:noWrap w:val="0"/>
                  <w:vAlign w:val="center"/>
                </w:tcPr>
                <w:p w14:paraId="17B12F3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77FE792C">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w:t>
                  </w:r>
                </w:p>
              </w:tc>
              <w:tc>
                <w:tcPr>
                  <w:tcW w:w="336" w:type="pct"/>
                  <w:tcBorders>
                    <w:tl2br w:val="nil"/>
                    <w:tr2bl w:val="nil"/>
                  </w:tcBorders>
                  <w:noWrap w:val="0"/>
                  <w:vAlign w:val="center"/>
                </w:tcPr>
                <w:p w14:paraId="669C372C">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-8</w:t>
                  </w:r>
                </w:p>
              </w:tc>
              <w:tc>
                <w:tcPr>
                  <w:tcW w:w="321" w:type="pct"/>
                  <w:tcBorders>
                    <w:tl2br w:val="nil"/>
                    <w:tr2bl w:val="nil"/>
                  </w:tcBorders>
                  <w:noWrap w:val="0"/>
                  <w:vAlign w:val="center"/>
                </w:tcPr>
                <w:p w14:paraId="0E3A95E6">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1.0</w:t>
                  </w:r>
                </w:p>
              </w:tc>
              <w:tc>
                <w:tcPr>
                  <w:tcW w:w="455" w:type="pct"/>
                  <w:tcBorders>
                    <w:tl2br w:val="nil"/>
                    <w:tr2bl w:val="nil"/>
                  </w:tcBorders>
                  <w:noWrap w:val="0"/>
                  <w:tcMar>
                    <w:left w:w="11" w:type="dxa"/>
                    <w:right w:w="11" w:type="dxa"/>
                  </w:tcMar>
                  <w:vAlign w:val="center"/>
                </w:tcPr>
                <w:p w14:paraId="0C62DBE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30</w:t>
                  </w:r>
                </w:p>
                <w:p w14:paraId="1147349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60</w:t>
                  </w:r>
                </w:p>
                <w:p w14:paraId="71298FB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25</w:t>
                  </w:r>
                </w:p>
                <w:p w14:paraId="1B1BF73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15</w:t>
                  </w:r>
                </w:p>
              </w:tc>
              <w:tc>
                <w:tcPr>
                  <w:tcW w:w="470" w:type="pct"/>
                  <w:tcBorders>
                    <w:tl2br w:val="nil"/>
                    <w:tr2bl w:val="nil"/>
                  </w:tcBorders>
                  <w:noWrap w:val="0"/>
                  <w:tcMar>
                    <w:left w:w="11" w:type="dxa"/>
                    <w:right w:w="11" w:type="dxa"/>
                  </w:tcMar>
                  <w:vAlign w:val="center"/>
                </w:tcPr>
                <w:p w14:paraId="0DF3B3B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58.5</w:t>
                  </w:r>
                </w:p>
                <w:p w14:paraId="55D54E3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33.7</w:t>
                  </w:r>
                </w:p>
                <w:p w14:paraId="70543FB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61.2</w:t>
                  </w:r>
                </w:p>
                <w:p w14:paraId="24E4C10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67.5</w:t>
                  </w:r>
                </w:p>
              </w:tc>
              <w:tc>
                <w:tcPr>
                  <w:tcW w:w="250" w:type="pct"/>
                  <w:vMerge w:val="continue"/>
                  <w:tcBorders>
                    <w:tl2br w:val="nil"/>
                    <w:tr2bl w:val="nil"/>
                  </w:tcBorders>
                  <w:noWrap w:val="0"/>
                  <w:vAlign w:val="center"/>
                </w:tcPr>
                <w:p w14:paraId="4881B3C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105A72D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078CA73A">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43.5</w:t>
                  </w:r>
                </w:p>
                <w:p w14:paraId="5E5FED6B">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18.7</w:t>
                  </w:r>
                </w:p>
                <w:p w14:paraId="4D4C4701">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46.2</w:t>
                  </w:r>
                </w:p>
                <w:p w14:paraId="25205863">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52.5</w:t>
                  </w:r>
                </w:p>
              </w:tc>
              <w:tc>
                <w:tcPr>
                  <w:tcW w:w="448" w:type="pct"/>
                  <w:tcBorders>
                    <w:tl2br w:val="nil"/>
                    <w:tr2bl w:val="nil"/>
                  </w:tcBorders>
                  <w:noWrap w:val="0"/>
                  <w:vAlign w:val="center"/>
                </w:tcPr>
                <w:p w14:paraId="52ABED43">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336B7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261" w:type="pct"/>
                  <w:vMerge w:val="continue"/>
                  <w:tcBorders>
                    <w:tl2br w:val="nil"/>
                    <w:tr2bl w:val="nil"/>
                  </w:tcBorders>
                  <w:noWrap w:val="0"/>
                  <w:vAlign w:val="center"/>
                </w:tcPr>
                <w:p w14:paraId="0A36905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14F32CEE">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#2配料给料机</w:t>
                  </w:r>
                </w:p>
              </w:tc>
              <w:tc>
                <w:tcPr>
                  <w:tcW w:w="358" w:type="pct"/>
                  <w:tcBorders>
                    <w:tl2br w:val="nil"/>
                    <w:tr2bl w:val="nil"/>
                  </w:tcBorders>
                  <w:shd w:val="clear" w:color="auto" w:fill="auto"/>
                  <w:noWrap w:val="0"/>
                  <w:tcMar>
                    <w:left w:w="11" w:type="dxa"/>
                    <w:right w:w="11" w:type="dxa"/>
                  </w:tcMar>
                  <w:vAlign w:val="center"/>
                </w:tcPr>
                <w:p w14:paraId="23A0020B">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80</w:t>
                  </w:r>
                </w:p>
              </w:tc>
              <w:tc>
                <w:tcPr>
                  <w:tcW w:w="478" w:type="pct"/>
                  <w:vMerge w:val="continue"/>
                  <w:tcBorders>
                    <w:tl2br w:val="nil"/>
                    <w:tr2bl w:val="nil"/>
                  </w:tcBorders>
                  <w:shd w:val="clear" w:color="auto" w:fill="auto"/>
                  <w:noWrap w:val="0"/>
                  <w:vAlign w:val="center"/>
                </w:tcPr>
                <w:p w14:paraId="40987E9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shd w:val="clear" w:color="auto" w:fill="auto"/>
                  <w:noWrap w:val="0"/>
                  <w:tcMar>
                    <w:left w:w="11" w:type="dxa"/>
                    <w:right w:w="11" w:type="dxa"/>
                  </w:tcMar>
                  <w:vAlign w:val="center"/>
                </w:tcPr>
                <w:p w14:paraId="0BB0D0B1">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336" w:type="pct"/>
                  <w:tcBorders>
                    <w:tl2br w:val="nil"/>
                    <w:tr2bl w:val="nil"/>
                  </w:tcBorders>
                  <w:shd w:val="clear" w:color="auto" w:fill="auto"/>
                  <w:noWrap w:val="0"/>
                  <w:vAlign w:val="center"/>
                </w:tcPr>
                <w:p w14:paraId="5045D83E">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-15</w:t>
                  </w:r>
                </w:p>
              </w:tc>
              <w:tc>
                <w:tcPr>
                  <w:tcW w:w="321" w:type="pct"/>
                  <w:tcBorders>
                    <w:tl2br w:val="nil"/>
                    <w:tr2bl w:val="nil"/>
                  </w:tcBorders>
                  <w:shd w:val="clear" w:color="auto" w:fill="auto"/>
                  <w:noWrap w:val="0"/>
                  <w:vAlign w:val="center"/>
                </w:tcPr>
                <w:p w14:paraId="4829F41F">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Cs w:val="21"/>
                      <w:highlight w:val="none"/>
                      <w:lang w:val="en-US" w:eastAsia="zh-CN"/>
                    </w:rPr>
                    <w:t>1</w:t>
                  </w:r>
                  <w:r>
                    <w:rPr>
                      <w:rFonts w:hint="eastAsia" w:cs="Times New Roman"/>
                      <w:color w:val="auto"/>
                      <w:kern w:val="0"/>
                      <w:szCs w:val="21"/>
                      <w:highlight w:val="none"/>
                      <w:lang w:val="en-US" w:eastAsia="zh-CN"/>
                    </w:rPr>
                    <w:t>.0</w:t>
                  </w:r>
                </w:p>
              </w:tc>
              <w:tc>
                <w:tcPr>
                  <w:tcW w:w="455" w:type="pct"/>
                  <w:tcBorders>
                    <w:tl2br w:val="nil"/>
                    <w:tr2bl w:val="nil"/>
                  </w:tcBorders>
                  <w:shd w:val="clear" w:color="auto" w:fill="auto"/>
                  <w:noWrap w:val="0"/>
                  <w:tcMar>
                    <w:left w:w="11" w:type="dxa"/>
                    <w:right w:w="11" w:type="dxa"/>
                  </w:tcMar>
                  <w:vAlign w:val="center"/>
                </w:tcPr>
                <w:p w14:paraId="6D6E610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35</w:t>
                  </w:r>
                </w:p>
                <w:p w14:paraId="0719962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55</w:t>
                  </w:r>
                </w:p>
                <w:p w14:paraId="4454505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20</w:t>
                  </w:r>
                </w:p>
                <w:p w14:paraId="5D75DFA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20</w:t>
                  </w:r>
                </w:p>
              </w:tc>
              <w:tc>
                <w:tcPr>
                  <w:tcW w:w="470" w:type="pct"/>
                  <w:tcBorders>
                    <w:tl2br w:val="nil"/>
                    <w:tr2bl w:val="nil"/>
                  </w:tcBorders>
                  <w:shd w:val="clear" w:color="auto" w:fill="auto"/>
                  <w:noWrap w:val="0"/>
                  <w:tcMar>
                    <w:left w:w="11" w:type="dxa"/>
                    <w:right w:w="11" w:type="dxa"/>
                  </w:tcMar>
                  <w:vAlign w:val="center"/>
                </w:tcPr>
                <w:p w14:paraId="2DB8190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54.6</w:t>
                  </w:r>
                </w:p>
                <w:p w14:paraId="78469B8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37.7</w:t>
                  </w:r>
                </w:p>
                <w:p w14:paraId="60AD3C7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66.2</w:t>
                  </w:r>
                </w:p>
                <w:p w14:paraId="455EF58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66.2</w:t>
                  </w:r>
                </w:p>
              </w:tc>
              <w:tc>
                <w:tcPr>
                  <w:tcW w:w="250" w:type="pct"/>
                  <w:vMerge w:val="continue"/>
                  <w:tcBorders>
                    <w:tl2br w:val="nil"/>
                    <w:tr2bl w:val="nil"/>
                  </w:tcBorders>
                  <w:shd w:val="clear" w:color="auto" w:fill="auto"/>
                  <w:noWrap w:val="0"/>
                  <w:vAlign w:val="center"/>
                </w:tcPr>
                <w:p w14:paraId="5751B4D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shd w:val="clear" w:color="auto" w:fill="auto"/>
                  <w:noWrap w:val="0"/>
                  <w:vAlign w:val="center"/>
                </w:tcPr>
                <w:p w14:paraId="1602DA9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shd w:val="clear" w:color="auto" w:fill="auto"/>
                  <w:noWrap w:val="0"/>
                  <w:vAlign w:val="center"/>
                </w:tcPr>
                <w:p w14:paraId="34090D45">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highlight w:val="none"/>
                      <w:lang w:val="en-US" w:eastAsia="zh-CN" w:bidi="ar"/>
                    </w:rPr>
                  </w:pPr>
                  <w:r>
                    <w:rPr>
                      <w:rStyle w:val="47"/>
                      <w:rFonts w:eastAsia="宋体"/>
                      <w:color w:val="auto"/>
                      <w:sz w:val="21"/>
                      <w:szCs w:val="21"/>
                      <w:highlight w:val="none"/>
                      <w:lang w:val="en-US" w:eastAsia="zh-CN" w:bidi="ar"/>
                    </w:rPr>
                    <w:t>N</w:t>
                  </w:r>
                  <w:r>
                    <w:rPr>
                      <w:rStyle w:val="47"/>
                      <w:rFonts w:hint="eastAsia"/>
                      <w:color w:val="auto"/>
                      <w:sz w:val="21"/>
                      <w:szCs w:val="21"/>
                      <w:highlight w:val="none"/>
                      <w:lang w:val="en-US" w:eastAsia="zh-CN" w:bidi="ar"/>
                    </w:rPr>
                    <w:t>39.6</w:t>
                  </w:r>
                </w:p>
                <w:p w14:paraId="4C43856B">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Style w:val="47"/>
                      <w:rFonts w:eastAsia="宋体"/>
                      <w:color w:val="auto"/>
                      <w:sz w:val="21"/>
                      <w:szCs w:val="21"/>
                      <w:highlight w:val="none"/>
                      <w:lang w:val="en-US" w:eastAsia="zh-CN" w:bidi="ar"/>
                    </w:rPr>
                    <w:t>E</w:t>
                  </w:r>
                  <w:r>
                    <w:rPr>
                      <w:rStyle w:val="47"/>
                      <w:rFonts w:hint="eastAsia"/>
                      <w:color w:val="auto"/>
                      <w:sz w:val="21"/>
                      <w:szCs w:val="21"/>
                      <w:highlight w:val="none"/>
                      <w:lang w:val="en-US" w:eastAsia="zh-CN" w:bidi="ar"/>
                    </w:rPr>
                    <w:t>22.7</w:t>
                  </w:r>
                </w:p>
                <w:p w14:paraId="0A514298">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Style w:val="47"/>
                      <w:rFonts w:eastAsia="宋体"/>
                      <w:color w:val="auto"/>
                      <w:sz w:val="21"/>
                      <w:szCs w:val="21"/>
                      <w:highlight w:val="none"/>
                      <w:lang w:val="en-US" w:eastAsia="zh-CN" w:bidi="ar"/>
                    </w:rPr>
                    <w:t>S</w:t>
                  </w:r>
                  <w:r>
                    <w:rPr>
                      <w:rStyle w:val="47"/>
                      <w:rFonts w:hint="eastAsia"/>
                      <w:color w:val="auto"/>
                      <w:sz w:val="21"/>
                      <w:szCs w:val="21"/>
                      <w:highlight w:val="none"/>
                      <w:lang w:val="en-US" w:eastAsia="zh-CN" w:bidi="ar"/>
                    </w:rPr>
                    <w:t>51.2</w:t>
                  </w:r>
                </w:p>
                <w:p w14:paraId="0789B078">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47"/>
                      <w:rFonts w:eastAsia="宋体"/>
                      <w:color w:val="auto"/>
                      <w:sz w:val="21"/>
                      <w:szCs w:val="21"/>
                      <w:highlight w:val="none"/>
                      <w:lang w:val="en-US" w:eastAsia="zh-CN" w:bidi="ar"/>
                    </w:rPr>
                    <w:t>W</w:t>
                  </w:r>
                  <w:r>
                    <w:rPr>
                      <w:rStyle w:val="47"/>
                      <w:rFonts w:hint="eastAsia"/>
                      <w:color w:val="auto"/>
                      <w:sz w:val="21"/>
                      <w:szCs w:val="21"/>
                      <w:highlight w:val="none"/>
                      <w:lang w:val="en-US" w:eastAsia="zh-CN" w:bidi="ar"/>
                    </w:rPr>
                    <w:t>51.2</w:t>
                  </w:r>
                </w:p>
              </w:tc>
              <w:tc>
                <w:tcPr>
                  <w:tcW w:w="448" w:type="pct"/>
                  <w:tcBorders>
                    <w:tl2br w:val="nil"/>
                    <w:tr2bl w:val="nil"/>
                  </w:tcBorders>
                  <w:shd w:val="clear" w:color="auto" w:fill="auto"/>
                  <w:noWrap w:val="0"/>
                  <w:vAlign w:val="center"/>
                </w:tcPr>
                <w:p w14:paraId="79EB40D0">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highlight w:val="none"/>
                      <w:u w:val="none"/>
                      <w:lang w:val="en-US" w:eastAsia="zh-CN" w:bidi="ar"/>
                    </w:rPr>
                  </w:pPr>
                  <w:r>
                    <w:rPr>
                      <w:rStyle w:val="47"/>
                      <w:rFonts w:hint="eastAsia"/>
                      <w:color w:val="auto"/>
                      <w:sz w:val="21"/>
                      <w:szCs w:val="21"/>
                      <w:highlight w:val="none"/>
                      <w:lang w:val="en-US" w:eastAsia="zh-CN" w:bidi="ar"/>
                    </w:rPr>
                    <w:t>1m</w:t>
                  </w:r>
                </w:p>
              </w:tc>
            </w:tr>
            <w:tr w14:paraId="687DE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261" w:type="pct"/>
                  <w:vMerge w:val="continue"/>
                  <w:tcBorders>
                    <w:tl2br w:val="nil"/>
                    <w:tr2bl w:val="nil"/>
                  </w:tcBorders>
                  <w:noWrap w:val="0"/>
                  <w:vAlign w:val="center"/>
                </w:tcPr>
                <w:p w14:paraId="03601C0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1A1F9DC5">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#3配料给料机</w:t>
                  </w:r>
                </w:p>
              </w:tc>
              <w:tc>
                <w:tcPr>
                  <w:tcW w:w="358" w:type="pct"/>
                  <w:tcBorders>
                    <w:tl2br w:val="nil"/>
                    <w:tr2bl w:val="nil"/>
                  </w:tcBorders>
                  <w:shd w:val="clear" w:color="auto" w:fill="auto"/>
                  <w:noWrap w:val="0"/>
                  <w:tcMar>
                    <w:left w:w="11" w:type="dxa"/>
                    <w:right w:w="11" w:type="dxa"/>
                  </w:tcMar>
                  <w:vAlign w:val="center"/>
                </w:tcPr>
                <w:p w14:paraId="7B862A2E">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80</w:t>
                  </w:r>
                </w:p>
              </w:tc>
              <w:tc>
                <w:tcPr>
                  <w:tcW w:w="478" w:type="pct"/>
                  <w:vMerge w:val="continue"/>
                  <w:tcBorders>
                    <w:tl2br w:val="nil"/>
                    <w:tr2bl w:val="nil"/>
                  </w:tcBorders>
                  <w:shd w:val="clear" w:color="auto" w:fill="auto"/>
                  <w:noWrap w:val="0"/>
                  <w:vAlign w:val="center"/>
                </w:tcPr>
                <w:p w14:paraId="1E08F45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shd w:val="clear" w:color="auto" w:fill="auto"/>
                  <w:noWrap w:val="0"/>
                  <w:tcMar>
                    <w:left w:w="11" w:type="dxa"/>
                    <w:right w:w="11" w:type="dxa"/>
                  </w:tcMar>
                  <w:vAlign w:val="center"/>
                </w:tcPr>
                <w:p w14:paraId="77F86763">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-15</w:t>
                  </w:r>
                </w:p>
              </w:tc>
              <w:tc>
                <w:tcPr>
                  <w:tcW w:w="336" w:type="pct"/>
                  <w:tcBorders>
                    <w:tl2br w:val="nil"/>
                    <w:tr2bl w:val="nil"/>
                  </w:tcBorders>
                  <w:shd w:val="clear" w:color="auto" w:fill="auto"/>
                  <w:noWrap w:val="0"/>
                  <w:vAlign w:val="center"/>
                </w:tcPr>
                <w:p w14:paraId="1BD785DE">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-15</w:t>
                  </w:r>
                </w:p>
              </w:tc>
              <w:tc>
                <w:tcPr>
                  <w:tcW w:w="321" w:type="pct"/>
                  <w:tcBorders>
                    <w:tl2br w:val="nil"/>
                    <w:tr2bl w:val="nil"/>
                  </w:tcBorders>
                  <w:shd w:val="clear" w:color="auto" w:fill="auto"/>
                  <w:noWrap w:val="0"/>
                  <w:vAlign w:val="center"/>
                </w:tcPr>
                <w:p w14:paraId="68807A8B">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1.0</w:t>
                  </w:r>
                </w:p>
              </w:tc>
              <w:tc>
                <w:tcPr>
                  <w:tcW w:w="455" w:type="pct"/>
                  <w:tcBorders>
                    <w:tl2br w:val="nil"/>
                    <w:tr2bl w:val="nil"/>
                  </w:tcBorders>
                  <w:shd w:val="clear" w:color="auto" w:fill="auto"/>
                  <w:noWrap w:val="0"/>
                  <w:tcMar>
                    <w:left w:w="11" w:type="dxa"/>
                    <w:right w:w="11" w:type="dxa"/>
                  </w:tcMar>
                  <w:vAlign w:val="center"/>
                </w:tcPr>
                <w:p w14:paraId="30163A1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35</w:t>
                  </w:r>
                </w:p>
                <w:p w14:paraId="10A6E11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50</w:t>
                  </w:r>
                </w:p>
                <w:p w14:paraId="4E355B1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20</w:t>
                  </w:r>
                </w:p>
                <w:p w14:paraId="6A38123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25</w:t>
                  </w:r>
                </w:p>
              </w:tc>
              <w:tc>
                <w:tcPr>
                  <w:tcW w:w="470" w:type="pct"/>
                  <w:tcBorders>
                    <w:tl2br w:val="nil"/>
                    <w:tr2bl w:val="nil"/>
                  </w:tcBorders>
                  <w:shd w:val="clear" w:color="auto" w:fill="auto"/>
                  <w:noWrap w:val="0"/>
                  <w:tcMar>
                    <w:left w:w="11" w:type="dxa"/>
                    <w:right w:w="11" w:type="dxa"/>
                  </w:tcMar>
                  <w:vAlign w:val="center"/>
                </w:tcPr>
                <w:p w14:paraId="7A40EDB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54.6</w:t>
                  </w:r>
                </w:p>
                <w:p w14:paraId="4AE54B8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41.5</w:t>
                  </w:r>
                </w:p>
                <w:p w14:paraId="3298BDE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66.2</w:t>
                  </w:r>
                </w:p>
                <w:p w14:paraId="41DD9DD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61.2</w:t>
                  </w:r>
                </w:p>
              </w:tc>
              <w:tc>
                <w:tcPr>
                  <w:tcW w:w="250" w:type="pct"/>
                  <w:vMerge w:val="continue"/>
                  <w:tcBorders>
                    <w:tl2br w:val="nil"/>
                    <w:tr2bl w:val="nil"/>
                  </w:tcBorders>
                  <w:shd w:val="clear" w:color="auto" w:fill="auto"/>
                  <w:noWrap w:val="0"/>
                  <w:vAlign w:val="center"/>
                </w:tcPr>
                <w:p w14:paraId="66E9DB5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shd w:val="clear" w:color="auto" w:fill="auto"/>
                  <w:noWrap w:val="0"/>
                  <w:vAlign w:val="center"/>
                </w:tcPr>
                <w:p w14:paraId="1E3F032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shd w:val="clear" w:color="auto" w:fill="auto"/>
                  <w:noWrap w:val="0"/>
                  <w:vAlign w:val="center"/>
                </w:tcPr>
                <w:p w14:paraId="146CFFB9">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highlight w:val="none"/>
                      <w:lang w:val="en-US" w:eastAsia="zh-CN" w:bidi="ar"/>
                    </w:rPr>
                  </w:pPr>
                  <w:r>
                    <w:rPr>
                      <w:rStyle w:val="47"/>
                      <w:rFonts w:eastAsia="宋体"/>
                      <w:color w:val="auto"/>
                      <w:sz w:val="21"/>
                      <w:szCs w:val="21"/>
                      <w:highlight w:val="none"/>
                      <w:lang w:val="en-US" w:eastAsia="zh-CN" w:bidi="ar"/>
                    </w:rPr>
                    <w:t>N</w:t>
                  </w:r>
                  <w:r>
                    <w:rPr>
                      <w:rStyle w:val="47"/>
                      <w:rFonts w:hint="eastAsia"/>
                      <w:color w:val="auto"/>
                      <w:sz w:val="21"/>
                      <w:szCs w:val="21"/>
                      <w:highlight w:val="none"/>
                      <w:lang w:val="en-US" w:eastAsia="zh-CN" w:bidi="ar"/>
                    </w:rPr>
                    <w:t>39.6</w:t>
                  </w:r>
                </w:p>
                <w:p w14:paraId="30EC86C9">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Style w:val="47"/>
                      <w:rFonts w:eastAsia="宋体"/>
                      <w:color w:val="auto"/>
                      <w:sz w:val="21"/>
                      <w:szCs w:val="21"/>
                      <w:highlight w:val="none"/>
                      <w:lang w:val="en-US" w:eastAsia="zh-CN" w:bidi="ar"/>
                    </w:rPr>
                    <w:t>E</w:t>
                  </w:r>
                  <w:r>
                    <w:rPr>
                      <w:rStyle w:val="47"/>
                      <w:rFonts w:hint="eastAsia"/>
                      <w:color w:val="auto"/>
                      <w:sz w:val="21"/>
                      <w:szCs w:val="21"/>
                      <w:highlight w:val="none"/>
                      <w:lang w:val="en-US" w:eastAsia="zh-CN" w:bidi="ar"/>
                    </w:rPr>
                    <w:t>26.5</w:t>
                  </w:r>
                </w:p>
                <w:p w14:paraId="54493BEB">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Style w:val="47"/>
                      <w:rFonts w:eastAsia="宋体"/>
                      <w:color w:val="auto"/>
                      <w:sz w:val="21"/>
                      <w:szCs w:val="21"/>
                      <w:highlight w:val="none"/>
                      <w:lang w:val="en-US" w:eastAsia="zh-CN" w:bidi="ar"/>
                    </w:rPr>
                    <w:t>S</w:t>
                  </w:r>
                  <w:r>
                    <w:rPr>
                      <w:rStyle w:val="47"/>
                      <w:rFonts w:hint="eastAsia"/>
                      <w:color w:val="auto"/>
                      <w:sz w:val="21"/>
                      <w:szCs w:val="21"/>
                      <w:highlight w:val="none"/>
                      <w:lang w:val="en-US" w:eastAsia="zh-CN" w:bidi="ar"/>
                    </w:rPr>
                    <w:t>51.2</w:t>
                  </w:r>
                </w:p>
                <w:p w14:paraId="0565CB0E">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47"/>
                      <w:rFonts w:eastAsia="宋体"/>
                      <w:color w:val="auto"/>
                      <w:sz w:val="21"/>
                      <w:szCs w:val="21"/>
                      <w:highlight w:val="none"/>
                      <w:lang w:val="en-US" w:eastAsia="zh-CN" w:bidi="ar"/>
                    </w:rPr>
                    <w:t>W</w:t>
                  </w:r>
                  <w:r>
                    <w:rPr>
                      <w:rStyle w:val="47"/>
                      <w:rFonts w:hint="eastAsia"/>
                      <w:color w:val="auto"/>
                      <w:sz w:val="21"/>
                      <w:szCs w:val="21"/>
                      <w:highlight w:val="none"/>
                      <w:lang w:val="en-US" w:eastAsia="zh-CN" w:bidi="ar"/>
                    </w:rPr>
                    <w:t>51.2</w:t>
                  </w:r>
                </w:p>
              </w:tc>
              <w:tc>
                <w:tcPr>
                  <w:tcW w:w="448" w:type="pct"/>
                  <w:tcBorders>
                    <w:tl2br w:val="nil"/>
                    <w:tr2bl w:val="nil"/>
                  </w:tcBorders>
                  <w:shd w:val="clear" w:color="auto" w:fill="auto"/>
                  <w:noWrap w:val="0"/>
                  <w:vAlign w:val="center"/>
                </w:tcPr>
                <w:p w14:paraId="428F11DE">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highlight w:val="none"/>
                      <w:u w:val="none"/>
                      <w:lang w:val="en-US" w:eastAsia="zh-CN" w:bidi="ar"/>
                    </w:rPr>
                  </w:pPr>
                  <w:r>
                    <w:rPr>
                      <w:rStyle w:val="47"/>
                      <w:rFonts w:hint="eastAsia"/>
                      <w:color w:val="auto"/>
                      <w:sz w:val="21"/>
                      <w:szCs w:val="21"/>
                      <w:highlight w:val="none"/>
                      <w:lang w:val="en-US" w:eastAsia="zh-CN" w:bidi="ar"/>
                    </w:rPr>
                    <w:t>1m</w:t>
                  </w:r>
                </w:p>
              </w:tc>
            </w:tr>
            <w:tr w14:paraId="7F698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261" w:type="pct"/>
                  <w:vMerge w:val="continue"/>
                  <w:tcBorders>
                    <w:tl2br w:val="nil"/>
                    <w:tr2bl w:val="nil"/>
                  </w:tcBorders>
                  <w:noWrap w:val="0"/>
                  <w:vAlign w:val="center"/>
                </w:tcPr>
                <w:p w14:paraId="2A0EF61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19F8EB81">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上料机</w:t>
                  </w:r>
                </w:p>
              </w:tc>
              <w:tc>
                <w:tcPr>
                  <w:tcW w:w="358" w:type="pct"/>
                  <w:tcBorders>
                    <w:tl2br w:val="nil"/>
                    <w:tr2bl w:val="nil"/>
                  </w:tcBorders>
                  <w:noWrap w:val="0"/>
                  <w:tcMar>
                    <w:left w:w="11" w:type="dxa"/>
                    <w:right w:w="11" w:type="dxa"/>
                  </w:tcMar>
                  <w:vAlign w:val="center"/>
                </w:tcPr>
                <w:p w14:paraId="3B825606">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75</w:t>
                  </w:r>
                </w:p>
              </w:tc>
              <w:tc>
                <w:tcPr>
                  <w:tcW w:w="478" w:type="pct"/>
                  <w:vMerge w:val="continue"/>
                  <w:tcBorders>
                    <w:tl2br w:val="nil"/>
                    <w:tr2bl w:val="nil"/>
                  </w:tcBorders>
                  <w:noWrap w:val="0"/>
                  <w:vAlign w:val="center"/>
                </w:tcPr>
                <w:p w14:paraId="4FC629F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3C166DDF">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w:t>
                  </w:r>
                </w:p>
              </w:tc>
              <w:tc>
                <w:tcPr>
                  <w:tcW w:w="336" w:type="pct"/>
                  <w:tcBorders>
                    <w:tl2br w:val="nil"/>
                    <w:tr2bl w:val="nil"/>
                  </w:tcBorders>
                  <w:noWrap w:val="0"/>
                  <w:vAlign w:val="center"/>
                </w:tcPr>
                <w:p w14:paraId="78C9A381">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w:t>
                  </w:r>
                </w:p>
              </w:tc>
              <w:tc>
                <w:tcPr>
                  <w:tcW w:w="321" w:type="pct"/>
                  <w:tcBorders>
                    <w:tl2br w:val="nil"/>
                    <w:tr2bl w:val="nil"/>
                  </w:tcBorders>
                  <w:noWrap w:val="0"/>
                  <w:vAlign w:val="center"/>
                </w:tcPr>
                <w:p w14:paraId="6B1A7EB0">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1.0</w:t>
                  </w:r>
                </w:p>
              </w:tc>
              <w:tc>
                <w:tcPr>
                  <w:tcW w:w="455" w:type="pct"/>
                  <w:tcBorders>
                    <w:tl2br w:val="nil"/>
                    <w:tr2bl w:val="nil"/>
                  </w:tcBorders>
                  <w:noWrap w:val="0"/>
                  <w:tcMar>
                    <w:left w:w="11" w:type="dxa"/>
                    <w:right w:w="11" w:type="dxa"/>
                  </w:tcMar>
                  <w:vAlign w:val="center"/>
                </w:tcPr>
                <w:p w14:paraId="07D2DD7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32</w:t>
                  </w:r>
                </w:p>
                <w:p w14:paraId="4FC2608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60</w:t>
                  </w:r>
                </w:p>
                <w:p w14:paraId="35288B1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23</w:t>
                  </w:r>
                </w:p>
                <w:p w14:paraId="589565F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15</w:t>
                  </w:r>
                </w:p>
              </w:tc>
              <w:tc>
                <w:tcPr>
                  <w:tcW w:w="470" w:type="pct"/>
                  <w:tcBorders>
                    <w:tl2br w:val="nil"/>
                    <w:tr2bl w:val="nil"/>
                  </w:tcBorders>
                  <w:noWrap w:val="0"/>
                  <w:tcMar>
                    <w:left w:w="11" w:type="dxa"/>
                    <w:right w:w="11" w:type="dxa"/>
                  </w:tcMar>
                  <w:vAlign w:val="center"/>
                </w:tcPr>
                <w:p w14:paraId="5834C41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54.3</w:t>
                  </w:r>
                </w:p>
                <w:p w14:paraId="515A44F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27.5</w:t>
                  </w:r>
                </w:p>
                <w:p w14:paraId="352E02A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56.0</w:t>
                  </w:r>
                </w:p>
                <w:p w14:paraId="4532066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61.0</w:t>
                  </w:r>
                </w:p>
              </w:tc>
              <w:tc>
                <w:tcPr>
                  <w:tcW w:w="250" w:type="pct"/>
                  <w:vMerge w:val="continue"/>
                  <w:tcBorders>
                    <w:tl2br w:val="nil"/>
                    <w:tr2bl w:val="nil"/>
                  </w:tcBorders>
                  <w:noWrap w:val="0"/>
                  <w:vAlign w:val="center"/>
                </w:tcPr>
                <w:p w14:paraId="28B4F1D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377481F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443458A3">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39.3</w:t>
                  </w:r>
                </w:p>
                <w:p w14:paraId="00594DC8">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12.5</w:t>
                  </w:r>
                </w:p>
                <w:p w14:paraId="32625AFD">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41.0</w:t>
                  </w:r>
                </w:p>
                <w:p w14:paraId="096CFC01">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46.0</w:t>
                  </w:r>
                </w:p>
              </w:tc>
              <w:tc>
                <w:tcPr>
                  <w:tcW w:w="448" w:type="pct"/>
                  <w:tcBorders>
                    <w:tl2br w:val="nil"/>
                    <w:tr2bl w:val="nil"/>
                  </w:tcBorders>
                  <w:noWrap w:val="0"/>
                  <w:vAlign w:val="center"/>
                </w:tcPr>
                <w:p w14:paraId="76D855BF">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4B103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261" w:type="pct"/>
                  <w:vMerge w:val="continue"/>
                  <w:tcBorders>
                    <w:tl2br w:val="nil"/>
                    <w:tr2bl w:val="nil"/>
                  </w:tcBorders>
                  <w:noWrap w:val="0"/>
                  <w:vAlign w:val="center"/>
                </w:tcPr>
                <w:p w14:paraId="007109B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199464E5">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#1水泥筒仓</w:t>
                  </w:r>
                </w:p>
              </w:tc>
              <w:tc>
                <w:tcPr>
                  <w:tcW w:w="358" w:type="pct"/>
                  <w:tcBorders>
                    <w:tl2br w:val="nil"/>
                    <w:tr2bl w:val="nil"/>
                  </w:tcBorders>
                  <w:noWrap w:val="0"/>
                  <w:tcMar>
                    <w:left w:w="11" w:type="dxa"/>
                    <w:right w:w="11" w:type="dxa"/>
                  </w:tcMar>
                  <w:vAlign w:val="center"/>
                </w:tcPr>
                <w:p w14:paraId="370C61C6">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70</w:t>
                  </w:r>
                </w:p>
              </w:tc>
              <w:tc>
                <w:tcPr>
                  <w:tcW w:w="478" w:type="pct"/>
                  <w:vMerge w:val="continue"/>
                  <w:tcBorders>
                    <w:tl2br w:val="nil"/>
                    <w:tr2bl w:val="nil"/>
                  </w:tcBorders>
                  <w:noWrap w:val="0"/>
                  <w:vAlign w:val="center"/>
                </w:tcPr>
                <w:p w14:paraId="3552CF6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1B6D5B04">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w:t>
                  </w:r>
                </w:p>
              </w:tc>
              <w:tc>
                <w:tcPr>
                  <w:tcW w:w="336" w:type="pct"/>
                  <w:tcBorders>
                    <w:tl2br w:val="nil"/>
                    <w:tr2bl w:val="nil"/>
                  </w:tcBorders>
                  <w:noWrap w:val="0"/>
                  <w:vAlign w:val="center"/>
                </w:tcPr>
                <w:p w14:paraId="733EEB37">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321" w:type="pct"/>
                  <w:tcBorders>
                    <w:tl2br w:val="nil"/>
                    <w:tr2bl w:val="nil"/>
                  </w:tcBorders>
                  <w:noWrap w:val="0"/>
                  <w:vAlign w:val="center"/>
                </w:tcPr>
                <w:p w14:paraId="3D8D9526">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1.5</w:t>
                  </w:r>
                </w:p>
              </w:tc>
              <w:tc>
                <w:tcPr>
                  <w:tcW w:w="455" w:type="pct"/>
                  <w:tcBorders>
                    <w:tl2br w:val="nil"/>
                    <w:tr2bl w:val="nil"/>
                  </w:tcBorders>
                  <w:noWrap w:val="0"/>
                  <w:tcMar>
                    <w:left w:w="11" w:type="dxa"/>
                    <w:right w:w="11" w:type="dxa"/>
                  </w:tcMar>
                  <w:vAlign w:val="center"/>
                </w:tcPr>
                <w:p w14:paraId="0772E42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45</w:t>
                  </w:r>
                </w:p>
                <w:p w14:paraId="5EF944D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60</w:t>
                  </w:r>
                </w:p>
                <w:p w14:paraId="4D5C95C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10</w:t>
                  </w:r>
                </w:p>
                <w:p w14:paraId="23976C01">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15</w:t>
                  </w:r>
                </w:p>
              </w:tc>
              <w:tc>
                <w:tcPr>
                  <w:tcW w:w="470" w:type="pct"/>
                  <w:tcBorders>
                    <w:tl2br w:val="nil"/>
                    <w:tr2bl w:val="nil"/>
                  </w:tcBorders>
                  <w:noWrap w:val="0"/>
                  <w:tcMar>
                    <w:left w:w="11" w:type="dxa"/>
                    <w:right w:w="11" w:type="dxa"/>
                  </w:tcMar>
                  <w:vAlign w:val="center"/>
                </w:tcPr>
                <w:p w14:paraId="7FD5F97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33.2</w:t>
                  </w:r>
                </w:p>
                <w:p w14:paraId="5EEEAF2A">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23.7</w:t>
                  </w:r>
                </w:p>
                <w:p w14:paraId="47FC615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62.5</w:t>
                  </w:r>
                </w:p>
                <w:p w14:paraId="03518F6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57.5</w:t>
                  </w:r>
                </w:p>
              </w:tc>
              <w:tc>
                <w:tcPr>
                  <w:tcW w:w="250" w:type="pct"/>
                  <w:vMerge w:val="continue"/>
                  <w:tcBorders>
                    <w:tl2br w:val="nil"/>
                    <w:tr2bl w:val="nil"/>
                  </w:tcBorders>
                  <w:noWrap w:val="0"/>
                  <w:vAlign w:val="center"/>
                </w:tcPr>
                <w:p w14:paraId="61B21F1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1F85115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478121FE">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18.2</w:t>
                  </w:r>
                </w:p>
                <w:p w14:paraId="44ACE94E">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8.7</w:t>
                  </w:r>
                </w:p>
                <w:p w14:paraId="6DECDF11">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47.5</w:t>
                  </w:r>
                </w:p>
                <w:p w14:paraId="4A2F89F0">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42.5</w:t>
                  </w:r>
                </w:p>
              </w:tc>
              <w:tc>
                <w:tcPr>
                  <w:tcW w:w="448" w:type="pct"/>
                  <w:tcBorders>
                    <w:tl2br w:val="nil"/>
                    <w:tr2bl w:val="nil"/>
                  </w:tcBorders>
                  <w:noWrap w:val="0"/>
                  <w:vAlign w:val="center"/>
                </w:tcPr>
                <w:p w14:paraId="4BF71C66">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698CC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261" w:type="pct"/>
                  <w:vMerge w:val="continue"/>
                  <w:tcBorders>
                    <w:tl2br w:val="nil"/>
                    <w:tr2bl w:val="nil"/>
                  </w:tcBorders>
                  <w:noWrap w:val="0"/>
                  <w:vAlign w:val="center"/>
                </w:tcPr>
                <w:p w14:paraId="2240613F">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11400BDE">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#2水泥筒仓</w:t>
                  </w:r>
                </w:p>
              </w:tc>
              <w:tc>
                <w:tcPr>
                  <w:tcW w:w="358" w:type="pct"/>
                  <w:tcBorders>
                    <w:tl2br w:val="nil"/>
                    <w:tr2bl w:val="nil"/>
                  </w:tcBorders>
                  <w:noWrap w:val="0"/>
                  <w:tcMar>
                    <w:left w:w="11" w:type="dxa"/>
                    <w:right w:w="11" w:type="dxa"/>
                  </w:tcMar>
                  <w:vAlign w:val="center"/>
                </w:tcPr>
                <w:p w14:paraId="6112C587">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70</w:t>
                  </w:r>
                </w:p>
              </w:tc>
              <w:tc>
                <w:tcPr>
                  <w:tcW w:w="478" w:type="pct"/>
                  <w:vMerge w:val="continue"/>
                  <w:tcBorders>
                    <w:tl2br w:val="nil"/>
                    <w:tr2bl w:val="nil"/>
                  </w:tcBorders>
                  <w:noWrap w:val="0"/>
                  <w:vAlign w:val="center"/>
                </w:tcPr>
                <w:p w14:paraId="00CD31D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472ACAAB">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336" w:type="pct"/>
                  <w:tcBorders>
                    <w:tl2br w:val="nil"/>
                    <w:tr2bl w:val="nil"/>
                  </w:tcBorders>
                  <w:noWrap w:val="0"/>
                  <w:vAlign w:val="center"/>
                </w:tcPr>
                <w:p w14:paraId="4AC93DAF">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321" w:type="pct"/>
                  <w:tcBorders>
                    <w:tl2br w:val="nil"/>
                    <w:tr2bl w:val="nil"/>
                  </w:tcBorders>
                  <w:noWrap w:val="0"/>
                  <w:vAlign w:val="center"/>
                </w:tcPr>
                <w:p w14:paraId="6DD48117">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1.5</w:t>
                  </w:r>
                </w:p>
              </w:tc>
              <w:tc>
                <w:tcPr>
                  <w:tcW w:w="455" w:type="pct"/>
                  <w:tcBorders>
                    <w:tl2br w:val="nil"/>
                    <w:tr2bl w:val="nil"/>
                  </w:tcBorders>
                  <w:noWrap w:val="0"/>
                  <w:tcMar>
                    <w:left w:w="11" w:type="dxa"/>
                    <w:right w:w="11" w:type="dxa"/>
                  </w:tcMar>
                  <w:vAlign w:val="center"/>
                </w:tcPr>
                <w:p w14:paraId="3925611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45</w:t>
                  </w:r>
                </w:p>
                <w:p w14:paraId="74A4693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55</w:t>
                  </w:r>
                </w:p>
                <w:p w14:paraId="17B8B6B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10</w:t>
                  </w:r>
                </w:p>
                <w:p w14:paraId="0893F02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20</w:t>
                  </w:r>
                </w:p>
              </w:tc>
              <w:tc>
                <w:tcPr>
                  <w:tcW w:w="470" w:type="pct"/>
                  <w:tcBorders>
                    <w:tl2br w:val="nil"/>
                    <w:tr2bl w:val="nil"/>
                  </w:tcBorders>
                  <w:noWrap w:val="0"/>
                  <w:tcMar>
                    <w:left w:w="11" w:type="dxa"/>
                    <w:right w:w="11" w:type="dxa"/>
                  </w:tcMar>
                  <w:vAlign w:val="center"/>
                </w:tcPr>
                <w:p w14:paraId="4C838B1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33.2</w:t>
                  </w:r>
                </w:p>
                <w:p w14:paraId="483371B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45.4</w:t>
                  </w:r>
                </w:p>
                <w:p w14:paraId="1FA4EBA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62.5</w:t>
                  </w:r>
                </w:p>
                <w:p w14:paraId="37B414F6">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53.6</w:t>
                  </w:r>
                </w:p>
              </w:tc>
              <w:tc>
                <w:tcPr>
                  <w:tcW w:w="250" w:type="pct"/>
                  <w:vMerge w:val="continue"/>
                  <w:tcBorders>
                    <w:tl2br w:val="nil"/>
                    <w:tr2bl w:val="nil"/>
                  </w:tcBorders>
                  <w:noWrap w:val="0"/>
                  <w:vAlign w:val="center"/>
                </w:tcPr>
                <w:p w14:paraId="0CCF2C3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484DD10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66E6D66F">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18.2</w:t>
                  </w:r>
                </w:p>
                <w:p w14:paraId="57B7432E">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30.4</w:t>
                  </w:r>
                </w:p>
                <w:p w14:paraId="698A082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47.5</w:t>
                  </w:r>
                </w:p>
                <w:p w14:paraId="30B6AF1A">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38.6</w:t>
                  </w:r>
                </w:p>
              </w:tc>
              <w:tc>
                <w:tcPr>
                  <w:tcW w:w="448" w:type="pct"/>
                  <w:tcBorders>
                    <w:tl2br w:val="nil"/>
                    <w:tr2bl w:val="nil"/>
                  </w:tcBorders>
                  <w:noWrap w:val="0"/>
                  <w:vAlign w:val="center"/>
                </w:tcPr>
                <w:p w14:paraId="65051951">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05131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261" w:type="pct"/>
                  <w:vMerge w:val="continue"/>
                  <w:tcBorders>
                    <w:tl2br w:val="nil"/>
                    <w:tr2bl w:val="nil"/>
                  </w:tcBorders>
                  <w:noWrap w:val="0"/>
                  <w:vAlign w:val="center"/>
                </w:tcPr>
                <w:p w14:paraId="12BC489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58BDD561">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#1搅拌设备</w:t>
                  </w:r>
                </w:p>
              </w:tc>
              <w:tc>
                <w:tcPr>
                  <w:tcW w:w="358" w:type="pct"/>
                  <w:tcBorders>
                    <w:tl2br w:val="nil"/>
                    <w:tr2bl w:val="nil"/>
                  </w:tcBorders>
                  <w:noWrap w:val="0"/>
                  <w:tcMar>
                    <w:left w:w="11" w:type="dxa"/>
                    <w:right w:w="11" w:type="dxa"/>
                  </w:tcMar>
                  <w:vAlign w:val="center"/>
                </w:tcPr>
                <w:p w14:paraId="379608C9">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80</w:t>
                  </w:r>
                </w:p>
              </w:tc>
              <w:tc>
                <w:tcPr>
                  <w:tcW w:w="478" w:type="pct"/>
                  <w:vMerge w:val="continue"/>
                  <w:tcBorders>
                    <w:tl2br w:val="nil"/>
                    <w:tr2bl w:val="nil"/>
                  </w:tcBorders>
                  <w:noWrap w:val="0"/>
                  <w:vAlign w:val="center"/>
                </w:tcPr>
                <w:p w14:paraId="0DFD606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4E39B44C">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w:t>
                  </w:r>
                </w:p>
              </w:tc>
              <w:tc>
                <w:tcPr>
                  <w:tcW w:w="336" w:type="pct"/>
                  <w:tcBorders>
                    <w:tl2br w:val="nil"/>
                    <w:tr2bl w:val="nil"/>
                  </w:tcBorders>
                  <w:noWrap w:val="0"/>
                  <w:vAlign w:val="center"/>
                </w:tcPr>
                <w:p w14:paraId="0E0CA7CE">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-15</w:t>
                  </w:r>
                </w:p>
              </w:tc>
              <w:tc>
                <w:tcPr>
                  <w:tcW w:w="321" w:type="pct"/>
                  <w:tcBorders>
                    <w:tl2br w:val="nil"/>
                    <w:tr2bl w:val="nil"/>
                  </w:tcBorders>
                  <w:noWrap w:val="0"/>
                  <w:vAlign w:val="center"/>
                </w:tcPr>
                <w:p w14:paraId="3AC1BDB6">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1.5</w:t>
                  </w:r>
                </w:p>
              </w:tc>
              <w:tc>
                <w:tcPr>
                  <w:tcW w:w="455" w:type="pct"/>
                  <w:tcBorders>
                    <w:tl2br w:val="nil"/>
                    <w:tr2bl w:val="nil"/>
                  </w:tcBorders>
                  <w:noWrap w:val="0"/>
                  <w:tcMar>
                    <w:left w:w="11" w:type="dxa"/>
                    <w:right w:w="11" w:type="dxa"/>
                  </w:tcMar>
                  <w:vAlign w:val="center"/>
                </w:tcPr>
                <w:p w14:paraId="57FC612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35</w:t>
                  </w:r>
                </w:p>
                <w:p w14:paraId="6EC64FB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60</w:t>
                  </w:r>
                </w:p>
                <w:p w14:paraId="0571066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20</w:t>
                  </w:r>
                </w:p>
                <w:p w14:paraId="211D6B5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15</w:t>
                  </w:r>
                </w:p>
              </w:tc>
              <w:tc>
                <w:tcPr>
                  <w:tcW w:w="470" w:type="pct"/>
                  <w:tcBorders>
                    <w:tl2br w:val="nil"/>
                    <w:tr2bl w:val="nil"/>
                  </w:tcBorders>
                  <w:noWrap w:val="0"/>
                  <w:tcMar>
                    <w:left w:w="11" w:type="dxa"/>
                    <w:right w:w="11" w:type="dxa"/>
                  </w:tcMar>
                  <w:vAlign w:val="center"/>
                </w:tcPr>
                <w:p w14:paraId="5FDFD70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54.6</w:t>
                  </w:r>
                </w:p>
                <w:p w14:paraId="1A5FFA3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33.7</w:t>
                  </w:r>
                </w:p>
                <w:p w14:paraId="7CFC968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66.2</w:t>
                  </w:r>
                </w:p>
                <w:p w14:paraId="54BC530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67.5</w:t>
                  </w:r>
                </w:p>
              </w:tc>
              <w:tc>
                <w:tcPr>
                  <w:tcW w:w="250" w:type="pct"/>
                  <w:vMerge w:val="continue"/>
                  <w:tcBorders>
                    <w:tl2br w:val="nil"/>
                    <w:tr2bl w:val="nil"/>
                  </w:tcBorders>
                  <w:noWrap w:val="0"/>
                  <w:vAlign w:val="center"/>
                </w:tcPr>
                <w:p w14:paraId="5B7F516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701E93B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19C1114B">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39.6</w:t>
                  </w:r>
                </w:p>
                <w:p w14:paraId="07AFA954">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18.7</w:t>
                  </w:r>
                </w:p>
                <w:p w14:paraId="6EBF6A6E">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51.2</w:t>
                  </w:r>
                </w:p>
                <w:p w14:paraId="303927B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52.5</w:t>
                  </w:r>
                </w:p>
              </w:tc>
              <w:tc>
                <w:tcPr>
                  <w:tcW w:w="448" w:type="pct"/>
                  <w:tcBorders>
                    <w:tl2br w:val="nil"/>
                    <w:tr2bl w:val="nil"/>
                  </w:tcBorders>
                  <w:noWrap w:val="0"/>
                  <w:vAlign w:val="center"/>
                </w:tcPr>
                <w:p w14:paraId="4D92D84D">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231DA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261" w:type="pct"/>
                  <w:vMerge w:val="continue"/>
                  <w:tcBorders>
                    <w:tl2br w:val="nil"/>
                    <w:tr2bl w:val="nil"/>
                  </w:tcBorders>
                  <w:noWrap w:val="0"/>
                  <w:vAlign w:val="center"/>
                </w:tcPr>
                <w:p w14:paraId="1E5EE38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0FF4DCB4">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环保设备风机</w:t>
                  </w:r>
                </w:p>
              </w:tc>
              <w:tc>
                <w:tcPr>
                  <w:tcW w:w="358" w:type="pct"/>
                  <w:tcBorders>
                    <w:tl2br w:val="nil"/>
                    <w:tr2bl w:val="nil"/>
                  </w:tcBorders>
                  <w:noWrap w:val="0"/>
                  <w:tcMar>
                    <w:left w:w="11" w:type="dxa"/>
                    <w:right w:w="11" w:type="dxa"/>
                  </w:tcMar>
                  <w:vAlign w:val="center"/>
                </w:tcPr>
                <w:p w14:paraId="511ED3D4">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85</w:t>
                  </w:r>
                </w:p>
              </w:tc>
              <w:tc>
                <w:tcPr>
                  <w:tcW w:w="478" w:type="pct"/>
                  <w:vMerge w:val="continue"/>
                  <w:tcBorders>
                    <w:tl2br w:val="nil"/>
                    <w:tr2bl w:val="nil"/>
                  </w:tcBorders>
                  <w:noWrap w:val="0"/>
                  <w:vAlign w:val="center"/>
                </w:tcPr>
                <w:p w14:paraId="73B2CBA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0C714E8E">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336" w:type="pct"/>
                  <w:tcBorders>
                    <w:tl2br w:val="nil"/>
                    <w:tr2bl w:val="nil"/>
                  </w:tcBorders>
                  <w:noWrap w:val="0"/>
                  <w:vAlign w:val="center"/>
                </w:tcPr>
                <w:p w14:paraId="45D5C015">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35</w:t>
                  </w:r>
                </w:p>
              </w:tc>
              <w:tc>
                <w:tcPr>
                  <w:tcW w:w="321" w:type="pct"/>
                  <w:tcBorders>
                    <w:tl2br w:val="nil"/>
                    <w:tr2bl w:val="nil"/>
                  </w:tcBorders>
                  <w:noWrap w:val="0"/>
                  <w:vAlign w:val="center"/>
                </w:tcPr>
                <w:p w14:paraId="58AFB01E">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Cs w:val="21"/>
                      <w:highlight w:val="none"/>
                      <w:lang w:val="en-US" w:eastAsia="zh-CN"/>
                    </w:rPr>
                    <w:t>1</w:t>
                  </w:r>
                  <w:r>
                    <w:rPr>
                      <w:rFonts w:hint="eastAsia" w:cs="Times New Roman"/>
                      <w:color w:val="auto"/>
                      <w:kern w:val="0"/>
                      <w:szCs w:val="21"/>
                      <w:highlight w:val="none"/>
                      <w:lang w:val="en-US" w:eastAsia="zh-CN"/>
                    </w:rPr>
                    <w:t>.0</w:t>
                  </w:r>
                </w:p>
              </w:tc>
              <w:tc>
                <w:tcPr>
                  <w:tcW w:w="455" w:type="pct"/>
                  <w:tcBorders>
                    <w:tl2br w:val="nil"/>
                    <w:tr2bl w:val="nil"/>
                  </w:tcBorders>
                  <w:noWrap w:val="0"/>
                  <w:tcMar>
                    <w:left w:w="11" w:type="dxa"/>
                    <w:right w:w="11" w:type="dxa"/>
                  </w:tcMar>
                  <w:vAlign w:val="center"/>
                </w:tcPr>
                <w:p w14:paraId="1BAF020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5</w:t>
                  </w:r>
                </w:p>
                <w:p w14:paraId="5C2FC5C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50</w:t>
                  </w:r>
                </w:p>
                <w:p w14:paraId="2A776DB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53</w:t>
                  </w:r>
                </w:p>
                <w:p w14:paraId="6B3F771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25</w:t>
                  </w:r>
                </w:p>
              </w:tc>
              <w:tc>
                <w:tcPr>
                  <w:tcW w:w="470" w:type="pct"/>
                  <w:tcBorders>
                    <w:tl2br w:val="nil"/>
                    <w:tr2bl w:val="nil"/>
                  </w:tcBorders>
                  <w:noWrap w:val="0"/>
                  <w:tcMar>
                    <w:left w:w="11" w:type="dxa"/>
                    <w:right w:w="11" w:type="dxa"/>
                  </w:tcMar>
                  <w:vAlign w:val="center"/>
                </w:tcPr>
                <w:p w14:paraId="153BA65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84.3</w:t>
                  </w:r>
                </w:p>
                <w:p w14:paraId="1070E8B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46.5</w:t>
                  </w:r>
                </w:p>
                <w:p w14:paraId="110E274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48.0</w:t>
                  </w:r>
                </w:p>
                <w:p w14:paraId="2F5A181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66.3</w:t>
                  </w:r>
                </w:p>
              </w:tc>
              <w:tc>
                <w:tcPr>
                  <w:tcW w:w="250" w:type="pct"/>
                  <w:vMerge w:val="continue"/>
                  <w:tcBorders>
                    <w:tl2br w:val="nil"/>
                    <w:tr2bl w:val="nil"/>
                  </w:tcBorders>
                  <w:noWrap w:val="0"/>
                  <w:vAlign w:val="center"/>
                </w:tcPr>
                <w:p w14:paraId="406B10F3">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1D860DD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465D5976">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69.3</w:t>
                  </w:r>
                </w:p>
                <w:p w14:paraId="6024434B">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31.5</w:t>
                  </w:r>
                </w:p>
                <w:p w14:paraId="24E7AE9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33.0</w:t>
                  </w:r>
                </w:p>
                <w:p w14:paraId="35079B0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51.3</w:t>
                  </w:r>
                </w:p>
              </w:tc>
              <w:tc>
                <w:tcPr>
                  <w:tcW w:w="448" w:type="pct"/>
                  <w:tcBorders>
                    <w:tl2br w:val="nil"/>
                    <w:tr2bl w:val="nil"/>
                  </w:tcBorders>
                  <w:noWrap w:val="0"/>
                  <w:vAlign w:val="center"/>
                </w:tcPr>
                <w:p w14:paraId="48CBC1AA">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r w14:paraId="05BE3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1" w:type="pct"/>
                  <w:vMerge w:val="continue"/>
                  <w:tcBorders>
                    <w:tl2br w:val="nil"/>
                    <w:tr2bl w:val="nil"/>
                  </w:tcBorders>
                  <w:noWrap w:val="0"/>
                  <w:vAlign w:val="center"/>
                </w:tcPr>
                <w:p w14:paraId="37BC67DD">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sz w:val="21"/>
                      <w:szCs w:val="21"/>
                    </w:rPr>
                  </w:pPr>
                </w:p>
              </w:tc>
              <w:tc>
                <w:tcPr>
                  <w:tcW w:w="396" w:type="pct"/>
                  <w:tcBorders>
                    <w:tl2br w:val="nil"/>
                    <w:tr2bl w:val="nil"/>
                  </w:tcBorders>
                  <w:noWrap w:val="0"/>
                  <w:tcMar>
                    <w:left w:w="11" w:type="dxa"/>
                    <w:right w:w="11" w:type="dxa"/>
                  </w:tcMar>
                  <w:vAlign w:val="center"/>
                </w:tcPr>
                <w:p w14:paraId="62651348">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环保设备风机</w:t>
                  </w:r>
                </w:p>
              </w:tc>
              <w:tc>
                <w:tcPr>
                  <w:tcW w:w="358" w:type="pct"/>
                  <w:tcBorders>
                    <w:tl2br w:val="nil"/>
                    <w:tr2bl w:val="nil"/>
                  </w:tcBorders>
                  <w:noWrap w:val="0"/>
                  <w:tcMar>
                    <w:left w:w="11" w:type="dxa"/>
                    <w:right w:w="11" w:type="dxa"/>
                  </w:tcMar>
                  <w:vAlign w:val="center"/>
                </w:tcPr>
                <w:p w14:paraId="199FA51A">
                  <w:pPr>
                    <w:keepNext w:val="0"/>
                    <w:keepLines w:val="0"/>
                    <w:pageBreakBefore w:val="0"/>
                    <w:kinsoku/>
                    <w:wordWrap/>
                    <w:overflowPunct/>
                    <w:topLinePunct w:val="0"/>
                    <w:autoSpaceDE/>
                    <w:autoSpaceDN/>
                    <w:bidi w:val="0"/>
                    <w:adjustRightInd/>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85</w:t>
                  </w:r>
                </w:p>
              </w:tc>
              <w:tc>
                <w:tcPr>
                  <w:tcW w:w="478" w:type="pct"/>
                  <w:vMerge w:val="continue"/>
                  <w:tcBorders>
                    <w:tl2br w:val="nil"/>
                    <w:tr2bl w:val="nil"/>
                  </w:tcBorders>
                  <w:noWrap w:val="0"/>
                  <w:vAlign w:val="center"/>
                </w:tcPr>
                <w:p w14:paraId="0E4B0F94">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61D2E501">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-35</w:t>
                  </w:r>
                </w:p>
              </w:tc>
              <w:tc>
                <w:tcPr>
                  <w:tcW w:w="336" w:type="pct"/>
                  <w:tcBorders>
                    <w:tl2br w:val="nil"/>
                    <w:tr2bl w:val="nil"/>
                  </w:tcBorders>
                  <w:noWrap w:val="0"/>
                  <w:vAlign w:val="center"/>
                </w:tcPr>
                <w:p w14:paraId="4BB7D1D0">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321" w:type="pct"/>
                  <w:tcBorders>
                    <w:tl2br w:val="nil"/>
                    <w:tr2bl w:val="nil"/>
                  </w:tcBorders>
                  <w:noWrap w:val="0"/>
                  <w:vAlign w:val="center"/>
                </w:tcPr>
                <w:p w14:paraId="0B29DFFE">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color w:val="auto"/>
                      <w:kern w:val="0"/>
                      <w:szCs w:val="21"/>
                      <w:highlight w:val="none"/>
                      <w:lang w:val="en-US" w:eastAsia="zh-CN"/>
                    </w:rPr>
                  </w:pPr>
                  <w:r>
                    <w:rPr>
                      <w:rFonts w:hint="eastAsia" w:cs="Times New Roman"/>
                      <w:color w:val="auto"/>
                      <w:kern w:val="0"/>
                      <w:szCs w:val="21"/>
                      <w:highlight w:val="none"/>
                      <w:lang w:val="en-US" w:eastAsia="zh-CN"/>
                    </w:rPr>
                    <w:t>1.0</w:t>
                  </w:r>
                </w:p>
              </w:tc>
              <w:tc>
                <w:tcPr>
                  <w:tcW w:w="455" w:type="pct"/>
                  <w:tcBorders>
                    <w:tl2br w:val="nil"/>
                    <w:tr2bl w:val="nil"/>
                  </w:tcBorders>
                  <w:noWrap w:val="0"/>
                  <w:tcMar>
                    <w:left w:w="11" w:type="dxa"/>
                    <w:right w:w="11" w:type="dxa"/>
                  </w:tcMar>
                  <w:vAlign w:val="center"/>
                </w:tcPr>
                <w:p w14:paraId="3DB6A32C">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35</w:t>
                  </w:r>
                </w:p>
                <w:p w14:paraId="5C99EE59">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65</w:t>
                  </w:r>
                </w:p>
                <w:p w14:paraId="75D5481E">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20</w:t>
                  </w:r>
                </w:p>
                <w:p w14:paraId="6406A462">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10</w:t>
                  </w:r>
                </w:p>
              </w:tc>
              <w:tc>
                <w:tcPr>
                  <w:tcW w:w="470" w:type="pct"/>
                  <w:tcBorders>
                    <w:tl2br w:val="nil"/>
                    <w:tr2bl w:val="nil"/>
                  </w:tcBorders>
                  <w:noWrap w:val="0"/>
                  <w:tcMar>
                    <w:left w:w="11" w:type="dxa"/>
                    <w:right w:w="11" w:type="dxa"/>
                  </w:tcMar>
                  <w:vAlign w:val="center"/>
                </w:tcPr>
                <w:p w14:paraId="24920B20">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N</w:t>
                  </w:r>
                  <w:r>
                    <w:rPr>
                      <w:rFonts w:hint="eastAsia"/>
                      <w:color w:val="auto"/>
                      <w:sz w:val="21"/>
                      <w:szCs w:val="21"/>
                      <w:highlight w:val="none"/>
                      <w:lang w:val="en-US" w:eastAsia="zh-CN"/>
                    </w:rPr>
                    <w:t>59.0</w:t>
                  </w:r>
                </w:p>
                <w:p w14:paraId="772A87A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E</w:t>
                  </w:r>
                  <w:r>
                    <w:rPr>
                      <w:rFonts w:hint="eastAsia"/>
                      <w:color w:val="auto"/>
                      <w:sz w:val="21"/>
                      <w:szCs w:val="21"/>
                      <w:highlight w:val="none"/>
                      <w:lang w:val="en-US" w:eastAsia="zh-CN"/>
                    </w:rPr>
                    <w:t>34.8</w:t>
                  </w:r>
                </w:p>
                <w:p w14:paraId="062A4E37">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color w:val="auto"/>
                      <w:sz w:val="21"/>
                      <w:szCs w:val="21"/>
                      <w:highlight w:val="none"/>
                    </w:rPr>
                    <w:t>S</w:t>
                  </w:r>
                  <w:r>
                    <w:rPr>
                      <w:rFonts w:hint="eastAsia"/>
                      <w:color w:val="auto"/>
                      <w:sz w:val="21"/>
                      <w:szCs w:val="21"/>
                      <w:highlight w:val="none"/>
                      <w:lang w:val="en-US" w:eastAsia="zh-CN"/>
                    </w:rPr>
                    <w:t>70.2</w:t>
                  </w:r>
                </w:p>
                <w:p w14:paraId="6FC6D405">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W</w:t>
                  </w:r>
                  <w:r>
                    <w:rPr>
                      <w:rFonts w:hint="eastAsia"/>
                      <w:color w:val="auto"/>
                      <w:sz w:val="21"/>
                      <w:szCs w:val="21"/>
                      <w:highlight w:val="none"/>
                      <w:lang w:val="en-US" w:eastAsia="zh-CN"/>
                    </w:rPr>
                    <w:t>74.6</w:t>
                  </w:r>
                </w:p>
              </w:tc>
              <w:tc>
                <w:tcPr>
                  <w:tcW w:w="250" w:type="pct"/>
                  <w:vMerge w:val="continue"/>
                  <w:tcBorders>
                    <w:tl2br w:val="nil"/>
                    <w:tr2bl w:val="nil"/>
                  </w:tcBorders>
                  <w:noWrap w:val="0"/>
                  <w:vAlign w:val="center"/>
                </w:tcPr>
                <w:p w14:paraId="3043EEE8">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p>
              </w:tc>
              <w:tc>
                <w:tcPr>
                  <w:tcW w:w="428" w:type="pct"/>
                  <w:tcBorders>
                    <w:tl2br w:val="nil"/>
                    <w:tr2bl w:val="nil"/>
                  </w:tcBorders>
                  <w:noWrap w:val="0"/>
                  <w:vAlign w:val="center"/>
                </w:tcPr>
                <w:p w14:paraId="51BAC56B">
                  <w:pPr>
                    <w:pStyle w:val="46"/>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p>
              </w:tc>
              <w:tc>
                <w:tcPr>
                  <w:tcW w:w="500" w:type="pct"/>
                  <w:tcBorders>
                    <w:tl2br w:val="nil"/>
                    <w:tr2bl w:val="nil"/>
                  </w:tcBorders>
                  <w:noWrap w:val="0"/>
                  <w:vAlign w:val="center"/>
                </w:tcPr>
                <w:p w14:paraId="32F3D610">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47"/>
                      <w:rFonts w:hint="default" w:eastAsia="宋体"/>
                      <w:color w:val="auto"/>
                      <w:sz w:val="21"/>
                      <w:szCs w:val="21"/>
                      <w:lang w:val="en-US" w:eastAsia="zh-CN" w:bidi="ar"/>
                    </w:rPr>
                  </w:pPr>
                  <w:r>
                    <w:rPr>
                      <w:rStyle w:val="47"/>
                      <w:rFonts w:eastAsia="宋体"/>
                      <w:color w:val="auto"/>
                      <w:sz w:val="21"/>
                      <w:szCs w:val="21"/>
                      <w:lang w:val="en-US" w:eastAsia="zh-CN" w:bidi="ar"/>
                    </w:rPr>
                    <w:t>N</w:t>
                  </w:r>
                  <w:r>
                    <w:rPr>
                      <w:rStyle w:val="47"/>
                      <w:rFonts w:hint="eastAsia"/>
                      <w:color w:val="auto"/>
                      <w:sz w:val="21"/>
                      <w:szCs w:val="21"/>
                      <w:lang w:val="en-US" w:eastAsia="zh-CN" w:bidi="ar"/>
                    </w:rPr>
                    <w:t>44.0</w:t>
                  </w:r>
                </w:p>
                <w:p w14:paraId="4C8DE01A">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E</w:t>
                  </w:r>
                  <w:r>
                    <w:rPr>
                      <w:rStyle w:val="47"/>
                      <w:rFonts w:hint="eastAsia"/>
                      <w:color w:val="auto"/>
                      <w:sz w:val="21"/>
                      <w:szCs w:val="21"/>
                      <w:lang w:val="en-US" w:eastAsia="zh-CN" w:bidi="ar"/>
                    </w:rPr>
                    <w:t>19.8</w:t>
                  </w:r>
                </w:p>
                <w:p w14:paraId="757FDC42">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i w:val="0"/>
                      <w:iCs w:val="0"/>
                      <w:color w:val="auto"/>
                      <w:sz w:val="21"/>
                      <w:szCs w:val="21"/>
                      <w:u w:val="none"/>
                      <w:lang w:val="en-US"/>
                    </w:rPr>
                  </w:pPr>
                  <w:r>
                    <w:rPr>
                      <w:rStyle w:val="47"/>
                      <w:rFonts w:eastAsia="宋体"/>
                      <w:color w:val="auto"/>
                      <w:sz w:val="21"/>
                      <w:szCs w:val="21"/>
                      <w:lang w:val="en-US" w:eastAsia="zh-CN" w:bidi="ar"/>
                    </w:rPr>
                    <w:t>S</w:t>
                  </w:r>
                  <w:r>
                    <w:rPr>
                      <w:rStyle w:val="47"/>
                      <w:rFonts w:hint="eastAsia"/>
                      <w:color w:val="auto"/>
                      <w:sz w:val="21"/>
                      <w:szCs w:val="21"/>
                      <w:lang w:val="en-US" w:eastAsia="zh-CN" w:bidi="ar"/>
                    </w:rPr>
                    <w:t>55.2</w:t>
                  </w:r>
                </w:p>
                <w:p w14:paraId="586C93D5">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Style w:val="47"/>
                      <w:rFonts w:eastAsia="宋体"/>
                      <w:color w:val="auto"/>
                      <w:sz w:val="21"/>
                      <w:szCs w:val="21"/>
                      <w:lang w:val="en-US" w:eastAsia="zh-CN" w:bidi="ar"/>
                    </w:rPr>
                    <w:t>W</w:t>
                  </w:r>
                  <w:r>
                    <w:rPr>
                      <w:rStyle w:val="47"/>
                      <w:rFonts w:hint="eastAsia"/>
                      <w:color w:val="auto"/>
                      <w:sz w:val="21"/>
                      <w:szCs w:val="21"/>
                      <w:lang w:val="en-US" w:eastAsia="zh-CN" w:bidi="ar"/>
                    </w:rPr>
                    <w:t>59.6</w:t>
                  </w:r>
                </w:p>
              </w:tc>
              <w:tc>
                <w:tcPr>
                  <w:tcW w:w="448" w:type="pct"/>
                  <w:tcBorders>
                    <w:tl2br w:val="nil"/>
                    <w:tr2bl w:val="nil"/>
                  </w:tcBorders>
                  <w:noWrap w:val="0"/>
                  <w:vAlign w:val="center"/>
                </w:tcPr>
                <w:p w14:paraId="369091D2">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eastAsia" w:ascii="Times New Roman" w:hAnsi="Times New Roman" w:eastAsia="宋体" w:cs="Times New Roman"/>
                      <w:color w:val="auto"/>
                      <w:kern w:val="2"/>
                      <w:sz w:val="21"/>
                      <w:szCs w:val="21"/>
                      <w:u w:val="none"/>
                      <w:lang w:val="en-US" w:eastAsia="zh-CN" w:bidi="ar"/>
                    </w:rPr>
                  </w:pPr>
                  <w:r>
                    <w:rPr>
                      <w:rStyle w:val="47"/>
                      <w:rFonts w:hint="eastAsia"/>
                      <w:color w:val="auto"/>
                      <w:sz w:val="21"/>
                      <w:szCs w:val="21"/>
                      <w:lang w:val="en-US" w:eastAsia="zh-CN" w:bidi="ar"/>
                    </w:rPr>
                    <w:t>1m</w:t>
                  </w:r>
                </w:p>
              </w:tc>
            </w:tr>
          </w:tbl>
          <w:p w14:paraId="353FEB22">
            <w:pPr>
              <w:keepNext w:val="0"/>
              <w:keepLines w:val="0"/>
              <w:pageBreakBefore w:val="0"/>
              <w:widowControl w:val="0"/>
              <w:numPr>
                <w:ilvl w:val="0"/>
                <w:numId w:val="0"/>
              </w:numPr>
              <w:kinsoku/>
              <w:wordWrap w:val="0"/>
              <w:overflowPunct/>
              <w:topLinePunct w:val="0"/>
              <w:autoSpaceDE/>
              <w:autoSpaceDN/>
              <w:bidi w:val="0"/>
              <w:adjustRightInd/>
              <w:snapToGrid/>
              <w:spacing w:line="500" w:lineRule="exact"/>
              <w:ind w:left="0" w:leftChars="0" w:firstLine="480" w:firstLineChars="200"/>
              <w:jc w:val="left"/>
              <w:textAlignment w:val="auto"/>
              <w:rPr>
                <w:rFonts w:hint="eastAsia" w:ascii="Times New Roman" w:hAnsi="Times New Roman" w:eastAsia="宋体" w:cs="Times New Roman"/>
                <w:b/>
                <w:bCs/>
                <w:color w:val="auto"/>
                <w:sz w:val="24"/>
                <w:highlight w:val="none"/>
                <w:lang w:val="en-US" w:eastAsia="zh-CN"/>
              </w:rPr>
            </w:pPr>
            <w:r>
              <w:rPr>
                <w:rFonts w:ascii="Times New Roman" w:hAnsi="Times New Roman" w:cs="Times New Roman"/>
                <w:color w:val="auto"/>
                <w:sz w:val="24"/>
                <w:highlight w:val="none"/>
              </w:rPr>
              <w:t>注：</w:t>
            </w:r>
            <w:r>
              <w:rPr>
                <w:rFonts w:hint="eastAsia" w:cs="Times New Roman"/>
                <w:color w:val="auto"/>
                <w:sz w:val="24"/>
                <w:highlight w:val="none"/>
                <w:lang w:val="en-US" w:eastAsia="zh-CN"/>
              </w:rPr>
              <w:t>上</w:t>
            </w:r>
            <w:r>
              <w:rPr>
                <w:rFonts w:ascii="Times New Roman" w:hAnsi="Times New Roman" w:cs="Times New Roman"/>
                <w:color w:val="auto"/>
                <w:sz w:val="24"/>
                <w:highlight w:val="none"/>
              </w:rPr>
              <w:t>表中坐标以</w:t>
            </w:r>
            <w:r>
              <w:rPr>
                <w:rFonts w:hint="eastAsia" w:ascii="Times New Roman" w:hAnsi="Times New Roman" w:cs="Times New Roman"/>
                <w:color w:val="auto"/>
                <w:sz w:val="24"/>
                <w:highlight w:val="none"/>
                <w:lang w:val="en-US" w:eastAsia="zh-CN"/>
              </w:rPr>
              <w:t>车间生产区中心</w:t>
            </w:r>
            <w:r>
              <w:rPr>
                <w:rFonts w:hint="eastAsia" w:cs="Times New Roman"/>
                <w:color w:val="auto"/>
                <w:sz w:val="24"/>
                <w:highlight w:val="none"/>
                <w:lang w:val="en-US" w:eastAsia="zh-CN"/>
              </w:rPr>
              <w:t>（</w:t>
            </w:r>
            <w:r>
              <w:rPr>
                <w:rFonts w:hint="default" w:ascii="Times New Roman" w:hAnsi="Times New Roman" w:cs="Times New Roman"/>
                <w:color w:val="auto"/>
                <w:sz w:val="24"/>
                <w:szCs w:val="24"/>
                <w:highlight w:val="none"/>
                <w:u w:val="none"/>
              </w:rPr>
              <w:t>经度</w:t>
            </w:r>
            <w:r>
              <w:rPr>
                <w:rFonts w:hint="default" w:ascii="Times New Roman" w:hAnsi="Times New Roman" w:cs="Times New Roman"/>
                <w:color w:val="auto"/>
                <w:sz w:val="24"/>
                <w:szCs w:val="24"/>
                <w:highlight w:val="none"/>
                <w:u w:val="none"/>
                <w:lang w:val="en-US" w:eastAsia="zh-CN"/>
              </w:rPr>
              <w:t>113.</w:t>
            </w:r>
            <w:r>
              <w:rPr>
                <w:rFonts w:hint="eastAsia" w:cs="Times New Roman"/>
                <w:color w:val="auto"/>
                <w:sz w:val="24"/>
                <w:szCs w:val="24"/>
                <w:highlight w:val="none"/>
                <w:u w:val="none"/>
                <w:lang w:val="en-US" w:eastAsia="zh-CN"/>
              </w:rPr>
              <w:t>4873679</w:t>
            </w:r>
            <w:r>
              <w:rPr>
                <w:rFonts w:hint="default" w:ascii="Times New Roman" w:hAnsi="Times New Roman" w:cs="Times New Roman"/>
                <w:color w:val="auto"/>
                <w:sz w:val="24"/>
                <w:szCs w:val="24"/>
                <w:highlight w:val="none"/>
                <w:u w:val="none"/>
              </w:rPr>
              <w:t>，纬</w:t>
            </w:r>
            <w:r>
              <w:rPr>
                <w:rFonts w:hint="default" w:ascii="Times New Roman" w:hAnsi="Times New Roman" w:cs="Times New Roman"/>
                <w:color w:val="auto"/>
                <w:sz w:val="24"/>
                <w:szCs w:val="24"/>
                <w:highlight w:val="none"/>
                <w:u w:val="none"/>
                <w:lang w:val="en-US" w:eastAsia="zh-CN"/>
              </w:rPr>
              <w:t>度33.</w:t>
            </w:r>
            <w:r>
              <w:rPr>
                <w:rFonts w:hint="eastAsia" w:cs="Times New Roman"/>
                <w:color w:val="auto"/>
                <w:sz w:val="24"/>
                <w:szCs w:val="24"/>
                <w:highlight w:val="none"/>
                <w:u w:val="none"/>
                <w:lang w:val="en-US" w:eastAsia="zh-CN"/>
              </w:rPr>
              <w:t>6137065</w:t>
            </w:r>
            <w:r>
              <w:rPr>
                <w:rFonts w:hint="default" w:ascii="Times New Roman" w:hAnsi="Times New Roman" w:cs="Times New Roman"/>
                <w:color w:val="auto"/>
                <w:sz w:val="24"/>
                <w:szCs w:val="24"/>
                <w:highlight w:val="none"/>
                <w:u w:val="none"/>
              </w:rPr>
              <w:t>）</w:t>
            </w:r>
            <w:r>
              <w:rPr>
                <w:rFonts w:hint="default" w:ascii="Times New Roman" w:hAnsi="Times New Roman" w:cs="Times New Roman"/>
                <w:color w:val="auto"/>
                <w:sz w:val="24"/>
                <w:highlight w:val="none"/>
              </w:rPr>
              <w:t>为坐标原点，正东向为 X 轴正方向，正</w:t>
            </w:r>
            <w:r>
              <w:rPr>
                <w:rFonts w:ascii="Times New Roman" w:hAnsi="Times New Roman" w:cs="Times New Roman"/>
                <w:color w:val="auto"/>
                <w:sz w:val="24"/>
                <w:highlight w:val="none"/>
              </w:rPr>
              <w:t>北向为 Y 轴正方向</w:t>
            </w:r>
            <w:r>
              <w:rPr>
                <w:rFonts w:hint="eastAsia" w:ascii="Times New Roman" w:hAnsi="Times New Roman" w:cs="Times New Roman"/>
                <w:color w:val="auto"/>
                <w:sz w:val="24"/>
                <w:highlight w:val="none"/>
                <w:lang w:eastAsia="zh-CN"/>
              </w:rPr>
              <w:t>。</w:t>
            </w:r>
          </w:p>
          <w:p w14:paraId="6D7CAC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b w:val="0"/>
                <w:bCs w:val="0"/>
                <w:sz w:val="24"/>
                <w:szCs w:val="24"/>
                <w:u w:val="none"/>
              </w:rPr>
            </w:pPr>
            <w:r>
              <w:rPr>
                <w:rFonts w:hint="eastAsia" w:cs="Times New Roman"/>
                <w:b w:val="0"/>
                <w:bCs w:val="0"/>
                <w:sz w:val="24"/>
                <w:szCs w:val="24"/>
                <w:u w:val="none"/>
                <w:lang w:val="en-US" w:eastAsia="zh-CN"/>
              </w:rPr>
              <w:t>3.2</w:t>
            </w:r>
            <w:r>
              <w:rPr>
                <w:rFonts w:hint="default" w:ascii="Times New Roman" w:hAnsi="Times New Roman" w:cs="Times New Roman"/>
                <w:b w:val="0"/>
                <w:bCs w:val="0"/>
                <w:sz w:val="24"/>
                <w:szCs w:val="24"/>
                <w:u w:val="none"/>
              </w:rPr>
              <w:t>噪声预测及达标情况</w:t>
            </w:r>
          </w:p>
          <w:p w14:paraId="34D82F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（1）评价标准</w:t>
            </w:r>
          </w:p>
          <w:p w14:paraId="6F5D48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厂界噪声排放执行《工业企业厂界环境噪声排放标准》（GB12348-2008）</w:t>
            </w:r>
            <w:r>
              <w:rPr>
                <w:rFonts w:hint="eastAsia" w:cs="Times New Roman"/>
                <w:sz w:val="24"/>
                <w:szCs w:val="24"/>
                <w:u w:val="none"/>
                <w:lang w:val="en-US" w:eastAsia="zh-CN"/>
              </w:rPr>
              <w:t>2类</w:t>
            </w:r>
            <w:r>
              <w:rPr>
                <w:rFonts w:hint="default" w:ascii="Times New Roman" w:hAnsi="Times New Roman" w:cs="Times New Roman"/>
                <w:sz w:val="24"/>
                <w:szCs w:val="24"/>
                <w:u w:val="none"/>
              </w:rPr>
              <w:t>标准。</w:t>
            </w:r>
          </w:p>
          <w:p w14:paraId="72E2EB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（2）预测点位</w:t>
            </w:r>
          </w:p>
          <w:p w14:paraId="39B3B0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本次声环境影响评价范围为四周厂界外1m。</w:t>
            </w:r>
          </w:p>
          <w:p w14:paraId="123556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（3）评价方法及预测模式</w:t>
            </w:r>
          </w:p>
          <w:p w14:paraId="65C4C1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根据《环境影响评价技术导则·声环境》（HJ2.4-2021），选用预测模式。</w:t>
            </w:r>
          </w:p>
          <w:p w14:paraId="483F99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①室内点声源的预测</w:t>
            </w:r>
          </w:p>
          <w:p w14:paraId="1D13938A">
            <w:pPr>
              <w:keepNext w:val="0"/>
              <w:keepLines w:val="0"/>
              <w:pageBreakBefore w:val="0"/>
              <w:widowControl w:val="0"/>
              <w:numPr>
                <w:ilvl w:val="0"/>
                <w:numId w:val="4"/>
              </w:numPr>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室内靠近围护结构处的倍频带声压级：</w:t>
            </w:r>
          </w:p>
          <w:p w14:paraId="1B99B9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right="0" w:firstLine="240" w:firstLineChars="1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式中：Lp1—靠近开口处（或窗户）室内某倍频带的声压级或A声级，dB；</w:t>
            </w:r>
          </w:p>
          <w:p w14:paraId="609819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1200" w:firstLineChars="5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Lw——点声源声功率级（A计权或倍频带），dB；</w:t>
            </w:r>
          </w:p>
          <w:p w14:paraId="57F765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1200" w:firstLineChars="5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Q——指向性因数；</w:t>
            </w:r>
          </w:p>
          <w:p w14:paraId="1A9CA6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1200" w:firstLineChars="5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r ——声源到靠近围护结构某点处的距离，m。</w:t>
            </w:r>
          </w:p>
          <w:p w14:paraId="64AE1350">
            <w:pPr>
              <w:keepNext w:val="0"/>
              <w:keepLines w:val="0"/>
              <w:pageBreakBefore w:val="0"/>
              <w:widowControl w:val="0"/>
              <w:numPr>
                <w:ilvl w:val="0"/>
                <w:numId w:val="4"/>
              </w:numPr>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室内声源在靠近围护结构处产生的总倍频带声压级：</w:t>
            </w:r>
          </w:p>
          <w:p w14:paraId="4A3966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drawing>
                <wp:anchor distT="0" distB="0" distL="114300" distR="114300" simplePos="0" relativeHeight="251662336" behindDoc="0" locked="0" layoutInCell="1" allowOverlap="1">
                  <wp:simplePos x="0" y="0"/>
                  <wp:positionH relativeFrom="column">
                    <wp:posOffset>764540</wp:posOffset>
                  </wp:positionH>
                  <wp:positionV relativeFrom="paragraph">
                    <wp:posOffset>171450</wp:posOffset>
                  </wp:positionV>
                  <wp:extent cx="1737995" cy="500380"/>
                  <wp:effectExtent l="0" t="0" r="14605" b="2540"/>
                  <wp:wrapTopAndBottom/>
                  <wp:docPr id="3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
                          <pic:cNvPicPr>
                            <a:picLocks noChangeAspect="1"/>
                          </pic:cNvPicPr>
                        </pic:nvPicPr>
                        <pic:blipFill>
                          <a:blip r:embed="rId21"/>
                          <a:stretch>
                            <a:fillRect/>
                          </a:stretch>
                        </pic:blipFill>
                        <pic:spPr>
                          <a:xfrm>
                            <a:off x="0" y="0"/>
                            <a:ext cx="1737995" cy="500380"/>
                          </a:xfrm>
                          <a:prstGeom prst="rect">
                            <a:avLst/>
                          </a:prstGeom>
                          <a:noFill/>
                          <a:ln>
                            <a:noFill/>
                          </a:ln>
                        </pic:spPr>
                      </pic:pic>
                    </a:graphicData>
                  </a:graphic>
                </wp:anchor>
              </w:drawing>
            </w:r>
            <w:r>
              <w:rPr>
                <w:rFonts w:hint="default" w:ascii="Times New Roman" w:hAnsi="Times New Roman" w:cs="Times New Roman"/>
                <w:sz w:val="24"/>
                <w:szCs w:val="24"/>
                <w:u w:val="none"/>
              </w:rPr>
              <w:t>式中：L</w:t>
            </w:r>
            <w:r>
              <w:rPr>
                <w:rFonts w:hint="default" w:ascii="Times New Roman" w:hAnsi="Times New Roman" w:cs="Times New Roman"/>
                <w:sz w:val="24"/>
                <w:szCs w:val="24"/>
                <w:u w:val="none"/>
                <w:vertAlign w:val="subscript"/>
              </w:rPr>
              <w:t>p1i</w:t>
            </w:r>
            <w:r>
              <w:rPr>
                <w:rFonts w:hint="default" w:ascii="Times New Roman" w:hAnsi="Times New Roman" w:cs="Times New Roman"/>
                <w:sz w:val="24"/>
                <w:szCs w:val="24"/>
                <w:u w:val="none"/>
              </w:rPr>
              <w:t>（T）—靠近围护结构处室内N个声源i倍频带的叠加声压级，dB；</w:t>
            </w:r>
          </w:p>
          <w:p w14:paraId="5AE6C6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720" w:firstLineChars="3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L</w:t>
            </w:r>
            <w:r>
              <w:rPr>
                <w:rFonts w:hint="default" w:ascii="Times New Roman" w:hAnsi="Times New Roman" w:cs="Times New Roman"/>
                <w:sz w:val="24"/>
                <w:szCs w:val="24"/>
                <w:u w:val="none"/>
                <w:vertAlign w:val="subscript"/>
              </w:rPr>
              <w:t>p1ij</w:t>
            </w:r>
            <w:r>
              <w:rPr>
                <w:rFonts w:hint="default" w:ascii="Times New Roman" w:hAnsi="Times New Roman" w:cs="Times New Roman"/>
                <w:sz w:val="24"/>
                <w:szCs w:val="24"/>
                <w:u w:val="none"/>
              </w:rPr>
              <w:t>——室内j声源i倍频带的声压级，dB；</w:t>
            </w:r>
          </w:p>
          <w:p w14:paraId="25FDAE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720" w:firstLineChars="3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N为室内声源总数。</w:t>
            </w:r>
          </w:p>
          <w:p w14:paraId="35CED9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c、室外靠近围护结构处的总的声压级：</w:t>
            </w:r>
          </w:p>
          <w:p w14:paraId="00836B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drawing>
                <wp:anchor distT="0" distB="0" distL="114300" distR="114300" simplePos="0" relativeHeight="251663360" behindDoc="0" locked="0" layoutInCell="1" allowOverlap="1">
                  <wp:simplePos x="0" y="0"/>
                  <wp:positionH relativeFrom="column">
                    <wp:posOffset>1071245</wp:posOffset>
                  </wp:positionH>
                  <wp:positionV relativeFrom="paragraph">
                    <wp:posOffset>45720</wp:posOffset>
                  </wp:positionV>
                  <wp:extent cx="2096135" cy="289560"/>
                  <wp:effectExtent l="0" t="0" r="6985" b="0"/>
                  <wp:wrapTopAndBottom/>
                  <wp:docPr id="3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
                          <pic:cNvPicPr>
                            <a:picLocks noChangeAspect="1"/>
                          </pic:cNvPicPr>
                        </pic:nvPicPr>
                        <pic:blipFill>
                          <a:blip r:embed="rId22"/>
                          <a:stretch>
                            <a:fillRect/>
                          </a:stretch>
                        </pic:blipFill>
                        <pic:spPr>
                          <a:xfrm>
                            <a:off x="0" y="0"/>
                            <a:ext cx="2096135" cy="289560"/>
                          </a:xfrm>
                          <a:prstGeom prst="rect">
                            <a:avLst/>
                          </a:prstGeom>
                          <a:noFill/>
                          <a:ln>
                            <a:noFill/>
                          </a:ln>
                        </pic:spPr>
                      </pic:pic>
                    </a:graphicData>
                  </a:graphic>
                </wp:anchor>
              </w:drawing>
            </w:r>
            <w:r>
              <w:rPr>
                <w:rFonts w:hint="default" w:ascii="Times New Roman" w:hAnsi="Times New Roman" w:cs="Times New Roman"/>
                <w:sz w:val="24"/>
                <w:szCs w:val="24"/>
                <w:u w:val="none"/>
              </w:rPr>
              <w:t>式中：L</w:t>
            </w:r>
            <w:r>
              <w:rPr>
                <w:rFonts w:hint="default" w:ascii="Times New Roman" w:hAnsi="Times New Roman" w:cs="Times New Roman"/>
                <w:sz w:val="24"/>
                <w:szCs w:val="24"/>
                <w:u w:val="none"/>
                <w:vertAlign w:val="subscript"/>
              </w:rPr>
              <w:t>p2i</w:t>
            </w:r>
            <w:r>
              <w:rPr>
                <w:rFonts w:hint="default" w:ascii="Times New Roman" w:hAnsi="Times New Roman" w:cs="Times New Roman"/>
                <w:sz w:val="24"/>
                <w:szCs w:val="24"/>
                <w:u w:val="none"/>
              </w:rPr>
              <w:t>（T）—靠近围护结构处室外N个声源i倍频带的叠加声压级，dB；</w:t>
            </w:r>
          </w:p>
          <w:p w14:paraId="118431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720" w:firstLineChars="3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L</w:t>
            </w:r>
            <w:r>
              <w:rPr>
                <w:rFonts w:hint="default" w:ascii="Times New Roman" w:hAnsi="Times New Roman" w:cs="Times New Roman"/>
                <w:sz w:val="24"/>
                <w:szCs w:val="24"/>
                <w:u w:val="none"/>
                <w:vertAlign w:val="subscript"/>
              </w:rPr>
              <w:t>p1i</w:t>
            </w:r>
            <w:r>
              <w:rPr>
                <w:rFonts w:hint="default" w:ascii="Times New Roman" w:hAnsi="Times New Roman" w:cs="Times New Roman"/>
                <w:sz w:val="24"/>
                <w:szCs w:val="24"/>
                <w:u w:val="none"/>
              </w:rPr>
              <w:t>（T）—靠近围护结构处室内N个声源i倍频带的叠加声压级，dB；</w:t>
            </w:r>
          </w:p>
          <w:p w14:paraId="4E6CC9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720" w:firstLineChars="3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TL</w:t>
            </w:r>
            <w:r>
              <w:rPr>
                <w:rFonts w:hint="default" w:ascii="Times New Roman" w:hAnsi="Times New Roman" w:cs="Times New Roman"/>
                <w:sz w:val="24"/>
                <w:szCs w:val="24"/>
                <w:u w:val="none"/>
                <w:vertAlign w:val="subscript"/>
              </w:rPr>
              <w:t>i</w:t>
            </w:r>
            <w:r>
              <w:rPr>
                <w:rFonts w:hint="default" w:ascii="Times New Roman" w:hAnsi="Times New Roman" w:cs="Times New Roman"/>
                <w:sz w:val="24"/>
                <w:szCs w:val="24"/>
                <w:u w:val="none"/>
              </w:rPr>
              <w:t>——围护结构i倍频带的隔声量，dB。</w:t>
            </w:r>
          </w:p>
          <w:p w14:paraId="06ECD4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d、室外声压级换算成等效的室外声源：</w:t>
            </w:r>
          </w:p>
          <w:p w14:paraId="2385F9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right="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drawing>
                <wp:anchor distT="0" distB="0" distL="114300" distR="114300" simplePos="0" relativeHeight="251687936" behindDoc="0" locked="0" layoutInCell="1" allowOverlap="1">
                  <wp:simplePos x="0" y="0"/>
                  <wp:positionH relativeFrom="column">
                    <wp:posOffset>1362075</wp:posOffset>
                  </wp:positionH>
                  <wp:positionV relativeFrom="paragraph">
                    <wp:posOffset>104775</wp:posOffset>
                  </wp:positionV>
                  <wp:extent cx="1821180" cy="271145"/>
                  <wp:effectExtent l="0" t="0" r="7620" b="3175"/>
                  <wp:wrapTopAndBottom/>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3"/>
                          <a:stretch>
                            <a:fillRect/>
                          </a:stretch>
                        </pic:blipFill>
                        <pic:spPr>
                          <a:xfrm>
                            <a:off x="0" y="0"/>
                            <a:ext cx="1821180" cy="271145"/>
                          </a:xfrm>
                          <a:prstGeom prst="rect">
                            <a:avLst/>
                          </a:prstGeom>
                          <a:noFill/>
                          <a:ln>
                            <a:noFill/>
                          </a:ln>
                        </pic:spPr>
                      </pic:pic>
                    </a:graphicData>
                  </a:graphic>
                </wp:anchor>
              </w:drawing>
            </w:r>
            <w:r>
              <w:rPr>
                <w:rFonts w:hint="default" w:ascii="Times New Roman" w:hAnsi="Times New Roman" w:cs="Times New Roman"/>
                <w:color w:val="auto"/>
                <w:sz w:val="24"/>
                <w:szCs w:val="24"/>
                <w:u w:val="none"/>
              </w:rPr>
              <w:t>式中：L</w:t>
            </w:r>
            <w:r>
              <w:rPr>
                <w:rFonts w:hint="default" w:ascii="Times New Roman" w:hAnsi="Times New Roman" w:cs="Times New Roman"/>
                <w:color w:val="auto"/>
                <w:sz w:val="24"/>
                <w:szCs w:val="24"/>
                <w:u w:val="none"/>
                <w:vertAlign w:val="subscript"/>
              </w:rPr>
              <w:t>w</w:t>
            </w:r>
            <w:r>
              <w:rPr>
                <w:rFonts w:hint="default" w:ascii="Times New Roman" w:hAnsi="Times New Roman" w:cs="Times New Roman"/>
                <w:color w:val="auto"/>
                <w:sz w:val="24"/>
                <w:szCs w:val="24"/>
                <w:u w:val="none"/>
              </w:rPr>
              <w:t>—中心位置位于透声面积（S）处的等效声源的倍频带声功率级</w:t>
            </w:r>
            <w:r>
              <w:rPr>
                <w:rFonts w:hint="eastAsia" w:cs="Times New Roman"/>
                <w:color w:val="auto"/>
                <w:sz w:val="24"/>
                <w:szCs w:val="24"/>
                <w:u w:val="none"/>
                <w:lang w:val="en-US" w:eastAsia="zh-CN"/>
              </w:rPr>
              <w:t>.</w:t>
            </w:r>
            <w:r>
              <w:rPr>
                <w:rFonts w:hint="default" w:ascii="Times New Roman" w:hAnsi="Times New Roman" w:cs="Times New Roman"/>
                <w:color w:val="auto"/>
                <w:sz w:val="24"/>
                <w:szCs w:val="24"/>
                <w:u w:val="none"/>
              </w:rPr>
              <w:t>dB；</w:t>
            </w:r>
          </w:p>
          <w:p w14:paraId="011DCE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right="0" w:firstLine="720" w:firstLineChars="3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L</w:t>
            </w:r>
            <w:r>
              <w:rPr>
                <w:rFonts w:hint="default" w:ascii="Times New Roman" w:hAnsi="Times New Roman" w:cs="Times New Roman"/>
                <w:color w:val="auto"/>
                <w:sz w:val="24"/>
                <w:szCs w:val="24"/>
                <w:u w:val="none"/>
                <w:vertAlign w:val="subscript"/>
              </w:rPr>
              <w:t>p2</w:t>
            </w:r>
            <w:r>
              <w:rPr>
                <w:rFonts w:hint="default" w:ascii="Times New Roman" w:hAnsi="Times New Roman" w:cs="Times New Roman"/>
                <w:color w:val="auto"/>
                <w:sz w:val="24"/>
                <w:szCs w:val="24"/>
                <w:u w:val="none"/>
              </w:rPr>
              <w:t>(T)——靠近围护结构处室外声源的声压级，dB；</w:t>
            </w:r>
          </w:p>
          <w:p w14:paraId="6F6347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right="0" w:firstLine="720" w:firstLineChars="3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S——透声面积，m</w:t>
            </w:r>
            <w:r>
              <w:rPr>
                <w:rFonts w:hint="default" w:ascii="Times New Roman" w:hAnsi="Times New Roman" w:cs="Times New Roman"/>
                <w:color w:val="auto"/>
                <w:sz w:val="24"/>
                <w:szCs w:val="24"/>
                <w:u w:val="none"/>
                <w:vertAlign w:val="superscript"/>
              </w:rPr>
              <w:t>2</w:t>
            </w:r>
            <w:r>
              <w:rPr>
                <w:rFonts w:hint="default" w:ascii="Times New Roman" w:hAnsi="Times New Roman" w:cs="Times New Roman"/>
                <w:color w:val="auto"/>
                <w:sz w:val="24"/>
                <w:szCs w:val="24"/>
                <w:u w:val="none"/>
              </w:rPr>
              <w:t>。</w:t>
            </w:r>
          </w:p>
          <w:p w14:paraId="6E9934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color w:val="auto"/>
                <w:sz w:val="24"/>
                <w:szCs w:val="24"/>
                <w:u w:val="none"/>
              </w:rPr>
              <w:t>e、等效室外声源的位置为围护结构的位置，其倍频带声功率级为Lwoct，由此按室外声源方法计算等效室外声源在预测点产生的声级。</w:t>
            </w:r>
          </w:p>
          <w:p w14:paraId="4FE952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②工业企业噪声计算：</w:t>
            </w:r>
          </w:p>
          <w:p w14:paraId="5CD905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sz w:val="24"/>
                <w:szCs w:val="24"/>
                <w:u w:val="none"/>
              </w:rPr>
            </w:pPr>
            <w:r>
              <w:rPr>
                <w:rFonts w:hint="default" w:ascii="Times New Roman" w:hAnsi="Times New Roman" w:cs="Times New Roman"/>
                <w:sz w:val="24"/>
                <w:szCs w:val="24"/>
                <w:u w:val="none"/>
              </w:rPr>
              <w:t>设第i个室外声源在预测点产生的A声级为L</w:t>
            </w:r>
            <w:r>
              <w:rPr>
                <w:rFonts w:hint="default" w:ascii="Times New Roman" w:hAnsi="Times New Roman" w:cs="Times New Roman"/>
                <w:sz w:val="24"/>
                <w:szCs w:val="24"/>
                <w:u w:val="none"/>
                <w:vertAlign w:val="subscript"/>
              </w:rPr>
              <w:t>Ai</w:t>
            </w:r>
            <w:r>
              <w:rPr>
                <w:rFonts w:hint="default" w:ascii="Times New Roman" w:hAnsi="Times New Roman" w:cs="Times New Roman"/>
                <w:sz w:val="24"/>
                <w:szCs w:val="24"/>
                <w:u w:val="none"/>
              </w:rPr>
              <w:t>，在T时间内该声源工作时间为t</w:t>
            </w:r>
            <w:r>
              <w:rPr>
                <w:rFonts w:hint="default" w:ascii="Times New Roman" w:hAnsi="Times New Roman" w:cs="Times New Roman"/>
                <w:sz w:val="24"/>
                <w:szCs w:val="24"/>
                <w:u w:val="none"/>
                <w:vertAlign w:val="subscript"/>
              </w:rPr>
              <w:t>i</w:t>
            </w:r>
            <w:r>
              <w:rPr>
                <w:rFonts w:hint="default" w:ascii="Times New Roman" w:hAnsi="Times New Roman" w:cs="Times New Roman"/>
                <w:sz w:val="24"/>
                <w:szCs w:val="24"/>
                <w:u w:val="none"/>
              </w:rPr>
              <w:t>；第j个等效室外声源在预测点产生的A声级为L</w:t>
            </w:r>
            <w:r>
              <w:rPr>
                <w:rFonts w:hint="default" w:ascii="Times New Roman" w:hAnsi="Times New Roman" w:cs="Times New Roman"/>
                <w:sz w:val="24"/>
                <w:szCs w:val="24"/>
                <w:u w:val="none"/>
                <w:vertAlign w:val="subscript"/>
              </w:rPr>
              <w:t>Aj</w:t>
            </w:r>
            <w:r>
              <w:rPr>
                <w:rFonts w:hint="default" w:ascii="Times New Roman" w:hAnsi="Times New Roman" w:cs="Times New Roman"/>
                <w:sz w:val="24"/>
                <w:szCs w:val="24"/>
                <w:u w:val="none"/>
              </w:rPr>
              <w:t>，在T时间内该声源工作时间为tj，则拟建工程声源对预测点产生的贡献值（Leqg）为：</w:t>
            </w:r>
          </w:p>
          <w:p w14:paraId="1A885B78">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u w:val="none"/>
              </w:rPr>
            </w:pPr>
            <w:r>
              <w:rPr>
                <w:rFonts w:hint="default" w:ascii="Times New Roman" w:hAnsi="Times New Roman" w:cs="Times New Roman"/>
                <w:u w:val="none"/>
              </w:rPr>
              <w:drawing>
                <wp:inline distT="0" distB="0" distL="114300" distR="114300">
                  <wp:extent cx="2494915" cy="508000"/>
                  <wp:effectExtent l="0" t="0" r="4445" b="10160"/>
                  <wp:docPr id="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
                          <pic:cNvPicPr>
                            <a:picLocks noChangeAspect="1"/>
                          </pic:cNvPicPr>
                        </pic:nvPicPr>
                        <pic:blipFill>
                          <a:blip r:embed="rId24"/>
                          <a:stretch>
                            <a:fillRect/>
                          </a:stretch>
                        </pic:blipFill>
                        <pic:spPr>
                          <a:xfrm>
                            <a:off x="0" y="0"/>
                            <a:ext cx="2494915" cy="508000"/>
                          </a:xfrm>
                          <a:prstGeom prst="rect">
                            <a:avLst/>
                          </a:prstGeom>
                          <a:noFill/>
                          <a:ln>
                            <a:noFill/>
                          </a:ln>
                        </pic:spPr>
                      </pic:pic>
                    </a:graphicData>
                  </a:graphic>
                </wp:inline>
              </w:drawing>
            </w:r>
          </w:p>
          <w:p w14:paraId="6B1B16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firstLineChars="200"/>
              <w:textAlignment w:val="auto"/>
              <w:rPr>
                <w:rFonts w:hint="default" w:ascii="Times New Roman" w:hAnsi="Times New Roman" w:cs="Times New Roman"/>
                <w:sz w:val="24"/>
                <w:u w:val="none"/>
              </w:rPr>
            </w:pPr>
            <w:r>
              <w:rPr>
                <w:rFonts w:hint="default" w:ascii="Times New Roman" w:hAnsi="Times New Roman" w:cs="Times New Roman"/>
                <w:sz w:val="24"/>
                <w:u w:val="none"/>
              </w:rPr>
              <w:t>式中：Leqg——建设项目声源在预测点产生的噪声贡献值，dB；</w:t>
            </w:r>
          </w:p>
          <w:p w14:paraId="18CAF7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sz w:val="24"/>
                <w:u w:val="none"/>
              </w:rPr>
            </w:pPr>
            <w:r>
              <w:rPr>
                <w:rFonts w:hint="default" w:ascii="Times New Roman" w:hAnsi="Times New Roman" w:cs="Times New Roman"/>
                <w:sz w:val="24"/>
                <w:u w:val="none"/>
              </w:rPr>
              <w:t>T——用于计算等效声级的时间，s；</w:t>
            </w:r>
          </w:p>
          <w:p w14:paraId="4C4F7A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sz w:val="24"/>
                <w:u w:val="none"/>
              </w:rPr>
            </w:pPr>
            <w:r>
              <w:rPr>
                <w:rFonts w:hint="default" w:ascii="Times New Roman" w:hAnsi="Times New Roman" w:cs="Times New Roman"/>
                <w:sz w:val="24"/>
                <w:u w:val="none"/>
              </w:rPr>
              <w:t>N——室外声源个数；</w:t>
            </w:r>
          </w:p>
          <w:p w14:paraId="7766F4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sz w:val="24"/>
                <w:u w:val="none"/>
              </w:rPr>
            </w:pPr>
            <w:r>
              <w:rPr>
                <w:rFonts w:hint="default" w:ascii="Times New Roman" w:hAnsi="Times New Roman" w:cs="Times New Roman"/>
                <w:sz w:val="24"/>
                <w:u w:val="none"/>
              </w:rPr>
              <w:t xml:space="preserve">ti——在T时间内i声源工作时间，s； </w:t>
            </w:r>
          </w:p>
          <w:p w14:paraId="443068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sz w:val="24"/>
                <w:u w:val="none"/>
              </w:rPr>
            </w:pPr>
            <w:r>
              <w:rPr>
                <w:rFonts w:hint="default" w:ascii="Times New Roman" w:hAnsi="Times New Roman" w:cs="Times New Roman"/>
                <w:sz w:val="24"/>
                <w:u w:val="none"/>
              </w:rPr>
              <w:t>M——等效室外声源个数；</w:t>
            </w:r>
          </w:p>
          <w:p w14:paraId="2742C4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sz w:val="24"/>
                <w:u w:val="none"/>
              </w:rPr>
            </w:pPr>
            <w:r>
              <w:rPr>
                <w:rFonts w:hint="default" w:ascii="Times New Roman" w:hAnsi="Times New Roman" w:cs="Times New Roman"/>
                <w:sz w:val="24"/>
                <w:u w:val="none"/>
              </w:rPr>
              <w:t>t j——在T时间内j声源工作时间，s。</w:t>
            </w:r>
          </w:p>
          <w:p w14:paraId="49C9336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 w:val="0"/>
                <w:bCs w:val="0"/>
                <w:sz w:val="24"/>
                <w:u w:val="none"/>
              </w:rPr>
            </w:pPr>
            <w:r>
              <w:rPr>
                <w:rFonts w:hint="eastAsia" w:cs="Times New Roman"/>
                <w:b w:val="0"/>
                <w:bCs w:val="0"/>
                <w:sz w:val="24"/>
                <w:u w:val="none"/>
                <w:lang w:val="en-US" w:eastAsia="zh-CN"/>
              </w:rPr>
              <w:t>3.3</w:t>
            </w:r>
            <w:r>
              <w:rPr>
                <w:rFonts w:hint="default" w:ascii="Times New Roman" w:hAnsi="Times New Roman" w:cs="Times New Roman"/>
                <w:b w:val="0"/>
                <w:bCs w:val="0"/>
                <w:sz w:val="24"/>
                <w:u w:val="none"/>
              </w:rPr>
              <w:t>预测结果</w:t>
            </w:r>
          </w:p>
          <w:p w14:paraId="1A7C4F14">
            <w:pPr>
              <w:pStyle w:val="48"/>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kern w:val="2"/>
                <w:szCs w:val="24"/>
                <w:u w:val="none"/>
              </w:rPr>
            </w:pPr>
            <w:r>
              <w:rPr>
                <w:rFonts w:hint="default" w:ascii="Times New Roman" w:hAnsi="Times New Roman" w:cs="Times New Roman"/>
                <w:color w:val="auto"/>
                <w:kern w:val="2"/>
                <w:sz w:val="24"/>
                <w:szCs w:val="24"/>
                <w:u w:val="none"/>
              </w:rPr>
              <w:t>本次评价预测项目噪声源对厂界四周噪声贡献情况。噪声预测结果见下表。</w:t>
            </w:r>
          </w:p>
          <w:p w14:paraId="65D55722">
            <w:pPr>
              <w:pStyle w:val="16"/>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center"/>
              <w:textAlignment w:val="auto"/>
              <w:rPr>
                <w:rFonts w:hint="eastAsia"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b w:val="0"/>
                <w:bCs w:val="0"/>
                <w:sz w:val="24"/>
                <w:szCs w:val="24"/>
                <w:highlight w:val="none"/>
                <w:u w:val="none"/>
                <w:lang w:val="en-US" w:eastAsia="zh-CN"/>
              </w:rPr>
              <w:t>表</w:t>
            </w:r>
            <w:r>
              <w:rPr>
                <w:rFonts w:hint="eastAsia" w:eastAsia="黑体" w:cs="Times New Roman"/>
                <w:b w:val="0"/>
                <w:bCs w:val="0"/>
                <w:sz w:val="24"/>
                <w:szCs w:val="24"/>
                <w:highlight w:val="none"/>
                <w:u w:val="none"/>
                <w:lang w:val="en-US" w:eastAsia="zh-CN"/>
              </w:rPr>
              <w:t>4-13</w:t>
            </w:r>
            <w:r>
              <w:rPr>
                <w:rFonts w:hint="default" w:ascii="Times New Roman" w:hAnsi="Times New Roman" w:eastAsia="黑体" w:cs="Times New Roman"/>
                <w:b w:val="0"/>
                <w:bCs w:val="0"/>
                <w:sz w:val="24"/>
                <w:szCs w:val="24"/>
                <w:highlight w:val="none"/>
                <w:u w:val="none"/>
                <w:lang w:val="en-US" w:eastAsia="zh-CN"/>
              </w:rPr>
              <w:t xml:space="preserve"> </w:t>
            </w:r>
            <w:r>
              <w:rPr>
                <w:rFonts w:hint="eastAsia" w:ascii="Times New Roman" w:hAnsi="Times New Roman" w:eastAsia="黑体" w:cs="Times New Roman"/>
                <w:color w:val="auto"/>
                <w:kern w:val="2"/>
                <w:sz w:val="24"/>
                <w:szCs w:val="24"/>
                <w:highlight w:val="none"/>
                <w:lang w:val="en-US" w:eastAsia="zh-CN" w:bidi="ar-SA"/>
              </w:rPr>
              <w:t>项目实施后厂界噪声预测结果一览表 单位：dB（A）</w:t>
            </w:r>
          </w:p>
          <w:tbl>
            <w:tblPr>
              <w:tblStyle w:val="23"/>
              <w:tblW w:w="8016"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158"/>
              <w:gridCol w:w="1255"/>
              <w:gridCol w:w="864"/>
              <w:gridCol w:w="974"/>
              <w:gridCol w:w="1104"/>
              <w:gridCol w:w="1111"/>
              <w:gridCol w:w="862"/>
            </w:tblGrid>
            <w:tr w14:paraId="66B98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688" w:type="dxa"/>
                  <w:tcBorders>
                    <w:tl2br w:val="nil"/>
                    <w:tr2bl w:val="nil"/>
                  </w:tcBorders>
                  <w:noWrap w:val="0"/>
                  <w:vAlign w:val="center"/>
                </w:tcPr>
                <w:p w14:paraId="7648F200">
                  <w:pPr>
                    <w:adjustRightInd w:val="0"/>
                    <w:snapToGrid w:val="0"/>
                    <w:spacing w:line="240" w:lineRule="auto"/>
                    <w:jc w:val="center"/>
                    <w:rPr>
                      <w:rFonts w:hint="eastAsia"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预测</w:t>
                  </w:r>
                </w:p>
                <w:p w14:paraId="5B57C7DD">
                  <w:pPr>
                    <w:adjustRightInd w:val="0"/>
                    <w:snapToGrid w:val="0"/>
                    <w:spacing w:line="240" w:lineRule="auto"/>
                    <w:jc w:val="center"/>
                    <w:rPr>
                      <w:rFonts w:hint="eastAsia"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方位</w:t>
                  </w:r>
                </w:p>
              </w:tc>
              <w:tc>
                <w:tcPr>
                  <w:tcW w:w="1158" w:type="dxa"/>
                  <w:tcBorders>
                    <w:tl2br w:val="nil"/>
                    <w:tr2bl w:val="nil"/>
                  </w:tcBorders>
                  <w:noWrap w:val="0"/>
                  <w:vAlign w:val="center"/>
                </w:tcPr>
                <w:p w14:paraId="4728CC60">
                  <w:pPr>
                    <w:adjustRightInd w:val="0"/>
                    <w:snapToGrid w:val="0"/>
                    <w:spacing w:line="240" w:lineRule="auto"/>
                    <w:jc w:val="center"/>
                    <w:rPr>
                      <w:rFonts w:hint="default"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声源</w:t>
                  </w:r>
                </w:p>
              </w:tc>
              <w:tc>
                <w:tcPr>
                  <w:tcW w:w="1255" w:type="dxa"/>
                  <w:tcBorders>
                    <w:tl2br w:val="nil"/>
                    <w:tr2bl w:val="nil"/>
                  </w:tcBorders>
                  <w:noWrap w:val="0"/>
                  <w:vAlign w:val="center"/>
                </w:tcPr>
                <w:p w14:paraId="5BD6432A">
                  <w:pPr>
                    <w:adjustRightInd w:val="0"/>
                    <w:snapToGrid w:val="0"/>
                    <w:spacing w:line="240" w:lineRule="auto"/>
                    <w:jc w:val="center"/>
                    <w:rPr>
                      <w:rFonts w:hint="eastAsia" w:cs="Times New Roman"/>
                      <w:b/>
                      <w:bCs/>
                      <w:color w:val="auto"/>
                      <w:szCs w:val="21"/>
                      <w:lang w:val="en-US" w:eastAsia="zh-CN"/>
                    </w:rPr>
                  </w:pPr>
                  <w:r>
                    <w:rPr>
                      <w:rFonts w:hint="eastAsia" w:cs="Times New Roman"/>
                      <w:b/>
                      <w:bCs/>
                      <w:color w:val="auto"/>
                      <w:szCs w:val="21"/>
                      <w:lang w:val="en-US" w:eastAsia="zh-CN"/>
                    </w:rPr>
                    <w:t>治理后</w:t>
                  </w:r>
                </w:p>
                <w:p w14:paraId="06130986">
                  <w:pPr>
                    <w:adjustRightInd w:val="0"/>
                    <w:snapToGrid w:val="0"/>
                    <w:spacing w:line="240" w:lineRule="auto"/>
                    <w:jc w:val="center"/>
                    <w:rPr>
                      <w:rFonts w:hint="eastAsia"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源强</w:t>
                  </w:r>
                </w:p>
                <w:p w14:paraId="7D6965FE">
                  <w:pPr>
                    <w:adjustRightInd w:val="0"/>
                    <w:snapToGrid w:val="0"/>
                    <w:spacing w:line="240" w:lineRule="auto"/>
                    <w:jc w:val="center"/>
                    <w:rPr>
                      <w:rFonts w:hint="default"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（dB（A））</w:t>
                  </w:r>
                </w:p>
              </w:tc>
              <w:tc>
                <w:tcPr>
                  <w:tcW w:w="864" w:type="dxa"/>
                  <w:tcBorders>
                    <w:tl2br w:val="nil"/>
                    <w:tr2bl w:val="nil"/>
                  </w:tcBorders>
                  <w:noWrap w:val="0"/>
                  <w:vAlign w:val="center"/>
                </w:tcPr>
                <w:p w14:paraId="7C902122">
                  <w:pPr>
                    <w:adjustRightInd w:val="0"/>
                    <w:snapToGrid w:val="0"/>
                    <w:spacing w:line="240" w:lineRule="auto"/>
                    <w:jc w:val="center"/>
                    <w:rPr>
                      <w:rFonts w:hint="default"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与厂界距离（m）</w:t>
                  </w:r>
                </w:p>
              </w:tc>
              <w:tc>
                <w:tcPr>
                  <w:tcW w:w="974" w:type="dxa"/>
                  <w:tcBorders>
                    <w:tl2br w:val="nil"/>
                    <w:tr2bl w:val="nil"/>
                  </w:tcBorders>
                  <w:noWrap w:val="0"/>
                  <w:vAlign w:val="center"/>
                </w:tcPr>
                <w:p w14:paraId="1A482ADB">
                  <w:pPr>
                    <w:adjustRightInd w:val="0"/>
                    <w:snapToGrid w:val="0"/>
                    <w:spacing w:line="240" w:lineRule="auto"/>
                    <w:jc w:val="center"/>
                    <w:rPr>
                      <w:rFonts w:hint="default"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贡献值（dB（A））</w:t>
                  </w:r>
                </w:p>
              </w:tc>
              <w:tc>
                <w:tcPr>
                  <w:tcW w:w="1104" w:type="dxa"/>
                  <w:tcBorders>
                    <w:tl2br w:val="nil"/>
                    <w:tr2bl w:val="nil"/>
                  </w:tcBorders>
                  <w:noWrap w:val="0"/>
                  <w:vAlign w:val="center"/>
                </w:tcPr>
                <w:p w14:paraId="57B40010">
                  <w:pPr>
                    <w:adjustRightInd w:val="0"/>
                    <w:snapToGrid w:val="0"/>
                    <w:spacing w:line="240" w:lineRule="auto"/>
                    <w:jc w:val="center"/>
                    <w:rPr>
                      <w:rFonts w:hint="eastAsia" w:ascii="Times New Roman" w:hAnsi="Times New Roman" w:cs="Times New Roman"/>
                      <w:b/>
                      <w:bCs/>
                      <w:color w:val="auto"/>
                      <w:szCs w:val="21"/>
                      <w:lang w:val="en-US" w:eastAsia="zh-CN"/>
                    </w:rPr>
                  </w:pPr>
                  <w:r>
                    <w:rPr>
                      <w:rFonts w:hint="eastAsia" w:cs="Times New Roman"/>
                      <w:b/>
                      <w:bCs/>
                      <w:color w:val="auto"/>
                      <w:szCs w:val="21"/>
                      <w:highlight w:val="none"/>
                      <w:lang w:val="en-US" w:eastAsia="zh-CN"/>
                    </w:rPr>
                    <w:t>贡献值叠加值</w:t>
                  </w:r>
                  <w:r>
                    <w:rPr>
                      <w:rFonts w:hint="eastAsia" w:ascii="Times New Roman" w:hAnsi="Times New Roman" w:cs="Times New Roman"/>
                      <w:b/>
                      <w:bCs/>
                      <w:color w:val="auto"/>
                      <w:szCs w:val="21"/>
                      <w:highlight w:val="none"/>
                      <w:lang w:val="en-US" w:eastAsia="zh-CN"/>
                    </w:rPr>
                    <w:t>（dB（A））</w:t>
                  </w:r>
                </w:p>
              </w:tc>
              <w:tc>
                <w:tcPr>
                  <w:tcW w:w="1111" w:type="dxa"/>
                  <w:tcBorders>
                    <w:tl2br w:val="nil"/>
                    <w:tr2bl w:val="nil"/>
                  </w:tcBorders>
                  <w:noWrap w:val="0"/>
                  <w:vAlign w:val="center"/>
                </w:tcPr>
                <w:p w14:paraId="36222300">
                  <w:pPr>
                    <w:adjustRightInd w:val="0"/>
                    <w:snapToGrid w:val="0"/>
                    <w:spacing w:line="240" w:lineRule="auto"/>
                    <w:jc w:val="center"/>
                    <w:rPr>
                      <w:rFonts w:hint="eastAsia"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标准限值</w:t>
                  </w:r>
                </w:p>
                <w:p w14:paraId="46AD0F7C">
                  <w:pPr>
                    <w:adjustRightInd w:val="0"/>
                    <w:snapToGrid w:val="0"/>
                    <w:spacing w:line="240" w:lineRule="auto"/>
                    <w:jc w:val="center"/>
                    <w:rPr>
                      <w:rFonts w:hint="eastAsia"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（dB（A））</w:t>
                  </w:r>
                </w:p>
              </w:tc>
              <w:tc>
                <w:tcPr>
                  <w:tcW w:w="862" w:type="dxa"/>
                  <w:tcBorders>
                    <w:tl2br w:val="nil"/>
                    <w:tr2bl w:val="nil"/>
                  </w:tcBorders>
                  <w:noWrap w:val="0"/>
                  <w:vAlign w:val="center"/>
                </w:tcPr>
                <w:p w14:paraId="40CA1E31">
                  <w:pPr>
                    <w:adjustRightInd w:val="0"/>
                    <w:snapToGrid w:val="0"/>
                    <w:spacing w:line="240" w:lineRule="auto"/>
                    <w:jc w:val="center"/>
                    <w:rPr>
                      <w:rFonts w:hint="eastAsia"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达标</w:t>
                  </w:r>
                </w:p>
                <w:p w14:paraId="2A4C8AAB">
                  <w:pPr>
                    <w:adjustRightInd w:val="0"/>
                    <w:snapToGrid w:val="0"/>
                    <w:spacing w:line="240" w:lineRule="auto"/>
                    <w:jc w:val="center"/>
                    <w:rPr>
                      <w:rFonts w:hint="eastAsia"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情况</w:t>
                  </w:r>
                </w:p>
              </w:tc>
            </w:tr>
            <w:tr w14:paraId="02D59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restart"/>
                  <w:tcBorders>
                    <w:tl2br w:val="nil"/>
                    <w:tr2bl w:val="nil"/>
                  </w:tcBorders>
                  <w:noWrap w:val="0"/>
                  <w:vAlign w:val="center"/>
                </w:tcPr>
                <w:p w14:paraId="167E81E6">
                  <w:pPr>
                    <w:adjustRightInd w:val="0"/>
                    <w:snapToGrid w:val="0"/>
                    <w:spacing w:line="360" w:lineRule="auto"/>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东厂界</w:t>
                  </w:r>
                </w:p>
              </w:tc>
              <w:tc>
                <w:tcPr>
                  <w:tcW w:w="1158" w:type="dxa"/>
                  <w:tcBorders>
                    <w:tl2br w:val="nil"/>
                    <w:tr2bl w:val="nil"/>
                  </w:tcBorders>
                  <w:noWrap w:val="0"/>
                  <w:vAlign w:val="center"/>
                </w:tcPr>
                <w:p w14:paraId="7514AEFB">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料仓</w:t>
                  </w:r>
                </w:p>
                <w:p w14:paraId="15BE7E0D">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喂料机</w:t>
                  </w:r>
                </w:p>
              </w:tc>
              <w:tc>
                <w:tcPr>
                  <w:tcW w:w="1255" w:type="dxa"/>
                  <w:tcBorders>
                    <w:tl2br w:val="nil"/>
                    <w:tr2bl w:val="nil"/>
                  </w:tcBorders>
                  <w:noWrap w:val="0"/>
                  <w:vAlign w:val="center"/>
                </w:tcPr>
                <w:p w14:paraId="50C87D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8.7</w:t>
                  </w:r>
                </w:p>
              </w:tc>
              <w:tc>
                <w:tcPr>
                  <w:tcW w:w="864" w:type="dxa"/>
                  <w:tcBorders>
                    <w:tl2br w:val="nil"/>
                    <w:tr2bl w:val="nil"/>
                  </w:tcBorders>
                  <w:noWrap w:val="0"/>
                  <w:vAlign w:val="center"/>
                </w:tcPr>
                <w:p w14:paraId="2F5894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60</w:t>
                  </w:r>
                </w:p>
              </w:tc>
              <w:tc>
                <w:tcPr>
                  <w:tcW w:w="974" w:type="dxa"/>
                  <w:tcBorders>
                    <w:tl2br w:val="nil"/>
                    <w:tr2bl w:val="nil"/>
                  </w:tcBorders>
                  <w:noWrap w:val="0"/>
                  <w:vAlign w:val="center"/>
                </w:tcPr>
                <w:p w14:paraId="2A6EE7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w:t>
                  </w:r>
                </w:p>
              </w:tc>
              <w:tc>
                <w:tcPr>
                  <w:tcW w:w="1104" w:type="dxa"/>
                  <w:vMerge w:val="restart"/>
                  <w:tcBorders>
                    <w:tl2br w:val="nil"/>
                    <w:tr2bl w:val="nil"/>
                  </w:tcBorders>
                  <w:noWrap w:val="0"/>
                  <w:vAlign w:val="center"/>
                </w:tcPr>
                <w:p w14:paraId="0F4BE9D1">
                  <w:pPr>
                    <w:adjustRightInd w:val="0"/>
                    <w:snapToGrid w:val="0"/>
                    <w:spacing w:line="360" w:lineRule="auto"/>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27.0</w:t>
                  </w:r>
                </w:p>
              </w:tc>
              <w:tc>
                <w:tcPr>
                  <w:tcW w:w="1111" w:type="dxa"/>
                  <w:vMerge w:val="restart"/>
                  <w:tcBorders>
                    <w:tl2br w:val="nil"/>
                    <w:tr2bl w:val="nil"/>
                  </w:tcBorders>
                  <w:noWrap w:val="0"/>
                  <w:vAlign w:val="center"/>
                </w:tcPr>
                <w:p w14:paraId="42EBA4A1">
                  <w:pPr>
                    <w:adjustRightInd w:val="0"/>
                    <w:snapToGrid w:val="0"/>
                    <w:spacing w:line="360" w:lineRule="auto"/>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50/60</w:t>
                  </w:r>
                </w:p>
              </w:tc>
              <w:tc>
                <w:tcPr>
                  <w:tcW w:w="862" w:type="dxa"/>
                  <w:vMerge w:val="restart"/>
                  <w:tcBorders>
                    <w:tl2br w:val="nil"/>
                    <w:tr2bl w:val="nil"/>
                  </w:tcBorders>
                  <w:noWrap w:val="0"/>
                  <w:vAlign w:val="center"/>
                </w:tcPr>
                <w:p w14:paraId="1F9F158E">
                  <w:pPr>
                    <w:adjustRightInd w:val="0"/>
                    <w:snapToGrid w:val="0"/>
                    <w:spacing w:line="360" w:lineRule="auto"/>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达标</w:t>
                  </w:r>
                </w:p>
              </w:tc>
            </w:tr>
            <w:tr w14:paraId="370DD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688" w:type="dxa"/>
                  <w:vMerge w:val="continue"/>
                  <w:tcBorders>
                    <w:tl2br w:val="nil"/>
                    <w:tr2bl w:val="nil"/>
                  </w:tcBorders>
                  <w:noWrap w:val="0"/>
                  <w:vAlign w:val="center"/>
                </w:tcPr>
                <w:p w14:paraId="4BF6EB07">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0F58969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颚破机</w:t>
                  </w:r>
                </w:p>
              </w:tc>
              <w:tc>
                <w:tcPr>
                  <w:tcW w:w="1255" w:type="dxa"/>
                  <w:tcBorders>
                    <w:tl2br w:val="nil"/>
                    <w:tr2bl w:val="nil"/>
                  </w:tcBorders>
                  <w:noWrap w:val="0"/>
                  <w:vAlign w:val="center"/>
                </w:tcPr>
                <w:p w14:paraId="169666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18.7</w:t>
                  </w:r>
                </w:p>
              </w:tc>
              <w:tc>
                <w:tcPr>
                  <w:tcW w:w="864" w:type="dxa"/>
                  <w:tcBorders>
                    <w:tl2br w:val="nil"/>
                    <w:tr2bl w:val="nil"/>
                  </w:tcBorders>
                  <w:noWrap w:val="0"/>
                  <w:vAlign w:val="center"/>
                </w:tcPr>
                <w:p w14:paraId="71D81A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60</w:t>
                  </w:r>
                </w:p>
              </w:tc>
              <w:tc>
                <w:tcPr>
                  <w:tcW w:w="974" w:type="dxa"/>
                  <w:tcBorders>
                    <w:tl2br w:val="nil"/>
                    <w:tr2bl w:val="nil"/>
                  </w:tcBorders>
                  <w:noWrap w:val="0"/>
                  <w:vAlign w:val="center"/>
                </w:tcPr>
                <w:p w14:paraId="5E6400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05029A9E">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4723844F">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4AB48038">
                  <w:pPr>
                    <w:adjustRightInd w:val="0"/>
                    <w:snapToGrid w:val="0"/>
                    <w:spacing w:line="360" w:lineRule="auto"/>
                    <w:jc w:val="center"/>
                    <w:rPr>
                      <w:rFonts w:hint="eastAsia" w:ascii="Times New Roman" w:hAnsi="Times New Roman" w:cs="Times New Roman"/>
                      <w:color w:val="auto"/>
                      <w:szCs w:val="21"/>
                      <w:lang w:val="en-US" w:eastAsia="zh-CN"/>
                    </w:rPr>
                  </w:pPr>
                </w:p>
              </w:tc>
            </w:tr>
            <w:tr w14:paraId="59088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2B2A5EB3">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13A1DA53">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#1粉碎机</w:t>
                  </w:r>
                </w:p>
              </w:tc>
              <w:tc>
                <w:tcPr>
                  <w:tcW w:w="1255" w:type="dxa"/>
                  <w:tcBorders>
                    <w:tl2br w:val="nil"/>
                    <w:tr2bl w:val="nil"/>
                  </w:tcBorders>
                  <w:noWrap w:val="0"/>
                  <w:vAlign w:val="center"/>
                </w:tcPr>
                <w:p w14:paraId="79E5D9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29.5</w:t>
                  </w:r>
                </w:p>
              </w:tc>
              <w:tc>
                <w:tcPr>
                  <w:tcW w:w="864" w:type="dxa"/>
                  <w:tcBorders>
                    <w:tl2br w:val="nil"/>
                    <w:tr2bl w:val="nil"/>
                  </w:tcBorders>
                  <w:noWrap w:val="0"/>
                  <w:vAlign w:val="center"/>
                </w:tcPr>
                <w:p w14:paraId="48CC00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55</w:t>
                  </w:r>
                </w:p>
              </w:tc>
              <w:tc>
                <w:tcPr>
                  <w:tcW w:w="974" w:type="dxa"/>
                  <w:tcBorders>
                    <w:tl2br w:val="nil"/>
                    <w:tr2bl w:val="nil"/>
                  </w:tcBorders>
                  <w:noWrap w:val="0"/>
                  <w:vAlign w:val="center"/>
                </w:tcPr>
                <w:p w14:paraId="397226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2CDAE941">
                  <w:pPr>
                    <w:adjustRightInd w:val="0"/>
                    <w:snapToGrid w:val="0"/>
                    <w:spacing w:line="360" w:lineRule="auto"/>
                    <w:jc w:val="center"/>
                    <w:rPr>
                      <w:rFonts w:hint="default"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3B13821E">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2C5912A9">
                  <w:pPr>
                    <w:adjustRightInd w:val="0"/>
                    <w:snapToGrid w:val="0"/>
                    <w:spacing w:line="360" w:lineRule="auto"/>
                    <w:jc w:val="center"/>
                    <w:rPr>
                      <w:rFonts w:hint="eastAsia" w:ascii="Times New Roman" w:hAnsi="Times New Roman" w:cs="Times New Roman"/>
                      <w:color w:val="auto"/>
                      <w:szCs w:val="21"/>
                      <w:lang w:val="en-US" w:eastAsia="zh-CN"/>
                    </w:rPr>
                  </w:pPr>
                </w:p>
              </w:tc>
            </w:tr>
            <w:tr w14:paraId="1E214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0CF3AB7A">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787AA781">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#2粉碎机</w:t>
                  </w:r>
                </w:p>
              </w:tc>
              <w:tc>
                <w:tcPr>
                  <w:tcW w:w="1255" w:type="dxa"/>
                  <w:tcBorders>
                    <w:tl2br w:val="nil"/>
                    <w:tr2bl w:val="nil"/>
                  </w:tcBorders>
                  <w:noWrap w:val="0"/>
                  <w:vAlign w:val="center"/>
                </w:tcPr>
                <w:p w14:paraId="30430F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29.5</w:t>
                  </w:r>
                </w:p>
              </w:tc>
              <w:tc>
                <w:tcPr>
                  <w:tcW w:w="864" w:type="dxa"/>
                  <w:tcBorders>
                    <w:tl2br w:val="nil"/>
                    <w:tr2bl w:val="nil"/>
                  </w:tcBorders>
                  <w:noWrap w:val="0"/>
                  <w:vAlign w:val="center"/>
                </w:tcPr>
                <w:p w14:paraId="005520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55</w:t>
                  </w:r>
                </w:p>
              </w:tc>
              <w:tc>
                <w:tcPr>
                  <w:tcW w:w="974" w:type="dxa"/>
                  <w:tcBorders>
                    <w:tl2br w:val="nil"/>
                    <w:tr2bl w:val="nil"/>
                  </w:tcBorders>
                  <w:noWrap w:val="0"/>
                  <w:vAlign w:val="center"/>
                </w:tcPr>
                <w:p w14:paraId="69EF1B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1EB564B2">
                  <w:pPr>
                    <w:adjustRightInd w:val="0"/>
                    <w:snapToGrid w:val="0"/>
                    <w:spacing w:line="360" w:lineRule="auto"/>
                    <w:jc w:val="center"/>
                    <w:rPr>
                      <w:rFonts w:hint="default"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073E4908">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0996F8D5">
                  <w:pPr>
                    <w:adjustRightInd w:val="0"/>
                    <w:snapToGrid w:val="0"/>
                    <w:spacing w:line="360" w:lineRule="auto"/>
                    <w:jc w:val="center"/>
                    <w:rPr>
                      <w:rFonts w:hint="eastAsia" w:ascii="Times New Roman" w:hAnsi="Times New Roman" w:cs="Times New Roman"/>
                      <w:color w:val="auto"/>
                      <w:szCs w:val="21"/>
                      <w:lang w:val="en-US" w:eastAsia="zh-CN"/>
                    </w:rPr>
                  </w:pPr>
                </w:p>
              </w:tc>
            </w:tr>
            <w:tr w14:paraId="2529D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2AB3F2DF">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5A9A575E">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#1筛分机</w:t>
                  </w:r>
                </w:p>
              </w:tc>
              <w:tc>
                <w:tcPr>
                  <w:tcW w:w="1255" w:type="dxa"/>
                  <w:tcBorders>
                    <w:tl2br w:val="nil"/>
                    <w:tr2bl w:val="nil"/>
                  </w:tcBorders>
                  <w:noWrap w:val="0"/>
                  <w:vAlign w:val="center"/>
                </w:tcPr>
                <w:p w14:paraId="14045F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24.0</w:t>
                  </w:r>
                </w:p>
              </w:tc>
              <w:tc>
                <w:tcPr>
                  <w:tcW w:w="864" w:type="dxa"/>
                  <w:tcBorders>
                    <w:tl2br w:val="nil"/>
                    <w:tr2bl w:val="nil"/>
                  </w:tcBorders>
                  <w:noWrap w:val="0"/>
                  <w:vAlign w:val="center"/>
                </w:tcPr>
                <w:p w14:paraId="5BEAF7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45</w:t>
                  </w:r>
                </w:p>
              </w:tc>
              <w:tc>
                <w:tcPr>
                  <w:tcW w:w="974" w:type="dxa"/>
                  <w:tcBorders>
                    <w:tl2br w:val="nil"/>
                    <w:tr2bl w:val="nil"/>
                  </w:tcBorders>
                  <w:noWrap w:val="0"/>
                  <w:vAlign w:val="center"/>
                </w:tcPr>
                <w:p w14:paraId="4380D8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2499EFED">
                  <w:pPr>
                    <w:adjustRightInd w:val="0"/>
                    <w:snapToGrid w:val="0"/>
                    <w:spacing w:line="360" w:lineRule="auto"/>
                    <w:jc w:val="center"/>
                    <w:rPr>
                      <w:rFonts w:hint="default"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3997AC34">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5432254E">
                  <w:pPr>
                    <w:adjustRightInd w:val="0"/>
                    <w:snapToGrid w:val="0"/>
                    <w:spacing w:line="360" w:lineRule="auto"/>
                    <w:jc w:val="center"/>
                    <w:rPr>
                      <w:rFonts w:hint="eastAsia" w:ascii="Times New Roman" w:hAnsi="Times New Roman" w:cs="Times New Roman"/>
                      <w:color w:val="auto"/>
                      <w:szCs w:val="21"/>
                      <w:lang w:val="en-US" w:eastAsia="zh-CN"/>
                    </w:rPr>
                  </w:pPr>
                </w:p>
              </w:tc>
            </w:tr>
            <w:tr w14:paraId="4BBFD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67EA5792">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0CC99D70">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#2筛分机</w:t>
                  </w:r>
                </w:p>
              </w:tc>
              <w:tc>
                <w:tcPr>
                  <w:tcW w:w="1255" w:type="dxa"/>
                  <w:tcBorders>
                    <w:tl2br w:val="nil"/>
                    <w:tr2bl w:val="nil"/>
                  </w:tcBorders>
                  <w:noWrap w:val="0"/>
                  <w:vAlign w:val="center"/>
                </w:tcPr>
                <w:p w14:paraId="0BE26D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24.0</w:t>
                  </w:r>
                </w:p>
              </w:tc>
              <w:tc>
                <w:tcPr>
                  <w:tcW w:w="864" w:type="dxa"/>
                  <w:tcBorders>
                    <w:tl2br w:val="nil"/>
                    <w:tr2bl w:val="nil"/>
                  </w:tcBorders>
                  <w:noWrap w:val="0"/>
                  <w:vAlign w:val="center"/>
                </w:tcPr>
                <w:p w14:paraId="54FDB7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45</w:t>
                  </w:r>
                </w:p>
              </w:tc>
              <w:tc>
                <w:tcPr>
                  <w:tcW w:w="974" w:type="dxa"/>
                  <w:tcBorders>
                    <w:tl2br w:val="nil"/>
                    <w:tr2bl w:val="nil"/>
                  </w:tcBorders>
                  <w:noWrap w:val="0"/>
                  <w:vAlign w:val="center"/>
                </w:tcPr>
                <w:p w14:paraId="01D3FC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28A5A3C0">
                  <w:pPr>
                    <w:adjustRightInd w:val="0"/>
                    <w:snapToGrid w:val="0"/>
                    <w:spacing w:line="360" w:lineRule="auto"/>
                    <w:jc w:val="center"/>
                    <w:rPr>
                      <w:rFonts w:hint="default"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1393A361">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190FBACB">
                  <w:pPr>
                    <w:adjustRightInd w:val="0"/>
                    <w:snapToGrid w:val="0"/>
                    <w:spacing w:line="360" w:lineRule="auto"/>
                    <w:jc w:val="center"/>
                    <w:rPr>
                      <w:rFonts w:hint="eastAsia" w:ascii="Times New Roman" w:hAnsi="Times New Roman" w:cs="Times New Roman"/>
                      <w:color w:val="auto"/>
                      <w:szCs w:val="21"/>
                      <w:lang w:val="en-US" w:eastAsia="zh-CN"/>
                    </w:rPr>
                  </w:pPr>
                </w:p>
              </w:tc>
            </w:tr>
            <w:tr w14:paraId="2128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537CE93B">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20F1D4D3">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#1水轮</w:t>
                  </w:r>
                </w:p>
                <w:p w14:paraId="5F079B4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清洗机</w:t>
                  </w:r>
                </w:p>
              </w:tc>
              <w:tc>
                <w:tcPr>
                  <w:tcW w:w="1255" w:type="dxa"/>
                  <w:tcBorders>
                    <w:tl2br w:val="nil"/>
                    <w:tr2bl w:val="nil"/>
                  </w:tcBorders>
                  <w:noWrap w:val="0"/>
                  <w:vAlign w:val="center"/>
                </w:tcPr>
                <w:p w14:paraId="365A1B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30.0</w:t>
                  </w:r>
                </w:p>
              </w:tc>
              <w:tc>
                <w:tcPr>
                  <w:tcW w:w="864" w:type="dxa"/>
                  <w:tcBorders>
                    <w:tl2br w:val="nil"/>
                    <w:tr2bl w:val="nil"/>
                  </w:tcBorders>
                  <w:noWrap w:val="0"/>
                  <w:vAlign w:val="center"/>
                </w:tcPr>
                <w:p w14:paraId="079ADD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30</w:t>
                  </w:r>
                </w:p>
              </w:tc>
              <w:tc>
                <w:tcPr>
                  <w:tcW w:w="974" w:type="dxa"/>
                  <w:tcBorders>
                    <w:tl2br w:val="nil"/>
                    <w:tr2bl w:val="nil"/>
                  </w:tcBorders>
                  <w:noWrap w:val="0"/>
                  <w:vAlign w:val="center"/>
                </w:tcPr>
                <w:p w14:paraId="124418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0.5</w:t>
                  </w:r>
                </w:p>
              </w:tc>
              <w:tc>
                <w:tcPr>
                  <w:tcW w:w="1104" w:type="dxa"/>
                  <w:vMerge w:val="continue"/>
                  <w:tcBorders>
                    <w:tl2br w:val="nil"/>
                    <w:tr2bl w:val="nil"/>
                  </w:tcBorders>
                  <w:noWrap w:val="0"/>
                  <w:vAlign w:val="center"/>
                </w:tcPr>
                <w:p w14:paraId="2815EABE">
                  <w:pPr>
                    <w:adjustRightInd w:val="0"/>
                    <w:snapToGrid w:val="0"/>
                    <w:spacing w:line="360" w:lineRule="auto"/>
                    <w:jc w:val="center"/>
                    <w:rPr>
                      <w:rFonts w:hint="default"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252BEA90">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36164F12">
                  <w:pPr>
                    <w:adjustRightInd w:val="0"/>
                    <w:snapToGrid w:val="0"/>
                    <w:spacing w:line="360" w:lineRule="auto"/>
                    <w:jc w:val="center"/>
                    <w:rPr>
                      <w:rFonts w:hint="eastAsia" w:ascii="Times New Roman" w:hAnsi="Times New Roman" w:cs="Times New Roman"/>
                      <w:color w:val="auto"/>
                      <w:szCs w:val="21"/>
                      <w:lang w:val="en-US" w:eastAsia="zh-CN"/>
                    </w:rPr>
                  </w:pPr>
                </w:p>
              </w:tc>
            </w:tr>
            <w:tr w14:paraId="3A863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4" w:hRule="atLeast"/>
              </w:trPr>
              <w:tc>
                <w:tcPr>
                  <w:tcW w:w="688" w:type="dxa"/>
                  <w:vMerge w:val="continue"/>
                  <w:tcBorders>
                    <w:tl2br w:val="nil"/>
                    <w:tr2bl w:val="nil"/>
                  </w:tcBorders>
                  <w:noWrap w:val="0"/>
                  <w:vAlign w:val="center"/>
                </w:tcPr>
                <w:p w14:paraId="6C23F425">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392F899C">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#2水轮</w:t>
                  </w:r>
                </w:p>
                <w:p w14:paraId="6410E463">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清洗机</w:t>
                  </w:r>
                </w:p>
              </w:tc>
              <w:tc>
                <w:tcPr>
                  <w:tcW w:w="1255" w:type="dxa"/>
                  <w:tcBorders>
                    <w:tl2br w:val="nil"/>
                    <w:tr2bl w:val="nil"/>
                  </w:tcBorders>
                  <w:noWrap w:val="0"/>
                  <w:vAlign w:val="center"/>
                </w:tcPr>
                <w:p w14:paraId="78827E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30.0</w:t>
                  </w:r>
                </w:p>
              </w:tc>
              <w:tc>
                <w:tcPr>
                  <w:tcW w:w="864" w:type="dxa"/>
                  <w:tcBorders>
                    <w:tl2br w:val="nil"/>
                    <w:tr2bl w:val="nil"/>
                  </w:tcBorders>
                  <w:noWrap w:val="0"/>
                  <w:vAlign w:val="center"/>
                </w:tcPr>
                <w:p w14:paraId="01677C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30</w:t>
                  </w:r>
                </w:p>
              </w:tc>
              <w:tc>
                <w:tcPr>
                  <w:tcW w:w="974" w:type="dxa"/>
                  <w:tcBorders>
                    <w:tl2br w:val="nil"/>
                    <w:tr2bl w:val="nil"/>
                  </w:tcBorders>
                  <w:noWrap w:val="0"/>
                  <w:vAlign w:val="center"/>
                </w:tcPr>
                <w:p w14:paraId="681DFD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0.5</w:t>
                  </w:r>
                </w:p>
              </w:tc>
              <w:tc>
                <w:tcPr>
                  <w:tcW w:w="1104" w:type="dxa"/>
                  <w:vMerge w:val="continue"/>
                  <w:tcBorders>
                    <w:tl2br w:val="nil"/>
                    <w:tr2bl w:val="nil"/>
                  </w:tcBorders>
                  <w:noWrap w:val="0"/>
                  <w:vAlign w:val="center"/>
                </w:tcPr>
                <w:p w14:paraId="5E69FDF5">
                  <w:pPr>
                    <w:adjustRightInd w:val="0"/>
                    <w:snapToGrid w:val="0"/>
                    <w:spacing w:line="360" w:lineRule="auto"/>
                    <w:jc w:val="center"/>
                    <w:rPr>
                      <w:rFonts w:hint="default"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1711543A">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650A77E9">
                  <w:pPr>
                    <w:adjustRightInd w:val="0"/>
                    <w:snapToGrid w:val="0"/>
                    <w:spacing w:line="360" w:lineRule="auto"/>
                    <w:jc w:val="center"/>
                    <w:rPr>
                      <w:rFonts w:hint="eastAsia" w:ascii="Times New Roman" w:hAnsi="Times New Roman" w:cs="Times New Roman"/>
                      <w:color w:val="auto"/>
                      <w:szCs w:val="21"/>
                      <w:lang w:val="en-US" w:eastAsia="zh-CN"/>
                    </w:rPr>
                  </w:pPr>
                </w:p>
              </w:tc>
            </w:tr>
            <w:tr w14:paraId="0914E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518928F6">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640C80E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#1脱水筛</w:t>
                  </w:r>
                </w:p>
              </w:tc>
              <w:tc>
                <w:tcPr>
                  <w:tcW w:w="1255" w:type="dxa"/>
                  <w:tcBorders>
                    <w:tl2br w:val="nil"/>
                    <w:tr2bl w:val="nil"/>
                  </w:tcBorders>
                  <w:noWrap w:val="0"/>
                  <w:vAlign w:val="center"/>
                </w:tcPr>
                <w:p w14:paraId="7B5801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47.5</w:t>
                  </w:r>
                </w:p>
              </w:tc>
              <w:tc>
                <w:tcPr>
                  <w:tcW w:w="864" w:type="dxa"/>
                  <w:tcBorders>
                    <w:tl2br w:val="nil"/>
                    <w:tr2bl w:val="nil"/>
                  </w:tcBorders>
                  <w:noWrap w:val="0"/>
                  <w:vAlign w:val="center"/>
                </w:tcPr>
                <w:p w14:paraId="7415C2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25</w:t>
                  </w:r>
                </w:p>
              </w:tc>
              <w:tc>
                <w:tcPr>
                  <w:tcW w:w="974" w:type="dxa"/>
                  <w:tcBorders>
                    <w:tl2br w:val="nil"/>
                    <w:tr2bl w:val="nil"/>
                  </w:tcBorders>
                  <w:noWrap w:val="0"/>
                  <w:vAlign w:val="center"/>
                </w:tcPr>
                <w:p w14:paraId="67192D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19.5</w:t>
                  </w:r>
                </w:p>
              </w:tc>
              <w:tc>
                <w:tcPr>
                  <w:tcW w:w="1104" w:type="dxa"/>
                  <w:vMerge w:val="continue"/>
                  <w:tcBorders>
                    <w:tl2br w:val="nil"/>
                    <w:tr2bl w:val="nil"/>
                  </w:tcBorders>
                  <w:noWrap w:val="0"/>
                  <w:vAlign w:val="center"/>
                </w:tcPr>
                <w:p w14:paraId="5D2EC784">
                  <w:pPr>
                    <w:adjustRightInd w:val="0"/>
                    <w:snapToGrid w:val="0"/>
                    <w:spacing w:line="360" w:lineRule="auto"/>
                    <w:jc w:val="center"/>
                    <w:rPr>
                      <w:rFonts w:hint="default"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0AB5B6B9">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6BF46ACA">
                  <w:pPr>
                    <w:adjustRightInd w:val="0"/>
                    <w:snapToGrid w:val="0"/>
                    <w:spacing w:line="360" w:lineRule="auto"/>
                    <w:jc w:val="center"/>
                    <w:rPr>
                      <w:rFonts w:hint="eastAsia" w:ascii="Times New Roman" w:hAnsi="Times New Roman" w:cs="Times New Roman"/>
                      <w:color w:val="auto"/>
                      <w:szCs w:val="21"/>
                      <w:lang w:val="en-US" w:eastAsia="zh-CN"/>
                    </w:rPr>
                  </w:pPr>
                </w:p>
              </w:tc>
            </w:tr>
            <w:tr w14:paraId="5EED8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713BB81B">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126DC3D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#2脱水筛</w:t>
                  </w:r>
                </w:p>
              </w:tc>
              <w:tc>
                <w:tcPr>
                  <w:tcW w:w="1255" w:type="dxa"/>
                  <w:tcBorders>
                    <w:tl2br w:val="nil"/>
                    <w:tr2bl w:val="nil"/>
                  </w:tcBorders>
                  <w:noWrap w:val="0"/>
                  <w:vAlign w:val="center"/>
                </w:tcPr>
                <w:p w14:paraId="3808B5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47.5</w:t>
                  </w:r>
                </w:p>
              </w:tc>
              <w:tc>
                <w:tcPr>
                  <w:tcW w:w="864" w:type="dxa"/>
                  <w:tcBorders>
                    <w:tl2br w:val="nil"/>
                    <w:tr2bl w:val="nil"/>
                  </w:tcBorders>
                  <w:noWrap w:val="0"/>
                  <w:vAlign w:val="center"/>
                </w:tcPr>
                <w:p w14:paraId="369837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25</w:t>
                  </w:r>
                </w:p>
              </w:tc>
              <w:tc>
                <w:tcPr>
                  <w:tcW w:w="974" w:type="dxa"/>
                  <w:tcBorders>
                    <w:tl2br w:val="nil"/>
                    <w:tr2bl w:val="nil"/>
                  </w:tcBorders>
                  <w:noWrap w:val="0"/>
                  <w:vAlign w:val="center"/>
                </w:tcPr>
                <w:p w14:paraId="3B9B19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19.5</w:t>
                  </w:r>
                </w:p>
              </w:tc>
              <w:tc>
                <w:tcPr>
                  <w:tcW w:w="1104" w:type="dxa"/>
                  <w:vMerge w:val="continue"/>
                  <w:tcBorders>
                    <w:tl2br w:val="nil"/>
                    <w:tr2bl w:val="nil"/>
                  </w:tcBorders>
                  <w:noWrap w:val="0"/>
                  <w:vAlign w:val="center"/>
                </w:tcPr>
                <w:p w14:paraId="0CAC6815">
                  <w:pPr>
                    <w:adjustRightInd w:val="0"/>
                    <w:snapToGrid w:val="0"/>
                    <w:spacing w:line="360" w:lineRule="auto"/>
                    <w:jc w:val="center"/>
                    <w:rPr>
                      <w:rFonts w:hint="default"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0E447E24">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06DD285C">
                  <w:pPr>
                    <w:adjustRightInd w:val="0"/>
                    <w:snapToGrid w:val="0"/>
                    <w:spacing w:line="360" w:lineRule="auto"/>
                    <w:jc w:val="center"/>
                    <w:rPr>
                      <w:rFonts w:hint="eastAsia" w:ascii="Times New Roman" w:hAnsi="Times New Roman" w:cs="Times New Roman"/>
                      <w:color w:val="auto"/>
                      <w:szCs w:val="21"/>
                      <w:lang w:val="en-US" w:eastAsia="zh-CN"/>
                    </w:rPr>
                  </w:pPr>
                </w:p>
              </w:tc>
            </w:tr>
            <w:tr w14:paraId="0D7A5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688" w:type="dxa"/>
                  <w:vMerge w:val="continue"/>
                  <w:tcBorders>
                    <w:tl2br w:val="nil"/>
                    <w:tr2bl w:val="nil"/>
                  </w:tcBorders>
                  <w:noWrap w:val="0"/>
                  <w:vAlign w:val="center"/>
                </w:tcPr>
                <w:p w14:paraId="2B5EE9D5">
                  <w:pPr>
                    <w:adjustRightInd w:val="0"/>
                    <w:snapToGrid w:val="0"/>
                    <w:spacing w:line="360" w:lineRule="auto"/>
                    <w:jc w:val="center"/>
                    <w:rPr>
                      <w:rFonts w:hint="eastAsia" w:ascii="Times New Roman" w:hAnsi="Times New Roman" w:eastAsia="宋体" w:cs="Times New Roman"/>
                      <w:color w:val="auto"/>
                      <w:szCs w:val="21"/>
                      <w:lang w:val="en-US" w:eastAsia="zh-CN"/>
                    </w:rPr>
                  </w:pPr>
                </w:p>
              </w:tc>
              <w:tc>
                <w:tcPr>
                  <w:tcW w:w="1158" w:type="dxa"/>
                  <w:tcBorders>
                    <w:tl2br w:val="nil"/>
                    <w:tr2bl w:val="nil"/>
                  </w:tcBorders>
                  <w:noWrap w:val="0"/>
                  <w:vAlign w:val="center"/>
                </w:tcPr>
                <w:p w14:paraId="10409055">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#1板框</w:t>
                  </w:r>
                </w:p>
                <w:p w14:paraId="61273A80">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压滤机</w:t>
                  </w:r>
                </w:p>
              </w:tc>
              <w:tc>
                <w:tcPr>
                  <w:tcW w:w="1255" w:type="dxa"/>
                  <w:tcBorders>
                    <w:tl2br w:val="nil"/>
                    <w:tr2bl w:val="nil"/>
                  </w:tcBorders>
                  <w:noWrap w:val="0"/>
                  <w:vAlign w:val="center"/>
                </w:tcPr>
                <w:p w14:paraId="5CD561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42.5</w:t>
                  </w:r>
                </w:p>
              </w:tc>
              <w:tc>
                <w:tcPr>
                  <w:tcW w:w="864" w:type="dxa"/>
                  <w:tcBorders>
                    <w:tl2br w:val="nil"/>
                    <w:tr2bl w:val="nil"/>
                  </w:tcBorders>
                  <w:noWrap w:val="0"/>
                  <w:vAlign w:val="center"/>
                </w:tcPr>
                <w:p w14:paraId="0E09EF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15</w:t>
                  </w:r>
                </w:p>
              </w:tc>
              <w:tc>
                <w:tcPr>
                  <w:tcW w:w="974" w:type="dxa"/>
                  <w:tcBorders>
                    <w:tl2br w:val="nil"/>
                    <w:tr2bl w:val="nil"/>
                  </w:tcBorders>
                  <w:noWrap w:val="0"/>
                  <w:vAlign w:val="center"/>
                </w:tcPr>
                <w:p w14:paraId="32634D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19.0</w:t>
                  </w:r>
                </w:p>
              </w:tc>
              <w:tc>
                <w:tcPr>
                  <w:tcW w:w="1104" w:type="dxa"/>
                  <w:vMerge w:val="continue"/>
                  <w:tcBorders>
                    <w:tl2br w:val="nil"/>
                    <w:tr2bl w:val="nil"/>
                  </w:tcBorders>
                  <w:noWrap w:val="0"/>
                  <w:vAlign w:val="center"/>
                </w:tcPr>
                <w:p w14:paraId="5BD8A0ED">
                  <w:pPr>
                    <w:adjustRightInd w:val="0"/>
                    <w:snapToGrid w:val="0"/>
                    <w:spacing w:line="360" w:lineRule="auto"/>
                    <w:jc w:val="center"/>
                    <w:rPr>
                      <w:rFonts w:hint="default" w:ascii="Times New Roman" w:hAnsi="Times New Roman" w:eastAsia="宋体" w:cs="Times New Roman"/>
                      <w:color w:val="auto"/>
                      <w:szCs w:val="21"/>
                      <w:lang w:val="en-US" w:eastAsia="zh-CN"/>
                    </w:rPr>
                  </w:pPr>
                </w:p>
              </w:tc>
              <w:tc>
                <w:tcPr>
                  <w:tcW w:w="1111" w:type="dxa"/>
                  <w:vMerge w:val="continue"/>
                  <w:tcBorders>
                    <w:tl2br w:val="nil"/>
                    <w:tr2bl w:val="nil"/>
                  </w:tcBorders>
                  <w:noWrap w:val="0"/>
                  <w:vAlign w:val="center"/>
                </w:tcPr>
                <w:p w14:paraId="59EBF583">
                  <w:pPr>
                    <w:adjustRightInd w:val="0"/>
                    <w:snapToGrid w:val="0"/>
                    <w:spacing w:line="360" w:lineRule="auto"/>
                    <w:jc w:val="center"/>
                    <w:rPr>
                      <w:rFonts w:ascii="Times New Roman" w:hAnsi="Times New Roman" w:cs="Times New Roman"/>
                    </w:rPr>
                  </w:pPr>
                </w:p>
              </w:tc>
              <w:tc>
                <w:tcPr>
                  <w:tcW w:w="862" w:type="dxa"/>
                  <w:vMerge w:val="continue"/>
                  <w:tcBorders>
                    <w:tl2br w:val="nil"/>
                    <w:tr2bl w:val="nil"/>
                  </w:tcBorders>
                  <w:noWrap w:val="0"/>
                  <w:vAlign w:val="center"/>
                </w:tcPr>
                <w:p w14:paraId="1C367DE6">
                  <w:pPr>
                    <w:adjustRightInd w:val="0"/>
                    <w:snapToGrid w:val="0"/>
                    <w:spacing w:line="360" w:lineRule="auto"/>
                    <w:jc w:val="both"/>
                    <w:rPr>
                      <w:rFonts w:ascii="Times New Roman" w:hAnsi="Times New Roman" w:cs="Times New Roman"/>
                      <w:color w:val="auto"/>
                      <w:szCs w:val="21"/>
                    </w:rPr>
                  </w:pPr>
                </w:p>
              </w:tc>
            </w:tr>
            <w:tr w14:paraId="05F83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88" w:type="dxa"/>
                  <w:vMerge w:val="continue"/>
                  <w:tcBorders>
                    <w:tl2br w:val="nil"/>
                    <w:tr2bl w:val="nil"/>
                  </w:tcBorders>
                  <w:noWrap w:val="0"/>
                  <w:vAlign w:val="center"/>
                </w:tcPr>
                <w:p w14:paraId="6C3FC21D">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6A8098AA">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#2板框</w:t>
                  </w:r>
                </w:p>
                <w:p w14:paraId="5FD71451">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压滤机</w:t>
                  </w:r>
                </w:p>
              </w:tc>
              <w:tc>
                <w:tcPr>
                  <w:tcW w:w="1255" w:type="dxa"/>
                  <w:tcBorders>
                    <w:tl2br w:val="nil"/>
                    <w:tr2bl w:val="nil"/>
                  </w:tcBorders>
                  <w:noWrap w:val="0"/>
                  <w:vAlign w:val="center"/>
                </w:tcPr>
                <w:p w14:paraId="4B3FE3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45.8</w:t>
                  </w:r>
                </w:p>
              </w:tc>
              <w:tc>
                <w:tcPr>
                  <w:tcW w:w="864" w:type="dxa"/>
                  <w:tcBorders>
                    <w:tl2br w:val="nil"/>
                    <w:tr2bl w:val="nil"/>
                  </w:tcBorders>
                  <w:noWrap w:val="0"/>
                  <w:vAlign w:val="center"/>
                </w:tcPr>
                <w:p w14:paraId="7AB493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13</w:t>
                  </w:r>
                </w:p>
              </w:tc>
              <w:tc>
                <w:tcPr>
                  <w:tcW w:w="974" w:type="dxa"/>
                  <w:tcBorders>
                    <w:tl2br w:val="nil"/>
                    <w:tr2bl w:val="nil"/>
                  </w:tcBorders>
                  <w:noWrap w:val="0"/>
                  <w:vAlign w:val="center"/>
                </w:tcPr>
                <w:p w14:paraId="6347B0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23.5</w:t>
                  </w:r>
                </w:p>
              </w:tc>
              <w:tc>
                <w:tcPr>
                  <w:tcW w:w="1104" w:type="dxa"/>
                  <w:vMerge w:val="continue"/>
                  <w:tcBorders>
                    <w:tl2br w:val="nil"/>
                    <w:tr2bl w:val="nil"/>
                  </w:tcBorders>
                  <w:noWrap w:val="0"/>
                  <w:vAlign w:val="center"/>
                </w:tcPr>
                <w:p w14:paraId="035CA398">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050FFA22">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0A72CB62">
                  <w:pPr>
                    <w:adjustRightInd w:val="0"/>
                    <w:snapToGrid w:val="0"/>
                    <w:spacing w:line="360" w:lineRule="auto"/>
                    <w:jc w:val="center"/>
                    <w:rPr>
                      <w:rFonts w:hint="eastAsia" w:ascii="Times New Roman" w:hAnsi="Times New Roman" w:cs="Times New Roman"/>
                      <w:color w:val="auto"/>
                      <w:szCs w:val="21"/>
                      <w:lang w:val="en-US" w:eastAsia="zh-CN"/>
                    </w:rPr>
                  </w:pPr>
                </w:p>
              </w:tc>
            </w:tr>
            <w:tr w14:paraId="3E6DA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88" w:type="dxa"/>
                  <w:vMerge w:val="continue"/>
                  <w:tcBorders>
                    <w:tl2br w:val="nil"/>
                    <w:tr2bl w:val="nil"/>
                  </w:tcBorders>
                  <w:noWrap w:val="0"/>
                  <w:vAlign w:val="center"/>
                </w:tcPr>
                <w:p w14:paraId="225FDC97">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21238A16">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#1配料仓</w:t>
                  </w:r>
                </w:p>
                <w:p w14:paraId="3B49D27C">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给料机</w:t>
                  </w:r>
                </w:p>
              </w:tc>
              <w:tc>
                <w:tcPr>
                  <w:tcW w:w="1255" w:type="dxa"/>
                  <w:tcBorders>
                    <w:tl2br w:val="nil"/>
                    <w:tr2bl w:val="nil"/>
                  </w:tcBorders>
                  <w:noWrap w:val="0"/>
                  <w:vAlign w:val="center"/>
                </w:tcPr>
                <w:p w14:paraId="762295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18.7</w:t>
                  </w:r>
                </w:p>
              </w:tc>
              <w:tc>
                <w:tcPr>
                  <w:tcW w:w="864" w:type="dxa"/>
                  <w:tcBorders>
                    <w:tl2br w:val="nil"/>
                    <w:tr2bl w:val="nil"/>
                  </w:tcBorders>
                  <w:noWrap w:val="0"/>
                  <w:vAlign w:val="center"/>
                </w:tcPr>
                <w:p w14:paraId="2267E9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60</w:t>
                  </w:r>
                </w:p>
              </w:tc>
              <w:tc>
                <w:tcPr>
                  <w:tcW w:w="974" w:type="dxa"/>
                  <w:tcBorders>
                    <w:tl2br w:val="nil"/>
                    <w:tr2bl w:val="nil"/>
                  </w:tcBorders>
                  <w:noWrap w:val="0"/>
                  <w:vAlign w:val="center"/>
                </w:tcPr>
                <w:p w14:paraId="221A28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06369DD5">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2336C7A5">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236CB7AC">
                  <w:pPr>
                    <w:adjustRightInd w:val="0"/>
                    <w:snapToGrid w:val="0"/>
                    <w:spacing w:line="360" w:lineRule="auto"/>
                    <w:jc w:val="center"/>
                    <w:rPr>
                      <w:rFonts w:hint="eastAsia" w:ascii="Times New Roman" w:hAnsi="Times New Roman" w:cs="Times New Roman"/>
                      <w:color w:val="auto"/>
                      <w:szCs w:val="21"/>
                      <w:lang w:val="en-US" w:eastAsia="zh-CN"/>
                    </w:rPr>
                  </w:pPr>
                </w:p>
              </w:tc>
            </w:tr>
            <w:tr w14:paraId="2E1E3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88" w:type="dxa"/>
                  <w:vMerge w:val="continue"/>
                  <w:tcBorders>
                    <w:tl2br w:val="nil"/>
                    <w:tr2bl w:val="nil"/>
                  </w:tcBorders>
                  <w:noWrap w:val="0"/>
                  <w:vAlign w:val="center"/>
                </w:tcPr>
                <w:p w14:paraId="53414D20">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1B8AC1B7">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#2配料仓</w:t>
                  </w:r>
                </w:p>
                <w:p w14:paraId="19D9C702">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给料机</w:t>
                  </w:r>
                </w:p>
              </w:tc>
              <w:tc>
                <w:tcPr>
                  <w:tcW w:w="1255" w:type="dxa"/>
                  <w:tcBorders>
                    <w:tl2br w:val="nil"/>
                    <w:tr2bl w:val="nil"/>
                  </w:tcBorders>
                  <w:shd w:val="clear" w:color="auto" w:fill="auto"/>
                  <w:noWrap w:val="0"/>
                  <w:vAlign w:val="center"/>
                </w:tcPr>
                <w:p w14:paraId="7DFEF4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18.7</w:t>
                  </w:r>
                </w:p>
              </w:tc>
              <w:tc>
                <w:tcPr>
                  <w:tcW w:w="864" w:type="dxa"/>
                  <w:tcBorders>
                    <w:tl2br w:val="nil"/>
                    <w:tr2bl w:val="nil"/>
                  </w:tcBorders>
                  <w:shd w:val="clear" w:color="auto" w:fill="auto"/>
                  <w:noWrap w:val="0"/>
                  <w:vAlign w:val="center"/>
                </w:tcPr>
                <w:p w14:paraId="733B51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60</w:t>
                  </w:r>
                </w:p>
              </w:tc>
              <w:tc>
                <w:tcPr>
                  <w:tcW w:w="974" w:type="dxa"/>
                  <w:tcBorders>
                    <w:tl2br w:val="nil"/>
                    <w:tr2bl w:val="nil"/>
                  </w:tcBorders>
                  <w:shd w:val="clear" w:color="auto" w:fill="auto"/>
                  <w:noWrap w:val="0"/>
                  <w:vAlign w:val="center"/>
                </w:tcPr>
                <w:p w14:paraId="2E2C94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5A138AF1">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68D1E613">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0CD9A255">
                  <w:pPr>
                    <w:adjustRightInd w:val="0"/>
                    <w:snapToGrid w:val="0"/>
                    <w:spacing w:line="360" w:lineRule="auto"/>
                    <w:jc w:val="center"/>
                    <w:rPr>
                      <w:rFonts w:hint="eastAsia" w:ascii="Times New Roman" w:hAnsi="Times New Roman" w:cs="Times New Roman"/>
                      <w:color w:val="auto"/>
                      <w:szCs w:val="21"/>
                      <w:lang w:val="en-US" w:eastAsia="zh-CN"/>
                    </w:rPr>
                  </w:pPr>
                </w:p>
              </w:tc>
            </w:tr>
            <w:tr w14:paraId="0B70C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88" w:type="dxa"/>
                  <w:vMerge w:val="continue"/>
                  <w:tcBorders>
                    <w:tl2br w:val="nil"/>
                    <w:tr2bl w:val="nil"/>
                  </w:tcBorders>
                  <w:noWrap w:val="0"/>
                  <w:vAlign w:val="center"/>
                </w:tcPr>
                <w:p w14:paraId="37A6FBD8">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3559B49D">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#3配料仓</w:t>
                  </w:r>
                </w:p>
                <w:p w14:paraId="2328C85A">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给料机</w:t>
                  </w:r>
                </w:p>
              </w:tc>
              <w:tc>
                <w:tcPr>
                  <w:tcW w:w="1255" w:type="dxa"/>
                  <w:tcBorders>
                    <w:tl2br w:val="nil"/>
                    <w:tr2bl w:val="nil"/>
                  </w:tcBorders>
                  <w:shd w:val="clear" w:color="auto" w:fill="auto"/>
                  <w:noWrap w:val="0"/>
                  <w:vAlign w:val="center"/>
                </w:tcPr>
                <w:p w14:paraId="40C87A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22.7</w:t>
                  </w:r>
                </w:p>
              </w:tc>
              <w:tc>
                <w:tcPr>
                  <w:tcW w:w="864" w:type="dxa"/>
                  <w:tcBorders>
                    <w:tl2br w:val="nil"/>
                    <w:tr2bl w:val="nil"/>
                  </w:tcBorders>
                  <w:shd w:val="clear" w:color="auto" w:fill="auto"/>
                  <w:noWrap w:val="0"/>
                  <w:vAlign w:val="center"/>
                </w:tcPr>
                <w:p w14:paraId="66C774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55</w:t>
                  </w:r>
                </w:p>
              </w:tc>
              <w:tc>
                <w:tcPr>
                  <w:tcW w:w="974" w:type="dxa"/>
                  <w:tcBorders>
                    <w:tl2br w:val="nil"/>
                    <w:tr2bl w:val="nil"/>
                  </w:tcBorders>
                  <w:shd w:val="clear" w:color="auto" w:fill="auto"/>
                  <w:noWrap w:val="0"/>
                  <w:vAlign w:val="center"/>
                </w:tcPr>
                <w:p w14:paraId="746B38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2597D478">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37124E0C">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78D3B30E">
                  <w:pPr>
                    <w:adjustRightInd w:val="0"/>
                    <w:snapToGrid w:val="0"/>
                    <w:spacing w:line="360" w:lineRule="auto"/>
                    <w:jc w:val="center"/>
                    <w:rPr>
                      <w:rFonts w:hint="eastAsia" w:ascii="Times New Roman" w:hAnsi="Times New Roman" w:cs="Times New Roman"/>
                      <w:color w:val="auto"/>
                      <w:szCs w:val="21"/>
                      <w:lang w:val="en-US" w:eastAsia="zh-CN"/>
                    </w:rPr>
                  </w:pPr>
                </w:p>
              </w:tc>
            </w:tr>
            <w:tr w14:paraId="3AD6A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688" w:type="dxa"/>
                  <w:vMerge w:val="continue"/>
                  <w:tcBorders>
                    <w:tl2br w:val="nil"/>
                    <w:tr2bl w:val="nil"/>
                  </w:tcBorders>
                  <w:noWrap w:val="0"/>
                  <w:vAlign w:val="center"/>
                </w:tcPr>
                <w:p w14:paraId="7FEEDB26">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1634D3B2">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上料机</w:t>
                  </w:r>
                </w:p>
              </w:tc>
              <w:tc>
                <w:tcPr>
                  <w:tcW w:w="1255" w:type="dxa"/>
                  <w:tcBorders>
                    <w:tl2br w:val="nil"/>
                    <w:tr2bl w:val="nil"/>
                  </w:tcBorders>
                  <w:noWrap w:val="0"/>
                  <w:vAlign w:val="center"/>
                </w:tcPr>
                <w:p w14:paraId="475924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12.5</w:t>
                  </w:r>
                </w:p>
              </w:tc>
              <w:tc>
                <w:tcPr>
                  <w:tcW w:w="864" w:type="dxa"/>
                  <w:tcBorders>
                    <w:tl2br w:val="nil"/>
                    <w:tr2bl w:val="nil"/>
                  </w:tcBorders>
                  <w:noWrap w:val="0"/>
                  <w:vAlign w:val="center"/>
                </w:tcPr>
                <w:p w14:paraId="4F3C47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60</w:t>
                  </w:r>
                </w:p>
              </w:tc>
              <w:tc>
                <w:tcPr>
                  <w:tcW w:w="974" w:type="dxa"/>
                  <w:tcBorders>
                    <w:tl2br w:val="nil"/>
                    <w:tr2bl w:val="nil"/>
                  </w:tcBorders>
                  <w:noWrap w:val="0"/>
                  <w:vAlign w:val="center"/>
                </w:tcPr>
                <w:p w14:paraId="0A2497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0561F3A5">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20DC16B3">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634D6B08">
                  <w:pPr>
                    <w:adjustRightInd w:val="0"/>
                    <w:snapToGrid w:val="0"/>
                    <w:spacing w:line="360" w:lineRule="auto"/>
                    <w:jc w:val="center"/>
                    <w:rPr>
                      <w:rFonts w:hint="eastAsia" w:ascii="Times New Roman" w:hAnsi="Times New Roman" w:cs="Times New Roman"/>
                      <w:color w:val="auto"/>
                      <w:szCs w:val="21"/>
                      <w:lang w:val="en-US" w:eastAsia="zh-CN"/>
                    </w:rPr>
                  </w:pPr>
                </w:p>
              </w:tc>
            </w:tr>
            <w:tr w14:paraId="09A4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688" w:type="dxa"/>
                  <w:vMerge w:val="continue"/>
                  <w:tcBorders>
                    <w:tl2br w:val="nil"/>
                    <w:tr2bl w:val="nil"/>
                  </w:tcBorders>
                  <w:noWrap w:val="0"/>
                  <w:vAlign w:val="center"/>
                </w:tcPr>
                <w:p w14:paraId="34F858C2">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1251ECD2">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#1水泥</w:t>
                  </w:r>
                </w:p>
                <w:p w14:paraId="255FB525">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筒仓</w:t>
                  </w:r>
                </w:p>
              </w:tc>
              <w:tc>
                <w:tcPr>
                  <w:tcW w:w="1255" w:type="dxa"/>
                  <w:tcBorders>
                    <w:tl2br w:val="nil"/>
                    <w:tr2bl w:val="nil"/>
                  </w:tcBorders>
                  <w:noWrap w:val="0"/>
                  <w:vAlign w:val="center"/>
                </w:tcPr>
                <w:p w14:paraId="601A99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8.7</w:t>
                  </w:r>
                </w:p>
              </w:tc>
              <w:tc>
                <w:tcPr>
                  <w:tcW w:w="864" w:type="dxa"/>
                  <w:tcBorders>
                    <w:tl2br w:val="nil"/>
                    <w:tr2bl w:val="nil"/>
                  </w:tcBorders>
                  <w:noWrap w:val="0"/>
                  <w:vAlign w:val="center"/>
                </w:tcPr>
                <w:p w14:paraId="0360DA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60</w:t>
                  </w:r>
                </w:p>
              </w:tc>
              <w:tc>
                <w:tcPr>
                  <w:tcW w:w="974" w:type="dxa"/>
                  <w:tcBorders>
                    <w:tl2br w:val="nil"/>
                    <w:tr2bl w:val="nil"/>
                  </w:tcBorders>
                  <w:noWrap w:val="0"/>
                  <w:vAlign w:val="center"/>
                </w:tcPr>
                <w:p w14:paraId="19BFDF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481FBDFC">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43E7B4CE">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6344FD92">
                  <w:pPr>
                    <w:adjustRightInd w:val="0"/>
                    <w:snapToGrid w:val="0"/>
                    <w:spacing w:line="360" w:lineRule="auto"/>
                    <w:jc w:val="center"/>
                    <w:rPr>
                      <w:rFonts w:hint="eastAsia" w:ascii="Times New Roman" w:hAnsi="Times New Roman" w:cs="Times New Roman"/>
                      <w:color w:val="auto"/>
                      <w:szCs w:val="21"/>
                      <w:lang w:val="en-US" w:eastAsia="zh-CN"/>
                    </w:rPr>
                  </w:pPr>
                </w:p>
              </w:tc>
            </w:tr>
            <w:tr w14:paraId="617F2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tcBorders>
                    <w:tl2br w:val="nil"/>
                    <w:tr2bl w:val="nil"/>
                  </w:tcBorders>
                  <w:noWrap w:val="0"/>
                  <w:vAlign w:val="center"/>
                </w:tcPr>
                <w:p w14:paraId="11D9C422">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0EC25A21">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#2水泥</w:t>
                  </w:r>
                </w:p>
                <w:p w14:paraId="677E0F8C">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筒仓</w:t>
                  </w:r>
                </w:p>
              </w:tc>
              <w:tc>
                <w:tcPr>
                  <w:tcW w:w="1255" w:type="dxa"/>
                  <w:tcBorders>
                    <w:tl2br w:val="nil"/>
                    <w:tr2bl w:val="nil"/>
                  </w:tcBorders>
                  <w:noWrap w:val="0"/>
                  <w:vAlign w:val="center"/>
                </w:tcPr>
                <w:p w14:paraId="02FA91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30.4</w:t>
                  </w:r>
                </w:p>
              </w:tc>
              <w:tc>
                <w:tcPr>
                  <w:tcW w:w="864" w:type="dxa"/>
                  <w:tcBorders>
                    <w:tl2br w:val="nil"/>
                    <w:tr2bl w:val="nil"/>
                  </w:tcBorders>
                  <w:noWrap w:val="0"/>
                  <w:vAlign w:val="center"/>
                </w:tcPr>
                <w:p w14:paraId="79C78E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55</w:t>
                  </w:r>
                </w:p>
              </w:tc>
              <w:tc>
                <w:tcPr>
                  <w:tcW w:w="974" w:type="dxa"/>
                  <w:tcBorders>
                    <w:tl2br w:val="nil"/>
                    <w:tr2bl w:val="nil"/>
                  </w:tcBorders>
                  <w:noWrap w:val="0"/>
                  <w:vAlign w:val="center"/>
                </w:tcPr>
                <w:p w14:paraId="1147AB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615F7E84">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0B606D19">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5F00B5CF">
                  <w:pPr>
                    <w:adjustRightInd w:val="0"/>
                    <w:snapToGrid w:val="0"/>
                    <w:spacing w:line="360" w:lineRule="auto"/>
                    <w:jc w:val="center"/>
                    <w:rPr>
                      <w:rFonts w:hint="eastAsia" w:ascii="Times New Roman" w:hAnsi="Times New Roman" w:cs="Times New Roman"/>
                      <w:color w:val="auto"/>
                      <w:szCs w:val="21"/>
                      <w:lang w:val="en-US" w:eastAsia="zh-CN"/>
                    </w:rPr>
                  </w:pPr>
                </w:p>
              </w:tc>
            </w:tr>
            <w:tr w14:paraId="02EA0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688" w:type="dxa"/>
                  <w:vMerge w:val="continue"/>
                  <w:tcBorders>
                    <w:tl2br w:val="nil"/>
                    <w:tr2bl w:val="nil"/>
                  </w:tcBorders>
                  <w:noWrap w:val="0"/>
                  <w:vAlign w:val="center"/>
                </w:tcPr>
                <w:p w14:paraId="1F9C90C9">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6E06BE3A">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#1搅拌</w:t>
                  </w:r>
                </w:p>
                <w:p w14:paraId="5B26CCC9">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设备</w:t>
                  </w:r>
                </w:p>
              </w:tc>
              <w:tc>
                <w:tcPr>
                  <w:tcW w:w="1255" w:type="dxa"/>
                  <w:tcBorders>
                    <w:tl2br w:val="nil"/>
                    <w:tr2bl w:val="nil"/>
                  </w:tcBorders>
                  <w:noWrap w:val="0"/>
                  <w:vAlign w:val="center"/>
                </w:tcPr>
                <w:p w14:paraId="42FE92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18.7</w:t>
                  </w:r>
                </w:p>
              </w:tc>
              <w:tc>
                <w:tcPr>
                  <w:tcW w:w="864" w:type="dxa"/>
                  <w:tcBorders>
                    <w:tl2br w:val="nil"/>
                    <w:tr2bl w:val="nil"/>
                  </w:tcBorders>
                  <w:noWrap w:val="0"/>
                  <w:vAlign w:val="center"/>
                </w:tcPr>
                <w:p w14:paraId="59FDD3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60</w:t>
                  </w:r>
                </w:p>
              </w:tc>
              <w:tc>
                <w:tcPr>
                  <w:tcW w:w="974" w:type="dxa"/>
                  <w:tcBorders>
                    <w:tl2br w:val="nil"/>
                    <w:tr2bl w:val="nil"/>
                  </w:tcBorders>
                  <w:noWrap w:val="0"/>
                  <w:vAlign w:val="center"/>
                </w:tcPr>
                <w:p w14:paraId="3CDBD2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14BF1885">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706F1516">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3B9A27EC">
                  <w:pPr>
                    <w:adjustRightInd w:val="0"/>
                    <w:snapToGrid w:val="0"/>
                    <w:spacing w:line="360" w:lineRule="auto"/>
                    <w:jc w:val="center"/>
                    <w:rPr>
                      <w:rFonts w:hint="eastAsia" w:ascii="Times New Roman" w:hAnsi="Times New Roman" w:cs="Times New Roman"/>
                      <w:color w:val="auto"/>
                      <w:szCs w:val="21"/>
                      <w:lang w:val="en-US" w:eastAsia="zh-CN"/>
                    </w:rPr>
                  </w:pPr>
                </w:p>
              </w:tc>
            </w:tr>
            <w:tr w14:paraId="6ABD6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688" w:type="dxa"/>
                  <w:vMerge w:val="continue"/>
                  <w:tcBorders>
                    <w:tl2br w:val="nil"/>
                    <w:tr2bl w:val="nil"/>
                  </w:tcBorders>
                  <w:noWrap w:val="0"/>
                  <w:vAlign w:val="center"/>
                </w:tcPr>
                <w:p w14:paraId="3B160CA5">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38846150">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环保设</w:t>
                  </w:r>
                </w:p>
                <w:p w14:paraId="540F5E33">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备风机</w:t>
                  </w:r>
                </w:p>
              </w:tc>
              <w:tc>
                <w:tcPr>
                  <w:tcW w:w="1255" w:type="dxa"/>
                  <w:tcBorders>
                    <w:tl2br w:val="nil"/>
                    <w:tr2bl w:val="nil"/>
                  </w:tcBorders>
                  <w:noWrap w:val="0"/>
                  <w:vAlign w:val="center"/>
                </w:tcPr>
                <w:p w14:paraId="7FF0A4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31.5</w:t>
                  </w:r>
                </w:p>
              </w:tc>
              <w:tc>
                <w:tcPr>
                  <w:tcW w:w="864" w:type="dxa"/>
                  <w:tcBorders>
                    <w:tl2br w:val="nil"/>
                    <w:tr2bl w:val="nil"/>
                  </w:tcBorders>
                  <w:noWrap w:val="0"/>
                  <w:vAlign w:val="center"/>
                </w:tcPr>
                <w:p w14:paraId="3AF5E3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50</w:t>
                  </w:r>
                </w:p>
              </w:tc>
              <w:tc>
                <w:tcPr>
                  <w:tcW w:w="974" w:type="dxa"/>
                  <w:tcBorders>
                    <w:tl2br w:val="nil"/>
                    <w:tr2bl w:val="nil"/>
                  </w:tcBorders>
                  <w:noWrap w:val="0"/>
                  <w:vAlign w:val="center"/>
                </w:tcPr>
                <w:p w14:paraId="3052D3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5BC8773B">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74609CD1">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070DBA76">
                  <w:pPr>
                    <w:adjustRightInd w:val="0"/>
                    <w:snapToGrid w:val="0"/>
                    <w:spacing w:line="360" w:lineRule="auto"/>
                    <w:jc w:val="center"/>
                    <w:rPr>
                      <w:rFonts w:hint="eastAsia" w:ascii="Times New Roman" w:hAnsi="Times New Roman" w:cs="Times New Roman"/>
                      <w:color w:val="auto"/>
                      <w:szCs w:val="21"/>
                      <w:lang w:val="en-US" w:eastAsia="zh-CN"/>
                    </w:rPr>
                  </w:pPr>
                </w:p>
              </w:tc>
            </w:tr>
            <w:tr w14:paraId="2380C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688" w:type="dxa"/>
                  <w:vMerge w:val="continue"/>
                  <w:tcBorders>
                    <w:tl2br w:val="nil"/>
                    <w:tr2bl w:val="nil"/>
                  </w:tcBorders>
                  <w:noWrap w:val="0"/>
                  <w:vAlign w:val="center"/>
                </w:tcPr>
                <w:p w14:paraId="4526B4A3">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4E0929B9">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环保设</w:t>
                  </w:r>
                </w:p>
                <w:p w14:paraId="6866023D">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备风机</w:t>
                  </w:r>
                </w:p>
              </w:tc>
              <w:tc>
                <w:tcPr>
                  <w:tcW w:w="1255" w:type="dxa"/>
                  <w:tcBorders>
                    <w:tl2br w:val="nil"/>
                    <w:tr2bl w:val="nil"/>
                  </w:tcBorders>
                  <w:noWrap w:val="0"/>
                  <w:vAlign w:val="center"/>
                </w:tcPr>
                <w:p w14:paraId="52E7F6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19.8</w:t>
                  </w:r>
                </w:p>
              </w:tc>
              <w:tc>
                <w:tcPr>
                  <w:tcW w:w="864" w:type="dxa"/>
                  <w:tcBorders>
                    <w:tl2br w:val="nil"/>
                    <w:tr2bl w:val="nil"/>
                  </w:tcBorders>
                  <w:noWrap w:val="0"/>
                  <w:vAlign w:val="center"/>
                </w:tcPr>
                <w:p w14:paraId="1184CA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65</w:t>
                  </w:r>
                </w:p>
              </w:tc>
              <w:tc>
                <w:tcPr>
                  <w:tcW w:w="974" w:type="dxa"/>
                  <w:tcBorders>
                    <w:tl2br w:val="nil"/>
                    <w:tr2bl w:val="nil"/>
                  </w:tcBorders>
                  <w:noWrap w:val="0"/>
                  <w:vAlign w:val="center"/>
                </w:tcPr>
                <w:p w14:paraId="2FB09C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572662F9">
                  <w:pPr>
                    <w:adjustRightInd w:val="0"/>
                    <w:snapToGrid w:val="0"/>
                    <w:spacing w:line="360" w:lineRule="auto"/>
                    <w:jc w:val="center"/>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2DCFA89F">
                  <w:pPr>
                    <w:adjustRightInd w:val="0"/>
                    <w:snapToGrid w:val="0"/>
                    <w:spacing w:line="360" w:lineRule="auto"/>
                    <w:jc w:val="center"/>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336AA054">
                  <w:pPr>
                    <w:adjustRightInd w:val="0"/>
                    <w:snapToGrid w:val="0"/>
                    <w:spacing w:line="360" w:lineRule="auto"/>
                    <w:jc w:val="center"/>
                    <w:rPr>
                      <w:rFonts w:hint="eastAsia" w:ascii="Times New Roman" w:hAnsi="Times New Roman" w:cs="Times New Roman"/>
                      <w:color w:val="auto"/>
                      <w:szCs w:val="21"/>
                      <w:lang w:val="en-US" w:eastAsia="zh-CN"/>
                    </w:rPr>
                  </w:pPr>
                </w:p>
              </w:tc>
            </w:tr>
            <w:tr w14:paraId="66D1B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restart"/>
                  <w:tcBorders>
                    <w:tl2br w:val="nil"/>
                    <w:tr2bl w:val="nil"/>
                  </w:tcBorders>
                  <w:noWrap w:val="0"/>
                  <w:vAlign w:val="center"/>
                </w:tcPr>
                <w:p w14:paraId="09FE4C25">
                  <w:pPr>
                    <w:adjustRightInd w:val="0"/>
                    <w:snapToGrid w:val="0"/>
                    <w:spacing w:line="360" w:lineRule="auto"/>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北厂界</w:t>
                  </w:r>
                </w:p>
              </w:tc>
              <w:tc>
                <w:tcPr>
                  <w:tcW w:w="1158" w:type="dxa"/>
                  <w:tcBorders>
                    <w:tl2br w:val="nil"/>
                    <w:tr2bl w:val="nil"/>
                  </w:tcBorders>
                  <w:noWrap w:val="0"/>
                  <w:vAlign w:val="center"/>
                </w:tcPr>
                <w:p w14:paraId="79541FC8">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lang w:val="en-US" w:eastAsia="zh-CN" w:bidi="ar-SA"/>
                    </w:rPr>
                  </w:pPr>
                  <w:r>
                    <w:rPr>
                      <w:rFonts w:hint="eastAsia" w:cs="Times New Roman"/>
                      <w:color w:val="auto"/>
                      <w:kern w:val="0"/>
                      <w:sz w:val="21"/>
                      <w:szCs w:val="21"/>
                      <w:lang w:val="en-US" w:eastAsia="zh-CN" w:bidi="ar-SA"/>
                    </w:rPr>
                    <w:t>料仓</w:t>
                  </w:r>
                </w:p>
                <w:p w14:paraId="78FCFE1F">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喂料机</w:t>
                  </w:r>
                </w:p>
              </w:tc>
              <w:tc>
                <w:tcPr>
                  <w:tcW w:w="1255" w:type="dxa"/>
                  <w:tcBorders>
                    <w:tl2br w:val="nil"/>
                    <w:tr2bl w:val="nil"/>
                  </w:tcBorders>
                  <w:noWrap w:val="0"/>
                  <w:vAlign w:val="center"/>
                </w:tcPr>
                <w:p w14:paraId="6A3DC2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37.4</w:t>
                  </w:r>
                </w:p>
              </w:tc>
              <w:tc>
                <w:tcPr>
                  <w:tcW w:w="864" w:type="dxa"/>
                  <w:tcBorders>
                    <w:tl2br w:val="nil"/>
                    <w:tr2bl w:val="nil"/>
                  </w:tcBorders>
                  <w:noWrap w:val="0"/>
                  <w:vAlign w:val="center"/>
                </w:tcPr>
                <w:p w14:paraId="7EC1BC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23</w:t>
                  </w:r>
                </w:p>
              </w:tc>
              <w:tc>
                <w:tcPr>
                  <w:tcW w:w="974" w:type="dxa"/>
                  <w:tcBorders>
                    <w:tl2br w:val="nil"/>
                    <w:tr2bl w:val="nil"/>
                  </w:tcBorders>
                  <w:noWrap w:val="0"/>
                  <w:vAlign w:val="center"/>
                </w:tcPr>
                <w:p w14:paraId="4A70AE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10.2</w:t>
                  </w:r>
                </w:p>
              </w:tc>
              <w:tc>
                <w:tcPr>
                  <w:tcW w:w="1104" w:type="dxa"/>
                  <w:vMerge w:val="restart"/>
                  <w:tcBorders>
                    <w:tl2br w:val="nil"/>
                    <w:tr2bl w:val="nil"/>
                  </w:tcBorders>
                  <w:noWrap w:val="0"/>
                  <w:vAlign w:val="center"/>
                </w:tcPr>
                <w:p w14:paraId="55F8AA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47.8</w:t>
                  </w:r>
                </w:p>
              </w:tc>
              <w:tc>
                <w:tcPr>
                  <w:tcW w:w="1111" w:type="dxa"/>
                  <w:vMerge w:val="restart"/>
                  <w:tcBorders>
                    <w:tl2br w:val="nil"/>
                    <w:tr2bl w:val="nil"/>
                  </w:tcBorders>
                  <w:noWrap w:val="0"/>
                  <w:vAlign w:val="center"/>
                </w:tcPr>
                <w:p w14:paraId="6008ED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Cs w:val="21"/>
                    </w:rPr>
                  </w:pPr>
                  <w:r>
                    <w:rPr>
                      <w:rFonts w:hint="eastAsia" w:cs="Times New Roman"/>
                      <w:color w:val="auto"/>
                      <w:szCs w:val="21"/>
                      <w:lang w:val="en-US" w:eastAsia="zh-CN"/>
                    </w:rPr>
                    <w:t>50/60</w:t>
                  </w:r>
                </w:p>
              </w:tc>
              <w:tc>
                <w:tcPr>
                  <w:tcW w:w="862" w:type="dxa"/>
                  <w:vMerge w:val="restart"/>
                  <w:tcBorders>
                    <w:tl2br w:val="nil"/>
                    <w:tr2bl w:val="nil"/>
                  </w:tcBorders>
                  <w:noWrap w:val="0"/>
                  <w:vAlign w:val="center"/>
                </w:tcPr>
                <w:p w14:paraId="2D39F3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Cs w:val="21"/>
                    </w:rPr>
                  </w:pPr>
                  <w:r>
                    <w:rPr>
                      <w:rFonts w:hint="eastAsia" w:cs="Times New Roman"/>
                      <w:color w:val="auto"/>
                      <w:szCs w:val="21"/>
                      <w:lang w:val="en-US" w:eastAsia="zh-CN"/>
                    </w:rPr>
                    <w:t>达标</w:t>
                  </w:r>
                </w:p>
              </w:tc>
            </w:tr>
            <w:tr w14:paraId="713B0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015FAF85">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56E6C764">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颚破机</w:t>
                  </w:r>
                </w:p>
              </w:tc>
              <w:tc>
                <w:tcPr>
                  <w:tcW w:w="1255" w:type="dxa"/>
                  <w:tcBorders>
                    <w:tl2br w:val="nil"/>
                    <w:tr2bl w:val="nil"/>
                  </w:tcBorders>
                  <w:noWrap w:val="0"/>
                  <w:vAlign w:val="center"/>
                </w:tcPr>
                <w:p w14:paraId="36AC01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51.2</w:t>
                  </w:r>
                </w:p>
              </w:tc>
              <w:tc>
                <w:tcPr>
                  <w:tcW w:w="864" w:type="dxa"/>
                  <w:tcBorders>
                    <w:tl2br w:val="nil"/>
                    <w:tr2bl w:val="nil"/>
                  </w:tcBorders>
                  <w:noWrap w:val="0"/>
                  <w:vAlign w:val="center"/>
                </w:tcPr>
                <w:p w14:paraId="7A6596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20</w:t>
                  </w:r>
                </w:p>
              </w:tc>
              <w:tc>
                <w:tcPr>
                  <w:tcW w:w="974" w:type="dxa"/>
                  <w:tcBorders>
                    <w:tl2br w:val="nil"/>
                    <w:tr2bl w:val="nil"/>
                  </w:tcBorders>
                  <w:noWrap w:val="0"/>
                  <w:vAlign w:val="center"/>
                </w:tcPr>
                <w:p w14:paraId="5B5121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25.2</w:t>
                  </w:r>
                </w:p>
              </w:tc>
              <w:tc>
                <w:tcPr>
                  <w:tcW w:w="1104" w:type="dxa"/>
                  <w:vMerge w:val="continue"/>
                  <w:tcBorders>
                    <w:tl2br w:val="nil"/>
                    <w:tr2bl w:val="nil"/>
                  </w:tcBorders>
                  <w:noWrap w:val="0"/>
                  <w:vAlign w:val="center"/>
                </w:tcPr>
                <w:p w14:paraId="45FA0C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1111" w:type="dxa"/>
                  <w:vMerge w:val="continue"/>
                  <w:tcBorders>
                    <w:tl2br w:val="nil"/>
                    <w:tr2bl w:val="nil"/>
                  </w:tcBorders>
                  <w:noWrap w:val="0"/>
                  <w:vAlign w:val="center"/>
                </w:tcPr>
                <w:p w14:paraId="7D6B50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862" w:type="dxa"/>
                  <w:vMerge w:val="continue"/>
                  <w:tcBorders>
                    <w:tl2br w:val="nil"/>
                    <w:tr2bl w:val="nil"/>
                  </w:tcBorders>
                  <w:noWrap w:val="0"/>
                  <w:vAlign w:val="center"/>
                </w:tcPr>
                <w:p w14:paraId="59BF6B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r>
            <w:tr w14:paraId="3E256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454D556D">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4085B59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#1粉碎机</w:t>
                  </w:r>
                </w:p>
              </w:tc>
              <w:tc>
                <w:tcPr>
                  <w:tcW w:w="1255" w:type="dxa"/>
                  <w:tcBorders>
                    <w:tl2br w:val="nil"/>
                    <w:tr2bl w:val="nil"/>
                  </w:tcBorders>
                  <w:noWrap w:val="0"/>
                  <w:vAlign w:val="center"/>
                </w:tcPr>
                <w:p w14:paraId="487170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cs="Times New Roman"/>
                      <w:color w:val="auto"/>
                      <w:szCs w:val="21"/>
                      <w:lang w:val="en-US" w:eastAsia="zh-CN"/>
                    </w:rPr>
                    <w:t>57.3</w:t>
                  </w:r>
                </w:p>
              </w:tc>
              <w:tc>
                <w:tcPr>
                  <w:tcW w:w="864" w:type="dxa"/>
                  <w:tcBorders>
                    <w:tl2br w:val="nil"/>
                    <w:tr2bl w:val="nil"/>
                  </w:tcBorders>
                  <w:noWrap w:val="0"/>
                  <w:vAlign w:val="center"/>
                </w:tcPr>
                <w:p w14:paraId="5EA675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10</w:t>
                  </w:r>
                </w:p>
              </w:tc>
              <w:tc>
                <w:tcPr>
                  <w:tcW w:w="974" w:type="dxa"/>
                  <w:tcBorders>
                    <w:tl2br w:val="nil"/>
                    <w:tr2bl w:val="nil"/>
                  </w:tcBorders>
                  <w:noWrap w:val="0"/>
                  <w:vAlign w:val="center"/>
                </w:tcPr>
                <w:p w14:paraId="204A86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37.3</w:t>
                  </w:r>
                </w:p>
              </w:tc>
              <w:tc>
                <w:tcPr>
                  <w:tcW w:w="1104" w:type="dxa"/>
                  <w:vMerge w:val="continue"/>
                  <w:tcBorders>
                    <w:tl2br w:val="nil"/>
                    <w:tr2bl w:val="nil"/>
                  </w:tcBorders>
                  <w:noWrap w:val="0"/>
                  <w:vAlign w:val="center"/>
                </w:tcPr>
                <w:p w14:paraId="30D4B0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1111" w:type="dxa"/>
                  <w:vMerge w:val="continue"/>
                  <w:tcBorders>
                    <w:tl2br w:val="nil"/>
                    <w:tr2bl w:val="nil"/>
                  </w:tcBorders>
                  <w:noWrap w:val="0"/>
                  <w:vAlign w:val="center"/>
                </w:tcPr>
                <w:p w14:paraId="74D8C9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862" w:type="dxa"/>
                  <w:vMerge w:val="continue"/>
                  <w:tcBorders>
                    <w:tl2br w:val="nil"/>
                    <w:tr2bl w:val="nil"/>
                  </w:tcBorders>
                  <w:noWrap w:val="0"/>
                  <w:vAlign w:val="center"/>
                </w:tcPr>
                <w:p w14:paraId="1106B6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r>
            <w:tr w14:paraId="03BC2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0344EF24">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193C184B">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#2粉碎机</w:t>
                  </w:r>
                </w:p>
              </w:tc>
              <w:tc>
                <w:tcPr>
                  <w:tcW w:w="1255" w:type="dxa"/>
                  <w:tcBorders>
                    <w:tl2br w:val="nil"/>
                    <w:tr2bl w:val="nil"/>
                  </w:tcBorders>
                  <w:noWrap w:val="0"/>
                  <w:vAlign w:val="center"/>
                </w:tcPr>
                <w:p w14:paraId="040FD9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54.4</w:t>
                  </w:r>
                </w:p>
              </w:tc>
              <w:tc>
                <w:tcPr>
                  <w:tcW w:w="864" w:type="dxa"/>
                  <w:tcBorders>
                    <w:tl2br w:val="nil"/>
                    <w:tr2bl w:val="nil"/>
                  </w:tcBorders>
                  <w:noWrap w:val="0"/>
                  <w:vAlign w:val="center"/>
                </w:tcPr>
                <w:p w14:paraId="12AEF7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12</w:t>
                  </w:r>
                </w:p>
              </w:tc>
              <w:tc>
                <w:tcPr>
                  <w:tcW w:w="974" w:type="dxa"/>
                  <w:tcBorders>
                    <w:tl2br w:val="nil"/>
                    <w:tr2bl w:val="nil"/>
                  </w:tcBorders>
                  <w:noWrap w:val="0"/>
                  <w:vAlign w:val="center"/>
                </w:tcPr>
                <w:p w14:paraId="4DDA86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32.8</w:t>
                  </w:r>
                </w:p>
              </w:tc>
              <w:tc>
                <w:tcPr>
                  <w:tcW w:w="1104" w:type="dxa"/>
                  <w:vMerge w:val="continue"/>
                  <w:tcBorders>
                    <w:tl2br w:val="nil"/>
                    <w:tr2bl w:val="nil"/>
                  </w:tcBorders>
                  <w:noWrap w:val="0"/>
                  <w:vAlign w:val="center"/>
                </w:tcPr>
                <w:p w14:paraId="3955FB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1111" w:type="dxa"/>
                  <w:vMerge w:val="continue"/>
                  <w:tcBorders>
                    <w:tl2br w:val="nil"/>
                    <w:tr2bl w:val="nil"/>
                  </w:tcBorders>
                  <w:noWrap w:val="0"/>
                  <w:vAlign w:val="center"/>
                </w:tcPr>
                <w:p w14:paraId="5CB866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862" w:type="dxa"/>
                  <w:vMerge w:val="continue"/>
                  <w:tcBorders>
                    <w:tl2br w:val="nil"/>
                    <w:tr2bl w:val="nil"/>
                  </w:tcBorders>
                  <w:noWrap w:val="0"/>
                  <w:vAlign w:val="center"/>
                </w:tcPr>
                <w:p w14:paraId="44A63A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r>
            <w:tr w14:paraId="05018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092CFFA0">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569FDA16">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#1筛分机</w:t>
                  </w:r>
                </w:p>
              </w:tc>
              <w:tc>
                <w:tcPr>
                  <w:tcW w:w="1255" w:type="dxa"/>
                  <w:tcBorders>
                    <w:tl2br w:val="nil"/>
                    <w:tr2bl w:val="nil"/>
                  </w:tcBorders>
                  <w:noWrap w:val="0"/>
                  <w:vAlign w:val="center"/>
                </w:tcPr>
                <w:p w14:paraId="04DFEC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55.3</w:t>
                  </w:r>
                </w:p>
              </w:tc>
              <w:tc>
                <w:tcPr>
                  <w:tcW w:w="864" w:type="dxa"/>
                  <w:tcBorders>
                    <w:tl2br w:val="nil"/>
                    <w:tr2bl w:val="nil"/>
                  </w:tcBorders>
                  <w:noWrap w:val="0"/>
                  <w:vAlign w:val="center"/>
                </w:tcPr>
                <w:p w14:paraId="76A70D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8</w:t>
                  </w:r>
                </w:p>
              </w:tc>
              <w:tc>
                <w:tcPr>
                  <w:tcW w:w="974" w:type="dxa"/>
                  <w:tcBorders>
                    <w:tl2br w:val="nil"/>
                    <w:tr2bl w:val="nil"/>
                  </w:tcBorders>
                  <w:noWrap w:val="0"/>
                  <w:vAlign w:val="center"/>
                </w:tcPr>
                <w:p w14:paraId="6891B5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37.2</w:t>
                  </w:r>
                </w:p>
              </w:tc>
              <w:tc>
                <w:tcPr>
                  <w:tcW w:w="1104" w:type="dxa"/>
                  <w:vMerge w:val="continue"/>
                  <w:tcBorders>
                    <w:tl2br w:val="nil"/>
                    <w:tr2bl w:val="nil"/>
                  </w:tcBorders>
                  <w:noWrap w:val="0"/>
                  <w:vAlign w:val="center"/>
                </w:tcPr>
                <w:p w14:paraId="13A5A0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1111" w:type="dxa"/>
                  <w:vMerge w:val="continue"/>
                  <w:tcBorders>
                    <w:tl2br w:val="nil"/>
                    <w:tr2bl w:val="nil"/>
                  </w:tcBorders>
                  <w:noWrap w:val="0"/>
                  <w:vAlign w:val="center"/>
                </w:tcPr>
                <w:p w14:paraId="498E40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862" w:type="dxa"/>
                  <w:vMerge w:val="continue"/>
                  <w:tcBorders>
                    <w:tl2br w:val="nil"/>
                    <w:tr2bl w:val="nil"/>
                  </w:tcBorders>
                  <w:noWrap w:val="0"/>
                  <w:vAlign w:val="center"/>
                </w:tcPr>
                <w:p w14:paraId="6E5B5C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r>
            <w:tr w14:paraId="68F3D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2200E6E9">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48FC160A">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#2筛分机</w:t>
                  </w:r>
                </w:p>
              </w:tc>
              <w:tc>
                <w:tcPr>
                  <w:tcW w:w="1255" w:type="dxa"/>
                  <w:tcBorders>
                    <w:tl2br w:val="nil"/>
                    <w:tr2bl w:val="nil"/>
                  </w:tcBorders>
                  <w:noWrap w:val="0"/>
                  <w:vAlign w:val="center"/>
                </w:tcPr>
                <w:p w14:paraId="2B4A7D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54.3</w:t>
                  </w:r>
                </w:p>
              </w:tc>
              <w:tc>
                <w:tcPr>
                  <w:tcW w:w="864" w:type="dxa"/>
                  <w:tcBorders>
                    <w:tl2br w:val="nil"/>
                    <w:tr2bl w:val="nil"/>
                  </w:tcBorders>
                  <w:noWrap w:val="0"/>
                  <w:vAlign w:val="center"/>
                </w:tcPr>
                <w:p w14:paraId="6BF9B3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10</w:t>
                  </w:r>
                </w:p>
              </w:tc>
              <w:tc>
                <w:tcPr>
                  <w:tcW w:w="974" w:type="dxa"/>
                  <w:tcBorders>
                    <w:tl2br w:val="nil"/>
                    <w:tr2bl w:val="nil"/>
                  </w:tcBorders>
                  <w:noWrap w:val="0"/>
                  <w:vAlign w:val="center"/>
                </w:tcPr>
                <w:p w14:paraId="2AF4BB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34.3</w:t>
                  </w:r>
                </w:p>
              </w:tc>
              <w:tc>
                <w:tcPr>
                  <w:tcW w:w="1104" w:type="dxa"/>
                  <w:vMerge w:val="continue"/>
                  <w:tcBorders>
                    <w:tl2br w:val="nil"/>
                    <w:tr2bl w:val="nil"/>
                  </w:tcBorders>
                  <w:noWrap w:val="0"/>
                  <w:vAlign w:val="center"/>
                </w:tcPr>
                <w:p w14:paraId="4B9F60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1111" w:type="dxa"/>
                  <w:vMerge w:val="continue"/>
                  <w:tcBorders>
                    <w:tl2br w:val="nil"/>
                    <w:tr2bl w:val="nil"/>
                  </w:tcBorders>
                  <w:noWrap w:val="0"/>
                  <w:vAlign w:val="center"/>
                </w:tcPr>
                <w:p w14:paraId="059B02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862" w:type="dxa"/>
                  <w:vMerge w:val="continue"/>
                  <w:tcBorders>
                    <w:tl2br w:val="nil"/>
                    <w:tr2bl w:val="nil"/>
                  </w:tcBorders>
                  <w:noWrap w:val="0"/>
                  <w:vAlign w:val="center"/>
                </w:tcPr>
                <w:p w14:paraId="6B95B1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r>
            <w:tr w14:paraId="73368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1C4F476A">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6491AE2D">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#1水轮</w:t>
                  </w:r>
                </w:p>
                <w:p w14:paraId="26F82676">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清洗机</w:t>
                  </w:r>
                </w:p>
              </w:tc>
              <w:tc>
                <w:tcPr>
                  <w:tcW w:w="1255" w:type="dxa"/>
                  <w:tcBorders>
                    <w:tl2br w:val="nil"/>
                    <w:tr2bl w:val="nil"/>
                  </w:tcBorders>
                  <w:noWrap w:val="0"/>
                  <w:vAlign w:val="center"/>
                </w:tcPr>
                <w:p w14:paraId="6B0A97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47.5</w:t>
                  </w:r>
                </w:p>
              </w:tc>
              <w:tc>
                <w:tcPr>
                  <w:tcW w:w="864" w:type="dxa"/>
                  <w:tcBorders>
                    <w:tl2br w:val="nil"/>
                    <w:tr2bl w:val="nil"/>
                  </w:tcBorders>
                  <w:noWrap w:val="0"/>
                  <w:vAlign w:val="center"/>
                </w:tcPr>
                <w:p w14:paraId="5F5119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10</w:t>
                  </w:r>
                </w:p>
              </w:tc>
              <w:tc>
                <w:tcPr>
                  <w:tcW w:w="974" w:type="dxa"/>
                  <w:tcBorders>
                    <w:tl2br w:val="nil"/>
                    <w:tr2bl w:val="nil"/>
                  </w:tcBorders>
                  <w:noWrap w:val="0"/>
                  <w:vAlign w:val="center"/>
                </w:tcPr>
                <w:p w14:paraId="511EB4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27.5</w:t>
                  </w:r>
                </w:p>
              </w:tc>
              <w:tc>
                <w:tcPr>
                  <w:tcW w:w="1104" w:type="dxa"/>
                  <w:vMerge w:val="continue"/>
                  <w:tcBorders>
                    <w:tl2br w:val="nil"/>
                    <w:tr2bl w:val="nil"/>
                  </w:tcBorders>
                  <w:noWrap w:val="0"/>
                  <w:vAlign w:val="center"/>
                </w:tcPr>
                <w:p w14:paraId="4B48B4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1111" w:type="dxa"/>
                  <w:vMerge w:val="continue"/>
                  <w:tcBorders>
                    <w:tl2br w:val="nil"/>
                    <w:tr2bl w:val="nil"/>
                  </w:tcBorders>
                  <w:noWrap w:val="0"/>
                  <w:vAlign w:val="center"/>
                </w:tcPr>
                <w:p w14:paraId="234E5B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862" w:type="dxa"/>
                  <w:vMerge w:val="continue"/>
                  <w:tcBorders>
                    <w:tl2br w:val="nil"/>
                    <w:tr2bl w:val="nil"/>
                  </w:tcBorders>
                  <w:noWrap w:val="0"/>
                  <w:vAlign w:val="center"/>
                </w:tcPr>
                <w:p w14:paraId="144CA6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r>
            <w:tr w14:paraId="4AC10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186876B1">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1153934A">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#2水轮</w:t>
                  </w:r>
                </w:p>
                <w:p w14:paraId="14FF8E19">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清洗机</w:t>
                  </w:r>
                </w:p>
              </w:tc>
              <w:tc>
                <w:tcPr>
                  <w:tcW w:w="1255" w:type="dxa"/>
                  <w:tcBorders>
                    <w:tl2br w:val="nil"/>
                    <w:tr2bl w:val="nil"/>
                  </w:tcBorders>
                  <w:noWrap w:val="0"/>
                  <w:vAlign w:val="center"/>
                </w:tcPr>
                <w:p w14:paraId="51F45A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46.5</w:t>
                  </w:r>
                </w:p>
              </w:tc>
              <w:tc>
                <w:tcPr>
                  <w:tcW w:w="864" w:type="dxa"/>
                  <w:tcBorders>
                    <w:tl2br w:val="nil"/>
                    <w:tr2bl w:val="nil"/>
                  </w:tcBorders>
                  <w:noWrap w:val="0"/>
                  <w:vAlign w:val="center"/>
                </w:tcPr>
                <w:p w14:paraId="6CE306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12</w:t>
                  </w:r>
                </w:p>
              </w:tc>
              <w:tc>
                <w:tcPr>
                  <w:tcW w:w="974" w:type="dxa"/>
                  <w:tcBorders>
                    <w:tl2br w:val="nil"/>
                    <w:tr2bl w:val="nil"/>
                  </w:tcBorders>
                  <w:noWrap w:val="0"/>
                  <w:vAlign w:val="center"/>
                </w:tcPr>
                <w:p w14:paraId="5860DB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24.9</w:t>
                  </w:r>
                </w:p>
              </w:tc>
              <w:tc>
                <w:tcPr>
                  <w:tcW w:w="1104" w:type="dxa"/>
                  <w:vMerge w:val="continue"/>
                  <w:tcBorders>
                    <w:tl2br w:val="nil"/>
                    <w:tr2bl w:val="nil"/>
                  </w:tcBorders>
                  <w:noWrap w:val="0"/>
                  <w:vAlign w:val="center"/>
                </w:tcPr>
                <w:p w14:paraId="42C002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1111" w:type="dxa"/>
                  <w:vMerge w:val="continue"/>
                  <w:tcBorders>
                    <w:tl2br w:val="nil"/>
                    <w:tr2bl w:val="nil"/>
                  </w:tcBorders>
                  <w:noWrap w:val="0"/>
                  <w:vAlign w:val="center"/>
                </w:tcPr>
                <w:p w14:paraId="5EE014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862" w:type="dxa"/>
                  <w:vMerge w:val="continue"/>
                  <w:tcBorders>
                    <w:tl2br w:val="nil"/>
                    <w:tr2bl w:val="nil"/>
                  </w:tcBorders>
                  <w:noWrap w:val="0"/>
                  <w:vAlign w:val="center"/>
                </w:tcPr>
                <w:p w14:paraId="733A96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r>
            <w:tr w14:paraId="14AE2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38A42922">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72A12C63">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#1脱水筛</w:t>
                  </w:r>
                </w:p>
              </w:tc>
              <w:tc>
                <w:tcPr>
                  <w:tcW w:w="1255" w:type="dxa"/>
                  <w:tcBorders>
                    <w:tl2br w:val="nil"/>
                    <w:tr2bl w:val="nil"/>
                  </w:tcBorders>
                  <w:noWrap w:val="0"/>
                  <w:vAlign w:val="center"/>
                </w:tcPr>
                <w:p w14:paraId="474253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55.7</w:t>
                  </w:r>
                </w:p>
              </w:tc>
              <w:tc>
                <w:tcPr>
                  <w:tcW w:w="864" w:type="dxa"/>
                  <w:tcBorders>
                    <w:tl2br w:val="nil"/>
                    <w:tr2bl w:val="nil"/>
                  </w:tcBorders>
                  <w:noWrap w:val="0"/>
                  <w:vAlign w:val="center"/>
                </w:tcPr>
                <w:p w14:paraId="218D7D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8</w:t>
                  </w:r>
                </w:p>
              </w:tc>
              <w:tc>
                <w:tcPr>
                  <w:tcW w:w="974" w:type="dxa"/>
                  <w:tcBorders>
                    <w:tl2br w:val="nil"/>
                    <w:tr2bl w:val="nil"/>
                  </w:tcBorders>
                  <w:noWrap w:val="0"/>
                  <w:vAlign w:val="center"/>
                </w:tcPr>
                <w:p w14:paraId="798D2F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37.6</w:t>
                  </w:r>
                </w:p>
              </w:tc>
              <w:tc>
                <w:tcPr>
                  <w:tcW w:w="1104" w:type="dxa"/>
                  <w:vMerge w:val="continue"/>
                  <w:tcBorders>
                    <w:tl2br w:val="nil"/>
                    <w:tr2bl w:val="nil"/>
                  </w:tcBorders>
                  <w:noWrap w:val="0"/>
                  <w:vAlign w:val="center"/>
                </w:tcPr>
                <w:p w14:paraId="2B16D7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1111" w:type="dxa"/>
                  <w:vMerge w:val="continue"/>
                  <w:tcBorders>
                    <w:tl2br w:val="nil"/>
                    <w:tr2bl w:val="nil"/>
                  </w:tcBorders>
                  <w:noWrap w:val="0"/>
                  <w:vAlign w:val="center"/>
                </w:tcPr>
                <w:p w14:paraId="09A309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c>
                <w:tcPr>
                  <w:tcW w:w="862" w:type="dxa"/>
                  <w:vMerge w:val="continue"/>
                  <w:tcBorders>
                    <w:tl2br w:val="nil"/>
                    <w:tr2bl w:val="nil"/>
                  </w:tcBorders>
                  <w:noWrap w:val="0"/>
                  <w:vAlign w:val="center"/>
                </w:tcPr>
                <w:p w14:paraId="14CD9E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lang w:val="en-US" w:eastAsia="zh-CN"/>
                    </w:rPr>
                  </w:pPr>
                </w:p>
              </w:tc>
            </w:tr>
            <w:tr w14:paraId="50263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688" w:type="dxa"/>
                  <w:vMerge w:val="continue"/>
                  <w:tcBorders>
                    <w:tl2br w:val="nil"/>
                    <w:tr2bl w:val="nil"/>
                  </w:tcBorders>
                  <w:noWrap w:val="0"/>
                  <w:vAlign w:val="center"/>
                </w:tcPr>
                <w:p w14:paraId="06E10630">
                  <w:pPr>
                    <w:adjustRightInd w:val="0"/>
                    <w:snapToGrid w:val="0"/>
                    <w:spacing w:line="360" w:lineRule="auto"/>
                    <w:jc w:val="center"/>
                    <w:rPr>
                      <w:rFonts w:ascii="Times New Roman" w:hAnsi="Times New Roman" w:cs="Times New Roman"/>
                    </w:rPr>
                  </w:pPr>
                </w:p>
              </w:tc>
              <w:tc>
                <w:tcPr>
                  <w:tcW w:w="1158" w:type="dxa"/>
                  <w:tcBorders>
                    <w:tl2br w:val="nil"/>
                    <w:tr2bl w:val="nil"/>
                  </w:tcBorders>
                  <w:noWrap w:val="0"/>
                  <w:vAlign w:val="center"/>
                </w:tcPr>
                <w:p w14:paraId="76C453C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#2脱水筛</w:t>
                  </w:r>
                </w:p>
              </w:tc>
              <w:tc>
                <w:tcPr>
                  <w:tcW w:w="1255" w:type="dxa"/>
                  <w:tcBorders>
                    <w:tl2br w:val="nil"/>
                    <w:tr2bl w:val="nil"/>
                  </w:tcBorders>
                  <w:noWrap w:val="0"/>
                  <w:vAlign w:val="center"/>
                </w:tcPr>
                <w:p w14:paraId="1DE0D5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54.0</w:t>
                  </w:r>
                </w:p>
              </w:tc>
              <w:tc>
                <w:tcPr>
                  <w:tcW w:w="864" w:type="dxa"/>
                  <w:tcBorders>
                    <w:tl2br w:val="nil"/>
                    <w:tr2bl w:val="nil"/>
                  </w:tcBorders>
                  <w:noWrap w:val="0"/>
                  <w:vAlign w:val="center"/>
                </w:tcPr>
                <w:p w14:paraId="0B4EBB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10</w:t>
                  </w:r>
                </w:p>
              </w:tc>
              <w:tc>
                <w:tcPr>
                  <w:tcW w:w="974" w:type="dxa"/>
                  <w:tcBorders>
                    <w:tl2br w:val="nil"/>
                    <w:tr2bl w:val="nil"/>
                  </w:tcBorders>
                  <w:noWrap w:val="0"/>
                  <w:vAlign w:val="center"/>
                </w:tcPr>
                <w:p w14:paraId="1316CF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34.0</w:t>
                  </w:r>
                </w:p>
              </w:tc>
              <w:tc>
                <w:tcPr>
                  <w:tcW w:w="1104" w:type="dxa"/>
                  <w:vMerge w:val="continue"/>
                  <w:tcBorders>
                    <w:tl2br w:val="nil"/>
                    <w:tr2bl w:val="nil"/>
                  </w:tcBorders>
                  <w:noWrap w:val="0"/>
                  <w:vAlign w:val="center"/>
                </w:tcPr>
                <w:p w14:paraId="2B3DA9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6442A5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285FB1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6F620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3" w:hRule="atLeast"/>
              </w:trPr>
              <w:tc>
                <w:tcPr>
                  <w:tcW w:w="688" w:type="dxa"/>
                  <w:vMerge w:val="continue"/>
                  <w:tcBorders>
                    <w:tl2br w:val="nil"/>
                    <w:tr2bl w:val="nil"/>
                  </w:tcBorders>
                  <w:noWrap w:val="0"/>
                  <w:vAlign w:val="center"/>
                </w:tcPr>
                <w:p w14:paraId="4BA0A3C9">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67A67D23">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#1板框</w:t>
                  </w:r>
                </w:p>
                <w:p w14:paraId="7AC49629">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压滤机</w:t>
                  </w:r>
                </w:p>
              </w:tc>
              <w:tc>
                <w:tcPr>
                  <w:tcW w:w="1255" w:type="dxa"/>
                  <w:tcBorders>
                    <w:tl2br w:val="nil"/>
                    <w:tr2bl w:val="nil"/>
                  </w:tcBorders>
                  <w:noWrap w:val="0"/>
                  <w:vAlign w:val="center"/>
                </w:tcPr>
                <w:p w14:paraId="2E527D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47.5</w:t>
                  </w:r>
                </w:p>
              </w:tc>
              <w:tc>
                <w:tcPr>
                  <w:tcW w:w="864" w:type="dxa"/>
                  <w:tcBorders>
                    <w:tl2br w:val="nil"/>
                    <w:tr2bl w:val="nil"/>
                  </w:tcBorders>
                  <w:noWrap w:val="0"/>
                  <w:vAlign w:val="center"/>
                </w:tcPr>
                <w:p w14:paraId="5BE023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szCs w:val="21"/>
                      <w:lang w:val="en-US" w:eastAsia="zh-CN"/>
                    </w:rPr>
                  </w:pPr>
                  <w:r>
                    <w:rPr>
                      <w:rFonts w:hint="eastAsia" w:cs="Times New Roman"/>
                      <w:color w:val="000000"/>
                      <w:szCs w:val="21"/>
                      <w:lang w:val="en-US" w:eastAsia="zh-CN"/>
                    </w:rPr>
                    <w:t>10</w:t>
                  </w:r>
                </w:p>
              </w:tc>
              <w:tc>
                <w:tcPr>
                  <w:tcW w:w="974" w:type="dxa"/>
                  <w:tcBorders>
                    <w:tl2br w:val="nil"/>
                    <w:tr2bl w:val="nil"/>
                  </w:tcBorders>
                  <w:noWrap w:val="0"/>
                  <w:vAlign w:val="center"/>
                </w:tcPr>
                <w:p w14:paraId="4E6586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szCs w:val="21"/>
                      <w:lang w:val="en-US" w:eastAsia="zh-CN"/>
                    </w:rPr>
                  </w:pPr>
                  <w:r>
                    <w:rPr>
                      <w:rFonts w:hint="eastAsia" w:cs="Times New Roman"/>
                      <w:color w:val="000000"/>
                      <w:szCs w:val="21"/>
                      <w:lang w:val="en-US" w:eastAsia="zh-CN"/>
                    </w:rPr>
                    <w:t>27.5</w:t>
                  </w:r>
                </w:p>
              </w:tc>
              <w:tc>
                <w:tcPr>
                  <w:tcW w:w="1104" w:type="dxa"/>
                  <w:vMerge w:val="continue"/>
                  <w:tcBorders>
                    <w:tl2br w:val="nil"/>
                    <w:tr2bl w:val="nil"/>
                  </w:tcBorders>
                  <w:noWrap w:val="0"/>
                  <w:vAlign w:val="center"/>
                </w:tcPr>
                <w:p w14:paraId="2D4A8A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789FD4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2E0AD6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5BD6E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688" w:type="dxa"/>
                  <w:vMerge w:val="continue"/>
                  <w:tcBorders>
                    <w:tl2br w:val="nil"/>
                    <w:tr2bl w:val="nil"/>
                  </w:tcBorders>
                  <w:noWrap w:val="0"/>
                  <w:vAlign w:val="center"/>
                </w:tcPr>
                <w:p w14:paraId="3A58FBBD">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10F26DEC">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#2板框</w:t>
                  </w:r>
                </w:p>
                <w:p w14:paraId="5739837B">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压滤机</w:t>
                  </w:r>
                </w:p>
              </w:tc>
              <w:tc>
                <w:tcPr>
                  <w:tcW w:w="1255" w:type="dxa"/>
                  <w:tcBorders>
                    <w:tl2br w:val="nil"/>
                    <w:tr2bl w:val="nil"/>
                  </w:tcBorders>
                  <w:noWrap w:val="0"/>
                  <w:vAlign w:val="center"/>
                </w:tcPr>
                <w:p w14:paraId="61E6B8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47.5</w:t>
                  </w:r>
                </w:p>
              </w:tc>
              <w:tc>
                <w:tcPr>
                  <w:tcW w:w="864" w:type="dxa"/>
                  <w:tcBorders>
                    <w:tl2br w:val="nil"/>
                    <w:tr2bl w:val="nil"/>
                  </w:tcBorders>
                  <w:noWrap w:val="0"/>
                  <w:vAlign w:val="center"/>
                </w:tcPr>
                <w:p w14:paraId="4A7B20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10</w:t>
                  </w:r>
                </w:p>
              </w:tc>
              <w:tc>
                <w:tcPr>
                  <w:tcW w:w="974" w:type="dxa"/>
                  <w:tcBorders>
                    <w:tl2br w:val="nil"/>
                    <w:tr2bl w:val="nil"/>
                  </w:tcBorders>
                  <w:noWrap w:val="0"/>
                  <w:vAlign w:val="center"/>
                </w:tcPr>
                <w:p w14:paraId="38205F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27.5</w:t>
                  </w:r>
                </w:p>
              </w:tc>
              <w:tc>
                <w:tcPr>
                  <w:tcW w:w="1104" w:type="dxa"/>
                  <w:vMerge w:val="continue"/>
                  <w:tcBorders>
                    <w:tl2br w:val="nil"/>
                    <w:tr2bl w:val="nil"/>
                  </w:tcBorders>
                  <w:noWrap w:val="0"/>
                  <w:vAlign w:val="center"/>
                </w:tcPr>
                <w:p w14:paraId="7FFCC2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693C16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696D51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72682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tcBorders>
                    <w:tl2br w:val="nil"/>
                    <w:tr2bl w:val="nil"/>
                  </w:tcBorders>
                  <w:noWrap w:val="0"/>
                  <w:vAlign w:val="center"/>
                </w:tcPr>
                <w:p w14:paraId="3282877C">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67E51783">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#1配料仓给料机</w:t>
                  </w:r>
                </w:p>
              </w:tc>
              <w:tc>
                <w:tcPr>
                  <w:tcW w:w="1255" w:type="dxa"/>
                  <w:tcBorders>
                    <w:tl2br w:val="nil"/>
                    <w:tr2bl w:val="nil"/>
                  </w:tcBorders>
                  <w:noWrap w:val="0"/>
                  <w:vAlign w:val="center"/>
                </w:tcPr>
                <w:p w14:paraId="6D3EB6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43.5</w:t>
                  </w:r>
                </w:p>
              </w:tc>
              <w:tc>
                <w:tcPr>
                  <w:tcW w:w="864" w:type="dxa"/>
                  <w:tcBorders>
                    <w:tl2br w:val="nil"/>
                    <w:tr2bl w:val="nil"/>
                  </w:tcBorders>
                  <w:noWrap w:val="0"/>
                  <w:vAlign w:val="center"/>
                </w:tcPr>
                <w:p w14:paraId="0D6745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30</w:t>
                  </w:r>
                </w:p>
              </w:tc>
              <w:tc>
                <w:tcPr>
                  <w:tcW w:w="974" w:type="dxa"/>
                  <w:tcBorders>
                    <w:tl2br w:val="nil"/>
                    <w:tr2bl w:val="nil"/>
                  </w:tcBorders>
                  <w:noWrap w:val="0"/>
                  <w:vAlign w:val="center"/>
                </w:tcPr>
                <w:p w14:paraId="55E570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14.0</w:t>
                  </w:r>
                </w:p>
              </w:tc>
              <w:tc>
                <w:tcPr>
                  <w:tcW w:w="1104" w:type="dxa"/>
                  <w:vMerge w:val="continue"/>
                  <w:tcBorders>
                    <w:tl2br w:val="nil"/>
                    <w:tr2bl w:val="nil"/>
                  </w:tcBorders>
                  <w:noWrap w:val="0"/>
                  <w:vAlign w:val="center"/>
                </w:tcPr>
                <w:p w14:paraId="13A27C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01BDB1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69998B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44869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tcBorders>
                    <w:tl2br w:val="nil"/>
                    <w:tr2bl w:val="nil"/>
                  </w:tcBorders>
                  <w:noWrap w:val="0"/>
                  <w:vAlign w:val="center"/>
                </w:tcPr>
                <w:p w14:paraId="4AA27529">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6EA59898">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#2配料仓给料机</w:t>
                  </w:r>
                </w:p>
              </w:tc>
              <w:tc>
                <w:tcPr>
                  <w:tcW w:w="1255" w:type="dxa"/>
                  <w:tcBorders>
                    <w:tl2br w:val="nil"/>
                    <w:tr2bl w:val="nil"/>
                  </w:tcBorders>
                  <w:shd w:val="clear" w:color="auto" w:fill="auto"/>
                  <w:noWrap w:val="0"/>
                  <w:vAlign w:val="center"/>
                </w:tcPr>
                <w:p w14:paraId="4AD6D6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39.6</w:t>
                  </w:r>
                </w:p>
              </w:tc>
              <w:tc>
                <w:tcPr>
                  <w:tcW w:w="864" w:type="dxa"/>
                  <w:tcBorders>
                    <w:tl2br w:val="nil"/>
                    <w:tr2bl w:val="nil"/>
                  </w:tcBorders>
                  <w:shd w:val="clear" w:color="auto" w:fill="auto"/>
                  <w:noWrap w:val="0"/>
                  <w:vAlign w:val="center"/>
                </w:tcPr>
                <w:p w14:paraId="43EB25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35</w:t>
                  </w:r>
                </w:p>
              </w:tc>
              <w:tc>
                <w:tcPr>
                  <w:tcW w:w="974" w:type="dxa"/>
                  <w:tcBorders>
                    <w:tl2br w:val="nil"/>
                    <w:tr2bl w:val="nil"/>
                  </w:tcBorders>
                  <w:shd w:val="clear" w:color="auto" w:fill="auto"/>
                  <w:noWrap w:val="0"/>
                  <w:vAlign w:val="center"/>
                </w:tcPr>
                <w:p w14:paraId="35E8CC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8.7</w:t>
                  </w:r>
                </w:p>
              </w:tc>
              <w:tc>
                <w:tcPr>
                  <w:tcW w:w="1104" w:type="dxa"/>
                  <w:vMerge w:val="continue"/>
                  <w:tcBorders>
                    <w:tl2br w:val="nil"/>
                    <w:tr2bl w:val="nil"/>
                  </w:tcBorders>
                  <w:noWrap w:val="0"/>
                  <w:vAlign w:val="center"/>
                </w:tcPr>
                <w:p w14:paraId="60D0DF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247C92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0FE657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0EC9E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tcBorders>
                    <w:tl2br w:val="nil"/>
                    <w:tr2bl w:val="nil"/>
                  </w:tcBorders>
                  <w:noWrap w:val="0"/>
                  <w:vAlign w:val="center"/>
                </w:tcPr>
                <w:p w14:paraId="3C83B457">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728103E2">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#3配料仓给料机</w:t>
                  </w:r>
                </w:p>
              </w:tc>
              <w:tc>
                <w:tcPr>
                  <w:tcW w:w="1255" w:type="dxa"/>
                  <w:tcBorders>
                    <w:tl2br w:val="nil"/>
                    <w:tr2bl w:val="nil"/>
                  </w:tcBorders>
                  <w:shd w:val="clear" w:color="auto" w:fill="auto"/>
                  <w:noWrap w:val="0"/>
                  <w:vAlign w:val="center"/>
                </w:tcPr>
                <w:p w14:paraId="2F09F8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39.6</w:t>
                  </w:r>
                </w:p>
              </w:tc>
              <w:tc>
                <w:tcPr>
                  <w:tcW w:w="864" w:type="dxa"/>
                  <w:tcBorders>
                    <w:tl2br w:val="nil"/>
                    <w:tr2bl w:val="nil"/>
                  </w:tcBorders>
                  <w:shd w:val="clear" w:color="auto" w:fill="auto"/>
                  <w:noWrap w:val="0"/>
                  <w:vAlign w:val="center"/>
                </w:tcPr>
                <w:p w14:paraId="4C9BEC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35</w:t>
                  </w:r>
                </w:p>
              </w:tc>
              <w:tc>
                <w:tcPr>
                  <w:tcW w:w="974" w:type="dxa"/>
                  <w:tcBorders>
                    <w:tl2br w:val="nil"/>
                    <w:tr2bl w:val="nil"/>
                  </w:tcBorders>
                  <w:shd w:val="clear" w:color="auto" w:fill="auto"/>
                  <w:noWrap w:val="0"/>
                  <w:vAlign w:val="center"/>
                </w:tcPr>
                <w:p w14:paraId="6D97F6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8.7</w:t>
                  </w:r>
                </w:p>
              </w:tc>
              <w:tc>
                <w:tcPr>
                  <w:tcW w:w="1104" w:type="dxa"/>
                  <w:vMerge w:val="continue"/>
                  <w:tcBorders>
                    <w:tl2br w:val="nil"/>
                    <w:tr2bl w:val="nil"/>
                  </w:tcBorders>
                  <w:noWrap w:val="0"/>
                  <w:vAlign w:val="center"/>
                </w:tcPr>
                <w:p w14:paraId="189C0D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094AEF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0EF635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4FFA3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tcBorders>
                    <w:tl2br w:val="nil"/>
                    <w:tr2bl w:val="nil"/>
                  </w:tcBorders>
                  <w:noWrap w:val="0"/>
                  <w:vAlign w:val="center"/>
                </w:tcPr>
                <w:p w14:paraId="1E4149A8">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7FBA375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上料机</w:t>
                  </w:r>
                </w:p>
              </w:tc>
              <w:tc>
                <w:tcPr>
                  <w:tcW w:w="1255" w:type="dxa"/>
                  <w:tcBorders>
                    <w:tl2br w:val="nil"/>
                    <w:tr2bl w:val="nil"/>
                  </w:tcBorders>
                  <w:noWrap w:val="0"/>
                  <w:vAlign w:val="center"/>
                </w:tcPr>
                <w:p w14:paraId="1ED4EF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39.3</w:t>
                  </w:r>
                </w:p>
              </w:tc>
              <w:tc>
                <w:tcPr>
                  <w:tcW w:w="864" w:type="dxa"/>
                  <w:tcBorders>
                    <w:tl2br w:val="nil"/>
                    <w:tr2bl w:val="nil"/>
                  </w:tcBorders>
                  <w:noWrap w:val="0"/>
                  <w:vAlign w:val="center"/>
                </w:tcPr>
                <w:p w14:paraId="3A3996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32</w:t>
                  </w:r>
                </w:p>
              </w:tc>
              <w:tc>
                <w:tcPr>
                  <w:tcW w:w="974" w:type="dxa"/>
                  <w:tcBorders>
                    <w:tl2br w:val="nil"/>
                    <w:tr2bl w:val="nil"/>
                  </w:tcBorders>
                  <w:noWrap w:val="0"/>
                  <w:vAlign w:val="center"/>
                </w:tcPr>
                <w:p w14:paraId="0E7231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9.2</w:t>
                  </w:r>
                </w:p>
              </w:tc>
              <w:tc>
                <w:tcPr>
                  <w:tcW w:w="1104" w:type="dxa"/>
                  <w:vMerge w:val="continue"/>
                  <w:tcBorders>
                    <w:tl2br w:val="nil"/>
                    <w:tr2bl w:val="nil"/>
                  </w:tcBorders>
                  <w:noWrap w:val="0"/>
                  <w:vAlign w:val="center"/>
                </w:tcPr>
                <w:p w14:paraId="5CF2F2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6A7C39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18F4FD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72169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88" w:type="dxa"/>
                  <w:vMerge w:val="continue"/>
                  <w:tcBorders>
                    <w:tl2br w:val="nil"/>
                    <w:tr2bl w:val="nil"/>
                  </w:tcBorders>
                  <w:noWrap w:val="0"/>
                  <w:vAlign w:val="center"/>
                </w:tcPr>
                <w:p w14:paraId="4F12FF87">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06D3D8C7">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#1水泥</w:t>
                  </w:r>
                </w:p>
                <w:p w14:paraId="20810240">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筒仓</w:t>
                  </w:r>
                </w:p>
              </w:tc>
              <w:tc>
                <w:tcPr>
                  <w:tcW w:w="1255" w:type="dxa"/>
                  <w:tcBorders>
                    <w:tl2br w:val="nil"/>
                    <w:tr2bl w:val="nil"/>
                  </w:tcBorders>
                  <w:noWrap w:val="0"/>
                  <w:vAlign w:val="center"/>
                </w:tcPr>
                <w:p w14:paraId="404362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18.2</w:t>
                  </w:r>
                </w:p>
              </w:tc>
              <w:tc>
                <w:tcPr>
                  <w:tcW w:w="864" w:type="dxa"/>
                  <w:tcBorders>
                    <w:tl2br w:val="nil"/>
                    <w:tr2bl w:val="nil"/>
                  </w:tcBorders>
                  <w:noWrap w:val="0"/>
                  <w:vAlign w:val="center"/>
                </w:tcPr>
                <w:p w14:paraId="339F5A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45</w:t>
                  </w:r>
                </w:p>
              </w:tc>
              <w:tc>
                <w:tcPr>
                  <w:tcW w:w="974" w:type="dxa"/>
                  <w:tcBorders>
                    <w:tl2br w:val="nil"/>
                    <w:tr2bl w:val="nil"/>
                  </w:tcBorders>
                  <w:noWrap w:val="0"/>
                  <w:vAlign w:val="center"/>
                </w:tcPr>
                <w:p w14:paraId="37C865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257CAE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0238D9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3B4055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EBD2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88" w:type="dxa"/>
                  <w:vMerge w:val="continue"/>
                  <w:tcBorders>
                    <w:tl2br w:val="nil"/>
                    <w:tr2bl w:val="nil"/>
                  </w:tcBorders>
                  <w:noWrap w:val="0"/>
                  <w:vAlign w:val="center"/>
                </w:tcPr>
                <w:p w14:paraId="26D8701C">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62F70A61">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#2水泥</w:t>
                  </w:r>
                </w:p>
                <w:p w14:paraId="4CBD23F8">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筒仓</w:t>
                  </w:r>
                </w:p>
              </w:tc>
              <w:tc>
                <w:tcPr>
                  <w:tcW w:w="1255" w:type="dxa"/>
                  <w:tcBorders>
                    <w:tl2br w:val="nil"/>
                    <w:tr2bl w:val="nil"/>
                  </w:tcBorders>
                  <w:noWrap w:val="0"/>
                  <w:vAlign w:val="center"/>
                </w:tcPr>
                <w:p w14:paraId="5E2DC7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18.2</w:t>
                  </w:r>
                </w:p>
              </w:tc>
              <w:tc>
                <w:tcPr>
                  <w:tcW w:w="864" w:type="dxa"/>
                  <w:tcBorders>
                    <w:tl2br w:val="nil"/>
                    <w:tr2bl w:val="nil"/>
                  </w:tcBorders>
                  <w:noWrap w:val="0"/>
                  <w:vAlign w:val="center"/>
                </w:tcPr>
                <w:p w14:paraId="4172D5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45</w:t>
                  </w:r>
                </w:p>
              </w:tc>
              <w:tc>
                <w:tcPr>
                  <w:tcW w:w="974" w:type="dxa"/>
                  <w:tcBorders>
                    <w:tl2br w:val="nil"/>
                    <w:tr2bl w:val="nil"/>
                  </w:tcBorders>
                  <w:noWrap w:val="0"/>
                  <w:vAlign w:val="center"/>
                </w:tcPr>
                <w:p w14:paraId="592FDA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tcBorders>
                    <w:tl2br w:val="nil"/>
                    <w:tr2bl w:val="nil"/>
                  </w:tcBorders>
                  <w:noWrap w:val="0"/>
                  <w:vAlign w:val="center"/>
                </w:tcPr>
                <w:p w14:paraId="2CC65D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571BE1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71159B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0DC2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88" w:type="dxa"/>
                  <w:vMerge w:val="continue"/>
                  <w:tcBorders>
                    <w:tl2br w:val="nil"/>
                    <w:tr2bl w:val="nil"/>
                  </w:tcBorders>
                  <w:noWrap w:val="0"/>
                  <w:vAlign w:val="center"/>
                </w:tcPr>
                <w:p w14:paraId="51A69CF0">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06C01AAF">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#1搅拌</w:t>
                  </w:r>
                </w:p>
                <w:p w14:paraId="4C9B85F1">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设备</w:t>
                  </w:r>
                </w:p>
              </w:tc>
              <w:tc>
                <w:tcPr>
                  <w:tcW w:w="1255" w:type="dxa"/>
                  <w:tcBorders>
                    <w:tl2br w:val="nil"/>
                    <w:tr2bl w:val="nil"/>
                  </w:tcBorders>
                  <w:noWrap w:val="0"/>
                  <w:vAlign w:val="center"/>
                </w:tcPr>
                <w:p w14:paraId="21317A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39.6</w:t>
                  </w:r>
                </w:p>
              </w:tc>
              <w:tc>
                <w:tcPr>
                  <w:tcW w:w="864" w:type="dxa"/>
                  <w:tcBorders>
                    <w:tl2br w:val="nil"/>
                    <w:tr2bl w:val="nil"/>
                  </w:tcBorders>
                  <w:noWrap w:val="0"/>
                  <w:vAlign w:val="center"/>
                </w:tcPr>
                <w:p w14:paraId="31D1A0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35</w:t>
                  </w:r>
                </w:p>
              </w:tc>
              <w:tc>
                <w:tcPr>
                  <w:tcW w:w="974" w:type="dxa"/>
                  <w:tcBorders>
                    <w:tl2br w:val="nil"/>
                    <w:tr2bl w:val="nil"/>
                  </w:tcBorders>
                  <w:noWrap w:val="0"/>
                  <w:vAlign w:val="center"/>
                </w:tcPr>
                <w:p w14:paraId="23DAF5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8.7</w:t>
                  </w:r>
                </w:p>
              </w:tc>
              <w:tc>
                <w:tcPr>
                  <w:tcW w:w="1104" w:type="dxa"/>
                  <w:vMerge w:val="continue"/>
                  <w:tcBorders>
                    <w:tl2br w:val="nil"/>
                    <w:tr2bl w:val="nil"/>
                  </w:tcBorders>
                  <w:noWrap w:val="0"/>
                  <w:vAlign w:val="center"/>
                </w:tcPr>
                <w:p w14:paraId="4A6185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078F9A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0A0C64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0A6C5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688" w:type="dxa"/>
                  <w:vMerge w:val="continue"/>
                  <w:tcBorders>
                    <w:tl2br w:val="nil"/>
                    <w:tr2bl w:val="nil"/>
                  </w:tcBorders>
                  <w:noWrap w:val="0"/>
                  <w:vAlign w:val="center"/>
                </w:tcPr>
                <w:p w14:paraId="788EB0C8">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4D876C3C">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环保设</w:t>
                  </w:r>
                </w:p>
                <w:p w14:paraId="201B7515">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备风机</w:t>
                  </w:r>
                </w:p>
              </w:tc>
              <w:tc>
                <w:tcPr>
                  <w:tcW w:w="1255" w:type="dxa"/>
                  <w:tcBorders>
                    <w:tl2br w:val="nil"/>
                    <w:tr2bl w:val="nil"/>
                  </w:tcBorders>
                  <w:noWrap w:val="0"/>
                  <w:vAlign w:val="center"/>
                </w:tcPr>
                <w:p w14:paraId="401429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69.3</w:t>
                  </w:r>
                </w:p>
              </w:tc>
              <w:tc>
                <w:tcPr>
                  <w:tcW w:w="864" w:type="dxa"/>
                  <w:tcBorders>
                    <w:tl2br w:val="nil"/>
                    <w:tr2bl w:val="nil"/>
                  </w:tcBorders>
                  <w:noWrap w:val="0"/>
                  <w:vAlign w:val="center"/>
                </w:tcPr>
                <w:p w14:paraId="3C781B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w:t>
                  </w:r>
                </w:p>
              </w:tc>
              <w:tc>
                <w:tcPr>
                  <w:tcW w:w="974" w:type="dxa"/>
                  <w:tcBorders>
                    <w:tl2br w:val="nil"/>
                    <w:tr2bl w:val="nil"/>
                  </w:tcBorders>
                  <w:noWrap w:val="0"/>
                  <w:vAlign w:val="center"/>
                </w:tcPr>
                <w:p w14:paraId="5A7CC3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55.3</w:t>
                  </w:r>
                </w:p>
              </w:tc>
              <w:tc>
                <w:tcPr>
                  <w:tcW w:w="1104" w:type="dxa"/>
                  <w:vMerge w:val="continue"/>
                  <w:tcBorders>
                    <w:tl2br w:val="nil"/>
                    <w:tr2bl w:val="nil"/>
                  </w:tcBorders>
                  <w:noWrap w:val="0"/>
                  <w:vAlign w:val="center"/>
                </w:tcPr>
                <w:p w14:paraId="6BD6A1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5AD4AF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368C15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B0AC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688" w:type="dxa"/>
                  <w:vMerge w:val="continue"/>
                  <w:tcBorders>
                    <w:tl2br w:val="nil"/>
                    <w:tr2bl w:val="nil"/>
                  </w:tcBorders>
                  <w:noWrap w:val="0"/>
                  <w:vAlign w:val="center"/>
                </w:tcPr>
                <w:p w14:paraId="588BE653">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tcBorders>
                    <w:tl2br w:val="nil"/>
                    <w:tr2bl w:val="nil"/>
                  </w:tcBorders>
                  <w:noWrap w:val="0"/>
                  <w:vAlign w:val="center"/>
                </w:tcPr>
                <w:p w14:paraId="5186FDFA">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环保设</w:t>
                  </w:r>
                </w:p>
                <w:p w14:paraId="33FC3AF4">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备风机</w:t>
                  </w:r>
                </w:p>
              </w:tc>
              <w:tc>
                <w:tcPr>
                  <w:tcW w:w="1255" w:type="dxa"/>
                  <w:tcBorders>
                    <w:tl2br w:val="nil"/>
                    <w:tr2bl w:val="nil"/>
                  </w:tcBorders>
                  <w:noWrap w:val="0"/>
                  <w:vAlign w:val="center"/>
                </w:tcPr>
                <w:p w14:paraId="277159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44.0</w:t>
                  </w:r>
                </w:p>
              </w:tc>
              <w:tc>
                <w:tcPr>
                  <w:tcW w:w="864" w:type="dxa"/>
                  <w:tcBorders>
                    <w:tl2br w:val="nil"/>
                    <w:tr2bl w:val="nil"/>
                  </w:tcBorders>
                  <w:noWrap w:val="0"/>
                  <w:vAlign w:val="center"/>
                </w:tcPr>
                <w:p w14:paraId="29EA7A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35</w:t>
                  </w:r>
                </w:p>
              </w:tc>
              <w:tc>
                <w:tcPr>
                  <w:tcW w:w="974" w:type="dxa"/>
                  <w:tcBorders>
                    <w:tl2br w:val="nil"/>
                    <w:tr2bl w:val="nil"/>
                  </w:tcBorders>
                  <w:noWrap w:val="0"/>
                  <w:vAlign w:val="center"/>
                </w:tcPr>
                <w:p w14:paraId="296995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13.1</w:t>
                  </w:r>
                </w:p>
              </w:tc>
              <w:tc>
                <w:tcPr>
                  <w:tcW w:w="1104" w:type="dxa"/>
                  <w:vMerge w:val="continue"/>
                  <w:tcBorders>
                    <w:tl2br w:val="nil"/>
                    <w:tr2bl w:val="nil"/>
                  </w:tcBorders>
                  <w:noWrap w:val="0"/>
                  <w:vAlign w:val="center"/>
                </w:tcPr>
                <w:p w14:paraId="596511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tcBorders>
                    <w:tl2br w:val="nil"/>
                    <w:tr2bl w:val="nil"/>
                  </w:tcBorders>
                  <w:noWrap w:val="0"/>
                  <w:vAlign w:val="center"/>
                </w:tcPr>
                <w:p w14:paraId="43EDA6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tcBorders>
                    <w:tl2br w:val="nil"/>
                    <w:tr2bl w:val="nil"/>
                  </w:tcBorders>
                  <w:noWrap w:val="0"/>
                  <w:vAlign w:val="center"/>
                </w:tcPr>
                <w:p w14:paraId="206505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46768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688" w:type="dxa"/>
                  <w:vMerge w:val="restart"/>
                  <w:tcBorders>
                    <w:tl2br w:val="nil"/>
                    <w:tr2bl w:val="nil"/>
                  </w:tcBorders>
                  <w:noWrap w:val="0"/>
                  <w:vAlign w:val="center"/>
                </w:tcPr>
                <w:p w14:paraId="7D83CF7E">
                  <w:pPr>
                    <w:adjustRightInd w:val="0"/>
                    <w:snapToGrid w:val="0"/>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西厂界</w:t>
                  </w:r>
                </w:p>
              </w:tc>
              <w:tc>
                <w:tcPr>
                  <w:tcW w:w="1158" w:type="dxa"/>
                  <w:tcBorders>
                    <w:tl2br w:val="nil"/>
                    <w:tr2bl w:val="nil"/>
                  </w:tcBorders>
                  <w:noWrap w:val="0"/>
                  <w:vAlign w:val="center"/>
                </w:tcPr>
                <w:p w14:paraId="57C8CDED">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lang w:val="en-US" w:eastAsia="zh-CN" w:bidi="ar-SA"/>
                    </w:rPr>
                  </w:pPr>
                  <w:r>
                    <w:rPr>
                      <w:rFonts w:hint="eastAsia" w:cs="Times New Roman"/>
                      <w:color w:val="auto"/>
                      <w:kern w:val="0"/>
                      <w:sz w:val="21"/>
                      <w:szCs w:val="21"/>
                      <w:lang w:val="en-US" w:eastAsia="zh-CN" w:bidi="ar-SA"/>
                    </w:rPr>
                    <w:t>料仓</w:t>
                  </w:r>
                </w:p>
                <w:p w14:paraId="35722C92">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喂料机</w:t>
                  </w:r>
                </w:p>
              </w:tc>
              <w:tc>
                <w:tcPr>
                  <w:tcW w:w="1255" w:type="dxa"/>
                  <w:tcBorders>
                    <w:tl2br w:val="nil"/>
                    <w:tr2bl w:val="nil"/>
                  </w:tcBorders>
                  <w:noWrap w:val="0"/>
                  <w:vAlign w:val="center"/>
                </w:tcPr>
                <w:p w14:paraId="6D31FD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42.5</w:t>
                  </w:r>
                </w:p>
              </w:tc>
              <w:tc>
                <w:tcPr>
                  <w:tcW w:w="864" w:type="dxa"/>
                  <w:tcBorders>
                    <w:tl2br w:val="nil"/>
                    <w:tr2bl w:val="nil"/>
                  </w:tcBorders>
                  <w:noWrap w:val="0"/>
                  <w:vAlign w:val="center"/>
                </w:tcPr>
                <w:p w14:paraId="156768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15</w:t>
                  </w:r>
                </w:p>
              </w:tc>
              <w:tc>
                <w:tcPr>
                  <w:tcW w:w="974" w:type="dxa"/>
                  <w:tcBorders>
                    <w:tl2br w:val="nil"/>
                    <w:tr2bl w:val="nil"/>
                  </w:tcBorders>
                  <w:noWrap w:val="0"/>
                  <w:vAlign w:val="center"/>
                </w:tcPr>
                <w:p w14:paraId="734758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19.0</w:t>
                  </w:r>
                </w:p>
              </w:tc>
              <w:tc>
                <w:tcPr>
                  <w:tcW w:w="1104" w:type="dxa"/>
                  <w:vMerge w:val="restart"/>
                  <w:tcBorders>
                    <w:tl2br w:val="nil"/>
                    <w:tr2bl w:val="nil"/>
                  </w:tcBorders>
                  <w:noWrap w:val="0"/>
                  <w:vAlign w:val="center"/>
                </w:tcPr>
                <w:p w14:paraId="60EB13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41.2</w:t>
                  </w:r>
                </w:p>
              </w:tc>
              <w:tc>
                <w:tcPr>
                  <w:tcW w:w="1111" w:type="dxa"/>
                  <w:vMerge w:val="restart"/>
                  <w:tcBorders>
                    <w:tl2br w:val="nil"/>
                    <w:tr2bl w:val="nil"/>
                  </w:tcBorders>
                  <w:noWrap w:val="0"/>
                  <w:vAlign w:val="center"/>
                </w:tcPr>
                <w:p w14:paraId="44895E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r>
                    <w:rPr>
                      <w:rFonts w:hint="eastAsia" w:cs="Times New Roman"/>
                      <w:color w:val="auto"/>
                      <w:szCs w:val="21"/>
                      <w:lang w:val="en-US" w:eastAsia="zh-CN"/>
                    </w:rPr>
                    <w:t>50/60</w:t>
                  </w:r>
                </w:p>
              </w:tc>
              <w:tc>
                <w:tcPr>
                  <w:tcW w:w="862" w:type="dxa"/>
                  <w:vMerge w:val="restart"/>
                  <w:tcBorders>
                    <w:tl2br w:val="nil"/>
                    <w:tr2bl w:val="nil"/>
                  </w:tcBorders>
                  <w:noWrap w:val="0"/>
                  <w:vAlign w:val="center"/>
                </w:tcPr>
                <w:p w14:paraId="07BFF8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达标</w:t>
                  </w:r>
                </w:p>
              </w:tc>
            </w:tr>
            <w:tr w14:paraId="64AA6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637744CD">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1EBDB884">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颚破机</w:t>
                  </w:r>
                </w:p>
              </w:tc>
              <w:tc>
                <w:tcPr>
                  <w:tcW w:w="1255" w:type="dxa"/>
                  <w:noWrap w:val="0"/>
                  <w:vAlign w:val="center"/>
                </w:tcPr>
                <w:p w14:paraId="4CA946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52.5</w:t>
                  </w:r>
                </w:p>
              </w:tc>
              <w:tc>
                <w:tcPr>
                  <w:tcW w:w="864" w:type="dxa"/>
                  <w:noWrap w:val="0"/>
                  <w:vAlign w:val="center"/>
                </w:tcPr>
                <w:p w14:paraId="7E48DD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15</w:t>
                  </w:r>
                </w:p>
              </w:tc>
              <w:tc>
                <w:tcPr>
                  <w:tcW w:w="974" w:type="dxa"/>
                  <w:noWrap w:val="0"/>
                  <w:vAlign w:val="center"/>
                </w:tcPr>
                <w:p w14:paraId="2773FC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29.0</w:t>
                  </w:r>
                </w:p>
              </w:tc>
              <w:tc>
                <w:tcPr>
                  <w:tcW w:w="1104" w:type="dxa"/>
                  <w:vMerge w:val="continue"/>
                  <w:noWrap w:val="0"/>
                  <w:vAlign w:val="center"/>
                </w:tcPr>
                <w:p w14:paraId="6D7850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7868D7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6376F0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56F01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60675AE6">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23C00CBB">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#1粉碎机</w:t>
                  </w:r>
                </w:p>
              </w:tc>
              <w:tc>
                <w:tcPr>
                  <w:tcW w:w="1255" w:type="dxa"/>
                  <w:noWrap w:val="0"/>
                  <w:vAlign w:val="center"/>
                </w:tcPr>
                <w:p w14:paraId="2B3804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51.2</w:t>
                  </w:r>
                </w:p>
              </w:tc>
              <w:tc>
                <w:tcPr>
                  <w:tcW w:w="864" w:type="dxa"/>
                  <w:noWrap w:val="0"/>
                  <w:vAlign w:val="center"/>
                </w:tcPr>
                <w:p w14:paraId="34555A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20</w:t>
                  </w:r>
                </w:p>
              </w:tc>
              <w:tc>
                <w:tcPr>
                  <w:tcW w:w="974" w:type="dxa"/>
                  <w:noWrap w:val="0"/>
                  <w:vAlign w:val="center"/>
                </w:tcPr>
                <w:p w14:paraId="33C214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25.2</w:t>
                  </w:r>
                </w:p>
              </w:tc>
              <w:tc>
                <w:tcPr>
                  <w:tcW w:w="1104" w:type="dxa"/>
                  <w:vMerge w:val="continue"/>
                  <w:noWrap w:val="0"/>
                  <w:vAlign w:val="center"/>
                </w:tcPr>
                <w:p w14:paraId="2A232B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450488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0C9110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042A1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7D302DB6">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5D4AFDBD">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#2粉碎机</w:t>
                  </w:r>
                </w:p>
              </w:tc>
              <w:tc>
                <w:tcPr>
                  <w:tcW w:w="1255" w:type="dxa"/>
                  <w:noWrap w:val="0"/>
                  <w:vAlign w:val="center"/>
                </w:tcPr>
                <w:p w14:paraId="0F3DE8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51.2</w:t>
                  </w:r>
                </w:p>
              </w:tc>
              <w:tc>
                <w:tcPr>
                  <w:tcW w:w="864" w:type="dxa"/>
                  <w:noWrap w:val="0"/>
                  <w:vAlign w:val="center"/>
                </w:tcPr>
                <w:p w14:paraId="5AD9C1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20</w:t>
                  </w:r>
                </w:p>
              </w:tc>
              <w:tc>
                <w:tcPr>
                  <w:tcW w:w="974" w:type="dxa"/>
                  <w:noWrap w:val="0"/>
                  <w:vAlign w:val="center"/>
                </w:tcPr>
                <w:p w14:paraId="394FF4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25.2</w:t>
                  </w:r>
                </w:p>
              </w:tc>
              <w:tc>
                <w:tcPr>
                  <w:tcW w:w="1104" w:type="dxa"/>
                  <w:vMerge w:val="continue"/>
                  <w:noWrap w:val="0"/>
                  <w:vAlign w:val="center"/>
                </w:tcPr>
                <w:p w14:paraId="5118F6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38A915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405ED6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3666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62CA288E">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55D3F32A">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#1筛分机</w:t>
                  </w:r>
                </w:p>
              </w:tc>
              <w:tc>
                <w:tcPr>
                  <w:tcW w:w="1255" w:type="dxa"/>
                  <w:noWrap w:val="0"/>
                  <w:vAlign w:val="center"/>
                </w:tcPr>
                <w:p w14:paraId="1E7362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32.5</w:t>
                  </w:r>
                </w:p>
              </w:tc>
              <w:tc>
                <w:tcPr>
                  <w:tcW w:w="864" w:type="dxa"/>
                  <w:noWrap w:val="0"/>
                  <w:vAlign w:val="center"/>
                </w:tcPr>
                <w:p w14:paraId="55F7F7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30</w:t>
                  </w:r>
                </w:p>
              </w:tc>
              <w:tc>
                <w:tcPr>
                  <w:tcW w:w="974" w:type="dxa"/>
                  <w:noWrap w:val="0"/>
                  <w:vAlign w:val="center"/>
                </w:tcPr>
                <w:p w14:paraId="053C17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3.0</w:t>
                  </w:r>
                </w:p>
              </w:tc>
              <w:tc>
                <w:tcPr>
                  <w:tcW w:w="1104" w:type="dxa"/>
                  <w:vMerge w:val="continue"/>
                  <w:noWrap w:val="0"/>
                  <w:vAlign w:val="center"/>
                </w:tcPr>
                <w:p w14:paraId="05E2FF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10643C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7FC2E0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6989A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4641B0D1">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273F5169">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#2筛分机</w:t>
                  </w:r>
                </w:p>
              </w:tc>
              <w:tc>
                <w:tcPr>
                  <w:tcW w:w="1255" w:type="dxa"/>
                  <w:noWrap w:val="0"/>
                  <w:vAlign w:val="center"/>
                </w:tcPr>
                <w:p w14:paraId="535F2C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32.5</w:t>
                  </w:r>
                </w:p>
              </w:tc>
              <w:tc>
                <w:tcPr>
                  <w:tcW w:w="864" w:type="dxa"/>
                  <w:noWrap w:val="0"/>
                  <w:vAlign w:val="center"/>
                </w:tcPr>
                <w:p w14:paraId="58C91E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30</w:t>
                  </w:r>
                </w:p>
              </w:tc>
              <w:tc>
                <w:tcPr>
                  <w:tcW w:w="974" w:type="dxa"/>
                  <w:noWrap w:val="0"/>
                  <w:vAlign w:val="center"/>
                </w:tcPr>
                <w:p w14:paraId="443AE0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3.0</w:t>
                  </w:r>
                </w:p>
              </w:tc>
              <w:tc>
                <w:tcPr>
                  <w:tcW w:w="1104" w:type="dxa"/>
                  <w:vMerge w:val="continue"/>
                  <w:noWrap w:val="0"/>
                  <w:vAlign w:val="center"/>
                </w:tcPr>
                <w:p w14:paraId="6A48AE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47B32A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4160B4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231C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6741D84F">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00AD2FA7">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#1水轮</w:t>
                  </w:r>
                </w:p>
                <w:p w14:paraId="7F7FDF50">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清洗机</w:t>
                  </w:r>
                </w:p>
              </w:tc>
              <w:tc>
                <w:tcPr>
                  <w:tcW w:w="1255" w:type="dxa"/>
                  <w:noWrap w:val="0"/>
                  <w:vAlign w:val="center"/>
                </w:tcPr>
                <w:p w14:paraId="787608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18.2</w:t>
                  </w:r>
                </w:p>
              </w:tc>
              <w:tc>
                <w:tcPr>
                  <w:tcW w:w="864" w:type="dxa"/>
                  <w:noWrap w:val="0"/>
                  <w:vAlign w:val="center"/>
                </w:tcPr>
                <w:p w14:paraId="1C21E7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45</w:t>
                  </w:r>
                </w:p>
              </w:tc>
              <w:tc>
                <w:tcPr>
                  <w:tcW w:w="974" w:type="dxa"/>
                  <w:noWrap w:val="0"/>
                  <w:vAlign w:val="center"/>
                </w:tcPr>
                <w:p w14:paraId="245EF1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42D9E4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567132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189DBA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9AA5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0B635BF4">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1039FCCD">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#2水轮</w:t>
                  </w:r>
                </w:p>
                <w:p w14:paraId="2F2B53F0">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清洗机</w:t>
                  </w:r>
                </w:p>
              </w:tc>
              <w:tc>
                <w:tcPr>
                  <w:tcW w:w="1255" w:type="dxa"/>
                  <w:noWrap w:val="0"/>
                  <w:vAlign w:val="center"/>
                </w:tcPr>
                <w:p w14:paraId="5C191D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18.2</w:t>
                  </w:r>
                </w:p>
              </w:tc>
              <w:tc>
                <w:tcPr>
                  <w:tcW w:w="864" w:type="dxa"/>
                  <w:noWrap w:val="0"/>
                  <w:vAlign w:val="center"/>
                </w:tcPr>
                <w:p w14:paraId="56FFAE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45</w:t>
                  </w:r>
                </w:p>
              </w:tc>
              <w:tc>
                <w:tcPr>
                  <w:tcW w:w="974" w:type="dxa"/>
                  <w:noWrap w:val="0"/>
                  <w:vAlign w:val="center"/>
                </w:tcPr>
                <w:p w14:paraId="101E55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0CCBF4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373609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6D62A9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5219F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0A313FD6">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066E16CD">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#1脱水筛</w:t>
                  </w:r>
                </w:p>
              </w:tc>
              <w:tc>
                <w:tcPr>
                  <w:tcW w:w="1255" w:type="dxa"/>
                  <w:noWrap w:val="0"/>
                  <w:vAlign w:val="center"/>
                </w:tcPr>
                <w:p w14:paraId="1E5466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15.4</w:t>
                  </w:r>
                </w:p>
              </w:tc>
              <w:tc>
                <w:tcPr>
                  <w:tcW w:w="864" w:type="dxa"/>
                  <w:noWrap w:val="0"/>
                  <w:vAlign w:val="center"/>
                </w:tcPr>
                <w:p w14:paraId="335F09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50</w:t>
                  </w:r>
                </w:p>
              </w:tc>
              <w:tc>
                <w:tcPr>
                  <w:tcW w:w="974" w:type="dxa"/>
                  <w:noWrap w:val="0"/>
                  <w:vAlign w:val="center"/>
                </w:tcPr>
                <w:p w14:paraId="4CF15C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486963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23A29A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4FA65B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13681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1B5025FB">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0836004D">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#2脱水筛</w:t>
                  </w:r>
                </w:p>
              </w:tc>
              <w:tc>
                <w:tcPr>
                  <w:tcW w:w="1255" w:type="dxa"/>
                  <w:noWrap w:val="0"/>
                  <w:vAlign w:val="center"/>
                </w:tcPr>
                <w:p w14:paraId="54F3E5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15.4</w:t>
                  </w:r>
                </w:p>
              </w:tc>
              <w:tc>
                <w:tcPr>
                  <w:tcW w:w="864" w:type="dxa"/>
                  <w:noWrap w:val="0"/>
                  <w:vAlign w:val="center"/>
                </w:tcPr>
                <w:p w14:paraId="71F2A3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50</w:t>
                  </w:r>
                </w:p>
              </w:tc>
              <w:tc>
                <w:tcPr>
                  <w:tcW w:w="974" w:type="dxa"/>
                  <w:noWrap w:val="0"/>
                  <w:vAlign w:val="center"/>
                </w:tcPr>
                <w:p w14:paraId="760801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54C378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0820DF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50D558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16DF8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688" w:type="dxa"/>
                  <w:vMerge w:val="continue"/>
                  <w:noWrap w:val="0"/>
                  <w:vAlign w:val="top"/>
                </w:tcPr>
                <w:p w14:paraId="0D7D44E8">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4FB29F57">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#1板框</w:t>
                  </w:r>
                </w:p>
                <w:p w14:paraId="03E51ED6">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压滤机</w:t>
                  </w:r>
                </w:p>
              </w:tc>
              <w:tc>
                <w:tcPr>
                  <w:tcW w:w="1255" w:type="dxa"/>
                  <w:noWrap w:val="0"/>
                  <w:vAlign w:val="center"/>
                </w:tcPr>
                <w:p w14:paraId="714293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8.7</w:t>
                  </w:r>
                </w:p>
              </w:tc>
              <w:tc>
                <w:tcPr>
                  <w:tcW w:w="864" w:type="dxa"/>
                  <w:noWrap w:val="0"/>
                  <w:vAlign w:val="center"/>
                </w:tcPr>
                <w:p w14:paraId="57FC35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60</w:t>
                  </w:r>
                </w:p>
              </w:tc>
              <w:tc>
                <w:tcPr>
                  <w:tcW w:w="974" w:type="dxa"/>
                  <w:noWrap w:val="0"/>
                  <w:vAlign w:val="center"/>
                </w:tcPr>
                <w:p w14:paraId="11BE19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6167E9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405206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03F62A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8FC3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1F5F040D">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71520071">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#2板框</w:t>
                  </w:r>
                </w:p>
                <w:p w14:paraId="78F5854C">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压滤机</w:t>
                  </w:r>
                </w:p>
              </w:tc>
              <w:tc>
                <w:tcPr>
                  <w:tcW w:w="1255" w:type="dxa"/>
                  <w:noWrap w:val="0"/>
                  <w:vAlign w:val="center"/>
                </w:tcPr>
                <w:p w14:paraId="45F17C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9.7</w:t>
                  </w:r>
                </w:p>
              </w:tc>
              <w:tc>
                <w:tcPr>
                  <w:tcW w:w="864" w:type="dxa"/>
                  <w:noWrap w:val="0"/>
                  <w:vAlign w:val="center"/>
                </w:tcPr>
                <w:p w14:paraId="2D97D5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62</w:t>
                  </w:r>
                </w:p>
              </w:tc>
              <w:tc>
                <w:tcPr>
                  <w:tcW w:w="974" w:type="dxa"/>
                  <w:noWrap w:val="0"/>
                  <w:vAlign w:val="center"/>
                </w:tcPr>
                <w:p w14:paraId="4E06C3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74523A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187D15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0C1724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0A464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noWrap w:val="0"/>
                  <w:vAlign w:val="top"/>
                </w:tcPr>
                <w:p w14:paraId="5992CAD6">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18E2E1AF">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#1配料仓给料机</w:t>
                  </w:r>
                </w:p>
              </w:tc>
              <w:tc>
                <w:tcPr>
                  <w:tcW w:w="1255" w:type="dxa"/>
                  <w:noWrap w:val="0"/>
                  <w:vAlign w:val="center"/>
                </w:tcPr>
                <w:p w14:paraId="081B2F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52.5</w:t>
                  </w:r>
                </w:p>
              </w:tc>
              <w:tc>
                <w:tcPr>
                  <w:tcW w:w="864" w:type="dxa"/>
                  <w:noWrap w:val="0"/>
                  <w:vAlign w:val="center"/>
                </w:tcPr>
                <w:p w14:paraId="480D28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15</w:t>
                  </w:r>
                </w:p>
              </w:tc>
              <w:tc>
                <w:tcPr>
                  <w:tcW w:w="974" w:type="dxa"/>
                  <w:noWrap w:val="0"/>
                  <w:vAlign w:val="center"/>
                </w:tcPr>
                <w:p w14:paraId="4D5070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29.0</w:t>
                  </w:r>
                </w:p>
              </w:tc>
              <w:tc>
                <w:tcPr>
                  <w:tcW w:w="1104" w:type="dxa"/>
                  <w:vMerge w:val="continue"/>
                  <w:noWrap w:val="0"/>
                  <w:vAlign w:val="center"/>
                </w:tcPr>
                <w:p w14:paraId="65B9AF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317E00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09CED8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5654A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noWrap w:val="0"/>
                  <w:vAlign w:val="top"/>
                </w:tcPr>
                <w:p w14:paraId="240A5AB4">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3B9E7E4A">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#2配料仓给料机</w:t>
                  </w:r>
                </w:p>
              </w:tc>
              <w:tc>
                <w:tcPr>
                  <w:tcW w:w="1255" w:type="dxa"/>
                  <w:shd w:val="clear" w:color="auto" w:fill="auto"/>
                  <w:noWrap w:val="0"/>
                  <w:vAlign w:val="center"/>
                </w:tcPr>
                <w:p w14:paraId="5B54CF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51.2</w:t>
                  </w:r>
                </w:p>
              </w:tc>
              <w:tc>
                <w:tcPr>
                  <w:tcW w:w="864" w:type="dxa"/>
                  <w:shd w:val="clear" w:color="auto" w:fill="auto"/>
                  <w:noWrap w:val="0"/>
                  <w:vAlign w:val="center"/>
                </w:tcPr>
                <w:p w14:paraId="113427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20</w:t>
                  </w:r>
                </w:p>
              </w:tc>
              <w:tc>
                <w:tcPr>
                  <w:tcW w:w="974" w:type="dxa"/>
                  <w:shd w:val="clear" w:color="auto" w:fill="auto"/>
                  <w:noWrap w:val="0"/>
                  <w:vAlign w:val="center"/>
                </w:tcPr>
                <w:p w14:paraId="074796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25.2</w:t>
                  </w:r>
                </w:p>
              </w:tc>
              <w:tc>
                <w:tcPr>
                  <w:tcW w:w="1104" w:type="dxa"/>
                  <w:vMerge w:val="continue"/>
                  <w:noWrap w:val="0"/>
                  <w:vAlign w:val="center"/>
                </w:tcPr>
                <w:p w14:paraId="594539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017E1C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5FC426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42B8E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noWrap w:val="0"/>
                  <w:vAlign w:val="top"/>
                </w:tcPr>
                <w:p w14:paraId="53E55E66">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123CB534">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#3配料仓给料机</w:t>
                  </w:r>
                </w:p>
              </w:tc>
              <w:tc>
                <w:tcPr>
                  <w:tcW w:w="1255" w:type="dxa"/>
                  <w:shd w:val="clear" w:color="auto" w:fill="auto"/>
                  <w:noWrap w:val="0"/>
                  <w:vAlign w:val="center"/>
                </w:tcPr>
                <w:p w14:paraId="7FC963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51.2</w:t>
                  </w:r>
                </w:p>
              </w:tc>
              <w:tc>
                <w:tcPr>
                  <w:tcW w:w="864" w:type="dxa"/>
                  <w:shd w:val="clear" w:color="auto" w:fill="auto"/>
                  <w:noWrap w:val="0"/>
                  <w:vAlign w:val="center"/>
                </w:tcPr>
                <w:p w14:paraId="1344B6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25</w:t>
                  </w:r>
                </w:p>
              </w:tc>
              <w:tc>
                <w:tcPr>
                  <w:tcW w:w="974" w:type="dxa"/>
                  <w:shd w:val="clear" w:color="auto" w:fill="auto"/>
                  <w:noWrap w:val="0"/>
                  <w:vAlign w:val="center"/>
                </w:tcPr>
                <w:p w14:paraId="366450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23.2</w:t>
                  </w:r>
                </w:p>
              </w:tc>
              <w:tc>
                <w:tcPr>
                  <w:tcW w:w="1104" w:type="dxa"/>
                  <w:vMerge w:val="continue"/>
                  <w:noWrap w:val="0"/>
                  <w:vAlign w:val="center"/>
                </w:tcPr>
                <w:p w14:paraId="7751D3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7A1BCD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53DFA2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DADD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688" w:type="dxa"/>
                  <w:vMerge w:val="continue"/>
                  <w:noWrap w:val="0"/>
                  <w:vAlign w:val="top"/>
                </w:tcPr>
                <w:p w14:paraId="71002D09">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6E791F07">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上料机</w:t>
                  </w:r>
                </w:p>
              </w:tc>
              <w:tc>
                <w:tcPr>
                  <w:tcW w:w="1255" w:type="dxa"/>
                  <w:noWrap w:val="0"/>
                  <w:vAlign w:val="center"/>
                </w:tcPr>
                <w:p w14:paraId="5A7BE5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46.0</w:t>
                  </w:r>
                </w:p>
              </w:tc>
              <w:tc>
                <w:tcPr>
                  <w:tcW w:w="864" w:type="dxa"/>
                  <w:noWrap w:val="0"/>
                  <w:vAlign w:val="center"/>
                </w:tcPr>
                <w:p w14:paraId="7AF247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15</w:t>
                  </w:r>
                </w:p>
              </w:tc>
              <w:tc>
                <w:tcPr>
                  <w:tcW w:w="974" w:type="dxa"/>
                  <w:noWrap w:val="0"/>
                  <w:vAlign w:val="center"/>
                </w:tcPr>
                <w:p w14:paraId="7E4D1D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22.5</w:t>
                  </w:r>
                </w:p>
              </w:tc>
              <w:tc>
                <w:tcPr>
                  <w:tcW w:w="1104" w:type="dxa"/>
                  <w:vMerge w:val="continue"/>
                  <w:noWrap w:val="0"/>
                  <w:vAlign w:val="center"/>
                </w:tcPr>
                <w:p w14:paraId="5F3330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2DC55D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34186B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0C1F4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688" w:type="dxa"/>
                  <w:vMerge w:val="continue"/>
                  <w:noWrap w:val="0"/>
                  <w:vAlign w:val="top"/>
                </w:tcPr>
                <w:p w14:paraId="1157E5A3">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5EA37C45">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#1水泥</w:t>
                  </w:r>
                </w:p>
                <w:p w14:paraId="7B8BB987">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筒仓</w:t>
                  </w:r>
                </w:p>
              </w:tc>
              <w:tc>
                <w:tcPr>
                  <w:tcW w:w="1255" w:type="dxa"/>
                  <w:noWrap w:val="0"/>
                  <w:vAlign w:val="center"/>
                </w:tcPr>
                <w:p w14:paraId="152735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42.5</w:t>
                  </w:r>
                </w:p>
              </w:tc>
              <w:tc>
                <w:tcPr>
                  <w:tcW w:w="864" w:type="dxa"/>
                  <w:noWrap w:val="0"/>
                  <w:vAlign w:val="center"/>
                </w:tcPr>
                <w:p w14:paraId="0B8462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15</w:t>
                  </w:r>
                </w:p>
              </w:tc>
              <w:tc>
                <w:tcPr>
                  <w:tcW w:w="974" w:type="dxa"/>
                  <w:noWrap w:val="0"/>
                  <w:vAlign w:val="center"/>
                </w:tcPr>
                <w:p w14:paraId="56ADC7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19.0</w:t>
                  </w:r>
                </w:p>
              </w:tc>
              <w:tc>
                <w:tcPr>
                  <w:tcW w:w="1104" w:type="dxa"/>
                  <w:vMerge w:val="continue"/>
                  <w:noWrap w:val="0"/>
                  <w:vAlign w:val="center"/>
                </w:tcPr>
                <w:p w14:paraId="1B28A6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7E63C9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15F352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6DA7B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4" w:hRule="atLeast"/>
              </w:trPr>
              <w:tc>
                <w:tcPr>
                  <w:tcW w:w="688" w:type="dxa"/>
                  <w:vMerge w:val="continue"/>
                  <w:noWrap w:val="0"/>
                  <w:vAlign w:val="top"/>
                </w:tcPr>
                <w:p w14:paraId="2DEB9C2B">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28E9B898">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#2水泥</w:t>
                  </w:r>
                </w:p>
                <w:p w14:paraId="0633DAC4">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筒仓</w:t>
                  </w:r>
                </w:p>
              </w:tc>
              <w:tc>
                <w:tcPr>
                  <w:tcW w:w="1255" w:type="dxa"/>
                  <w:noWrap w:val="0"/>
                  <w:vAlign w:val="center"/>
                </w:tcPr>
                <w:p w14:paraId="5FC99A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38.6</w:t>
                  </w:r>
                </w:p>
              </w:tc>
              <w:tc>
                <w:tcPr>
                  <w:tcW w:w="864" w:type="dxa"/>
                  <w:noWrap w:val="0"/>
                  <w:vAlign w:val="center"/>
                </w:tcPr>
                <w:p w14:paraId="56C87C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20</w:t>
                  </w:r>
                </w:p>
              </w:tc>
              <w:tc>
                <w:tcPr>
                  <w:tcW w:w="974" w:type="dxa"/>
                  <w:noWrap w:val="0"/>
                  <w:vAlign w:val="center"/>
                </w:tcPr>
                <w:p w14:paraId="0CC66D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12.6</w:t>
                  </w:r>
                </w:p>
              </w:tc>
              <w:tc>
                <w:tcPr>
                  <w:tcW w:w="1104" w:type="dxa"/>
                  <w:vMerge w:val="continue"/>
                  <w:noWrap w:val="0"/>
                  <w:vAlign w:val="center"/>
                </w:tcPr>
                <w:p w14:paraId="0E210A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40F2D0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4BF9F9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3019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688" w:type="dxa"/>
                  <w:vMerge w:val="continue"/>
                  <w:noWrap w:val="0"/>
                  <w:vAlign w:val="top"/>
                </w:tcPr>
                <w:p w14:paraId="41DA7769">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48AB1226">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#1搅拌</w:t>
                  </w:r>
                </w:p>
                <w:p w14:paraId="0D0657CC">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设备</w:t>
                  </w:r>
                </w:p>
              </w:tc>
              <w:tc>
                <w:tcPr>
                  <w:tcW w:w="1255" w:type="dxa"/>
                  <w:noWrap w:val="0"/>
                  <w:vAlign w:val="center"/>
                </w:tcPr>
                <w:p w14:paraId="4C0E60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52.5</w:t>
                  </w:r>
                </w:p>
              </w:tc>
              <w:tc>
                <w:tcPr>
                  <w:tcW w:w="864" w:type="dxa"/>
                  <w:noWrap w:val="0"/>
                  <w:vAlign w:val="center"/>
                </w:tcPr>
                <w:p w14:paraId="7CB232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15</w:t>
                  </w:r>
                </w:p>
              </w:tc>
              <w:tc>
                <w:tcPr>
                  <w:tcW w:w="974" w:type="dxa"/>
                  <w:noWrap w:val="0"/>
                  <w:vAlign w:val="center"/>
                </w:tcPr>
                <w:p w14:paraId="64F08F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29.0</w:t>
                  </w:r>
                </w:p>
              </w:tc>
              <w:tc>
                <w:tcPr>
                  <w:tcW w:w="1104" w:type="dxa"/>
                  <w:vMerge w:val="continue"/>
                  <w:noWrap w:val="0"/>
                  <w:vAlign w:val="center"/>
                </w:tcPr>
                <w:p w14:paraId="28C94F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3C8618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22E0BA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99EB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688" w:type="dxa"/>
                  <w:vMerge w:val="continue"/>
                  <w:noWrap w:val="0"/>
                  <w:vAlign w:val="top"/>
                </w:tcPr>
                <w:p w14:paraId="24AC4A40">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063D4393">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环保设</w:t>
                  </w:r>
                </w:p>
                <w:p w14:paraId="570FBCE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备风机</w:t>
                  </w:r>
                </w:p>
              </w:tc>
              <w:tc>
                <w:tcPr>
                  <w:tcW w:w="1255" w:type="dxa"/>
                  <w:noWrap w:val="0"/>
                  <w:vAlign w:val="center"/>
                </w:tcPr>
                <w:p w14:paraId="5BE9C5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51.3</w:t>
                  </w:r>
                </w:p>
              </w:tc>
              <w:tc>
                <w:tcPr>
                  <w:tcW w:w="864" w:type="dxa"/>
                  <w:noWrap w:val="0"/>
                  <w:vAlign w:val="center"/>
                </w:tcPr>
                <w:p w14:paraId="6D5592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25</w:t>
                  </w:r>
                </w:p>
              </w:tc>
              <w:tc>
                <w:tcPr>
                  <w:tcW w:w="974" w:type="dxa"/>
                  <w:noWrap w:val="0"/>
                  <w:vAlign w:val="center"/>
                </w:tcPr>
                <w:p w14:paraId="07EEB7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23.3</w:t>
                  </w:r>
                </w:p>
              </w:tc>
              <w:tc>
                <w:tcPr>
                  <w:tcW w:w="1104" w:type="dxa"/>
                  <w:vMerge w:val="continue"/>
                  <w:noWrap w:val="0"/>
                  <w:vAlign w:val="center"/>
                </w:tcPr>
                <w:p w14:paraId="637D9E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2EEACE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1E23F9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F039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688" w:type="dxa"/>
                  <w:vMerge w:val="continue"/>
                  <w:noWrap w:val="0"/>
                  <w:vAlign w:val="top"/>
                </w:tcPr>
                <w:p w14:paraId="6F59A37F">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7D3F7C3E">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环保设</w:t>
                  </w:r>
                </w:p>
                <w:p w14:paraId="0662734B">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备风机</w:t>
                  </w:r>
                </w:p>
              </w:tc>
              <w:tc>
                <w:tcPr>
                  <w:tcW w:w="1255" w:type="dxa"/>
                  <w:noWrap w:val="0"/>
                  <w:vAlign w:val="center"/>
                </w:tcPr>
                <w:p w14:paraId="5B6458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59.6</w:t>
                  </w:r>
                </w:p>
              </w:tc>
              <w:tc>
                <w:tcPr>
                  <w:tcW w:w="864" w:type="dxa"/>
                  <w:noWrap w:val="0"/>
                  <w:vAlign w:val="center"/>
                </w:tcPr>
                <w:p w14:paraId="126314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10</w:t>
                  </w:r>
                </w:p>
              </w:tc>
              <w:tc>
                <w:tcPr>
                  <w:tcW w:w="974" w:type="dxa"/>
                  <w:noWrap w:val="0"/>
                  <w:vAlign w:val="center"/>
                </w:tcPr>
                <w:p w14:paraId="009600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39.6</w:t>
                  </w:r>
                </w:p>
              </w:tc>
              <w:tc>
                <w:tcPr>
                  <w:tcW w:w="1104" w:type="dxa"/>
                  <w:vMerge w:val="continue"/>
                  <w:noWrap w:val="0"/>
                  <w:vAlign w:val="center"/>
                </w:tcPr>
                <w:p w14:paraId="4C39B8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402B4C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296839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903F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688" w:type="dxa"/>
                  <w:vMerge w:val="restart"/>
                  <w:noWrap w:val="0"/>
                  <w:vAlign w:val="center"/>
                </w:tcPr>
                <w:p w14:paraId="0B0255D5">
                  <w:pPr>
                    <w:adjustRightInd w:val="0"/>
                    <w:snapToGrid w:val="0"/>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南厂界</w:t>
                  </w:r>
                </w:p>
              </w:tc>
              <w:tc>
                <w:tcPr>
                  <w:tcW w:w="1158" w:type="dxa"/>
                  <w:noWrap w:val="0"/>
                  <w:vAlign w:val="center"/>
                </w:tcPr>
                <w:p w14:paraId="4C7DD3D2">
                  <w:pPr>
                    <w:keepNext w:val="0"/>
                    <w:keepLines w:val="0"/>
                    <w:pageBreakBefore w:val="0"/>
                    <w:kinsoku/>
                    <w:wordWrap/>
                    <w:overflowPunct/>
                    <w:topLinePunct w:val="0"/>
                    <w:autoSpaceDE/>
                    <w:autoSpaceDN/>
                    <w:bidi w:val="0"/>
                    <w:adjustRightInd/>
                    <w:spacing w:line="240" w:lineRule="auto"/>
                    <w:jc w:val="center"/>
                    <w:rPr>
                      <w:rFonts w:hint="default" w:cs="Times New Roman"/>
                      <w:color w:val="auto"/>
                      <w:kern w:val="0"/>
                      <w:sz w:val="21"/>
                      <w:szCs w:val="21"/>
                      <w:lang w:val="en-US" w:eastAsia="zh-CN" w:bidi="ar-SA"/>
                    </w:rPr>
                  </w:pPr>
                  <w:r>
                    <w:rPr>
                      <w:rFonts w:hint="eastAsia" w:cs="Times New Roman"/>
                      <w:color w:val="auto"/>
                      <w:kern w:val="0"/>
                      <w:sz w:val="21"/>
                      <w:szCs w:val="21"/>
                      <w:lang w:val="en-US" w:eastAsia="zh-CN" w:bidi="ar-SA"/>
                    </w:rPr>
                    <w:t>料仓</w:t>
                  </w:r>
                </w:p>
                <w:p w14:paraId="0D0C56C5">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喂料机</w:t>
                  </w:r>
                </w:p>
              </w:tc>
              <w:tc>
                <w:tcPr>
                  <w:tcW w:w="1255" w:type="dxa"/>
                  <w:noWrap w:val="0"/>
                  <w:vAlign w:val="center"/>
                </w:tcPr>
                <w:p w14:paraId="31D20D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28.6</w:t>
                  </w:r>
                </w:p>
              </w:tc>
              <w:tc>
                <w:tcPr>
                  <w:tcW w:w="864" w:type="dxa"/>
                  <w:noWrap w:val="0"/>
                  <w:vAlign w:val="center"/>
                </w:tcPr>
                <w:p w14:paraId="0F4497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35</w:t>
                  </w:r>
                </w:p>
              </w:tc>
              <w:tc>
                <w:tcPr>
                  <w:tcW w:w="974" w:type="dxa"/>
                  <w:noWrap w:val="0"/>
                  <w:vAlign w:val="center"/>
                </w:tcPr>
                <w:p w14:paraId="2B8D1B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restart"/>
                  <w:noWrap w:val="0"/>
                  <w:vAlign w:val="center"/>
                </w:tcPr>
                <w:p w14:paraId="5752A4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34.9</w:t>
                  </w:r>
                </w:p>
              </w:tc>
              <w:tc>
                <w:tcPr>
                  <w:tcW w:w="1111" w:type="dxa"/>
                  <w:vMerge w:val="restart"/>
                  <w:noWrap w:val="0"/>
                  <w:vAlign w:val="center"/>
                </w:tcPr>
                <w:p w14:paraId="3646AF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r>
                    <w:rPr>
                      <w:rFonts w:hint="eastAsia" w:cs="Times New Roman"/>
                      <w:color w:val="auto"/>
                      <w:szCs w:val="21"/>
                      <w:lang w:val="en-US" w:eastAsia="zh-CN"/>
                    </w:rPr>
                    <w:t>50/60</w:t>
                  </w:r>
                </w:p>
              </w:tc>
              <w:tc>
                <w:tcPr>
                  <w:tcW w:w="862" w:type="dxa"/>
                  <w:vMerge w:val="restart"/>
                  <w:noWrap w:val="0"/>
                  <w:vAlign w:val="center"/>
                </w:tcPr>
                <w:p w14:paraId="7E70EE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达标</w:t>
                  </w:r>
                </w:p>
              </w:tc>
            </w:tr>
            <w:tr w14:paraId="00687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38014FD8">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5CB491D0">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颚破机</w:t>
                  </w:r>
                </w:p>
              </w:tc>
              <w:tc>
                <w:tcPr>
                  <w:tcW w:w="1255" w:type="dxa"/>
                  <w:noWrap w:val="0"/>
                  <w:vAlign w:val="center"/>
                </w:tcPr>
                <w:p w14:paraId="67C5C2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37.5</w:t>
                  </w:r>
                </w:p>
              </w:tc>
              <w:tc>
                <w:tcPr>
                  <w:tcW w:w="864" w:type="dxa"/>
                  <w:noWrap w:val="0"/>
                  <w:vAlign w:val="center"/>
                </w:tcPr>
                <w:p w14:paraId="6DB004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38</w:t>
                  </w:r>
                </w:p>
              </w:tc>
              <w:tc>
                <w:tcPr>
                  <w:tcW w:w="974" w:type="dxa"/>
                  <w:noWrap w:val="0"/>
                  <w:vAlign w:val="center"/>
                </w:tcPr>
                <w:p w14:paraId="34F432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5.9</w:t>
                  </w:r>
                </w:p>
              </w:tc>
              <w:tc>
                <w:tcPr>
                  <w:tcW w:w="1104" w:type="dxa"/>
                  <w:vMerge w:val="continue"/>
                  <w:noWrap w:val="0"/>
                  <w:vAlign w:val="center"/>
                </w:tcPr>
                <w:p w14:paraId="73AF1D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73BACA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2F7FAA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49BC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3" w:hRule="atLeast"/>
              </w:trPr>
              <w:tc>
                <w:tcPr>
                  <w:tcW w:w="688" w:type="dxa"/>
                  <w:vMerge w:val="continue"/>
                  <w:noWrap w:val="0"/>
                  <w:vAlign w:val="top"/>
                </w:tcPr>
                <w:p w14:paraId="49E1FDDB">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573E15B2">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#1粉碎机</w:t>
                  </w:r>
                </w:p>
              </w:tc>
              <w:tc>
                <w:tcPr>
                  <w:tcW w:w="1255" w:type="dxa"/>
                  <w:noWrap w:val="0"/>
                  <w:vAlign w:val="center"/>
                </w:tcPr>
                <w:p w14:paraId="4B3047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26.8</w:t>
                  </w:r>
                </w:p>
              </w:tc>
              <w:tc>
                <w:tcPr>
                  <w:tcW w:w="864" w:type="dxa"/>
                  <w:noWrap w:val="0"/>
                  <w:vAlign w:val="center"/>
                </w:tcPr>
                <w:p w14:paraId="017C26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48</w:t>
                  </w:r>
                </w:p>
              </w:tc>
              <w:tc>
                <w:tcPr>
                  <w:tcW w:w="974" w:type="dxa"/>
                  <w:noWrap w:val="0"/>
                  <w:vAlign w:val="center"/>
                </w:tcPr>
                <w:p w14:paraId="2BDAE6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530A5C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465CC8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638726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3C09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5DCF78AD">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7BD41FFB">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#2粉碎机</w:t>
                  </w:r>
                </w:p>
              </w:tc>
              <w:tc>
                <w:tcPr>
                  <w:tcW w:w="1255" w:type="dxa"/>
                  <w:noWrap w:val="0"/>
                  <w:vAlign w:val="center"/>
                </w:tcPr>
                <w:p w14:paraId="341E86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27.3</w:t>
                  </w:r>
                </w:p>
              </w:tc>
              <w:tc>
                <w:tcPr>
                  <w:tcW w:w="864" w:type="dxa"/>
                  <w:noWrap w:val="0"/>
                  <w:vAlign w:val="center"/>
                </w:tcPr>
                <w:p w14:paraId="091902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46</w:t>
                  </w:r>
                </w:p>
              </w:tc>
              <w:tc>
                <w:tcPr>
                  <w:tcW w:w="974" w:type="dxa"/>
                  <w:noWrap w:val="0"/>
                  <w:vAlign w:val="center"/>
                </w:tcPr>
                <w:p w14:paraId="343FE0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49F104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2B8FBB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013C80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C4F7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12641009">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24772F49">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#1筛分机</w:t>
                  </w:r>
                </w:p>
              </w:tc>
              <w:tc>
                <w:tcPr>
                  <w:tcW w:w="1255" w:type="dxa"/>
                  <w:noWrap w:val="0"/>
                  <w:vAlign w:val="center"/>
                </w:tcPr>
                <w:p w14:paraId="0B0E6B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20.0</w:t>
                  </w:r>
                </w:p>
              </w:tc>
              <w:tc>
                <w:tcPr>
                  <w:tcW w:w="864" w:type="dxa"/>
                  <w:noWrap w:val="0"/>
                  <w:vAlign w:val="center"/>
                </w:tcPr>
                <w:p w14:paraId="582BCD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50</w:t>
                  </w:r>
                </w:p>
              </w:tc>
              <w:tc>
                <w:tcPr>
                  <w:tcW w:w="974" w:type="dxa"/>
                  <w:noWrap w:val="0"/>
                  <w:vAlign w:val="center"/>
                </w:tcPr>
                <w:p w14:paraId="4072EC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28E4BA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1B64BE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463BCE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17C60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60A76163">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6A069F4D">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#2筛分机</w:t>
                  </w:r>
                </w:p>
              </w:tc>
              <w:tc>
                <w:tcPr>
                  <w:tcW w:w="1255" w:type="dxa"/>
                  <w:noWrap w:val="0"/>
                  <w:vAlign w:val="center"/>
                </w:tcPr>
                <w:p w14:paraId="6B54A1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19.5</w:t>
                  </w:r>
                </w:p>
              </w:tc>
              <w:tc>
                <w:tcPr>
                  <w:tcW w:w="864" w:type="dxa"/>
                  <w:noWrap w:val="0"/>
                  <w:vAlign w:val="center"/>
                </w:tcPr>
                <w:p w14:paraId="03D969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48</w:t>
                  </w:r>
                </w:p>
              </w:tc>
              <w:tc>
                <w:tcPr>
                  <w:tcW w:w="974" w:type="dxa"/>
                  <w:noWrap w:val="0"/>
                  <w:vAlign w:val="center"/>
                </w:tcPr>
                <w:p w14:paraId="5FEFFF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633A8C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60DD1F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2379C8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4DFDF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39C856C2">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224851F8">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#1水轮</w:t>
                  </w:r>
                </w:p>
                <w:p w14:paraId="2D8BA06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清洗机</w:t>
                  </w:r>
                </w:p>
              </w:tc>
              <w:tc>
                <w:tcPr>
                  <w:tcW w:w="1255" w:type="dxa"/>
                  <w:noWrap w:val="0"/>
                  <w:vAlign w:val="center"/>
                </w:tcPr>
                <w:p w14:paraId="655A4E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16.0</w:t>
                  </w:r>
                </w:p>
              </w:tc>
              <w:tc>
                <w:tcPr>
                  <w:tcW w:w="864" w:type="dxa"/>
                  <w:noWrap w:val="0"/>
                  <w:vAlign w:val="center"/>
                </w:tcPr>
                <w:p w14:paraId="4F547F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48</w:t>
                  </w:r>
                </w:p>
              </w:tc>
              <w:tc>
                <w:tcPr>
                  <w:tcW w:w="974" w:type="dxa"/>
                  <w:noWrap w:val="0"/>
                  <w:vAlign w:val="center"/>
                </w:tcPr>
                <w:p w14:paraId="52CFA0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1A766E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608DB8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0D22E5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50F5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3" w:hRule="atLeast"/>
              </w:trPr>
              <w:tc>
                <w:tcPr>
                  <w:tcW w:w="688" w:type="dxa"/>
                  <w:vMerge w:val="continue"/>
                  <w:noWrap w:val="0"/>
                  <w:vAlign w:val="top"/>
                </w:tcPr>
                <w:p w14:paraId="74C3C2FE">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62F1AE5A">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#2水轮</w:t>
                  </w:r>
                </w:p>
                <w:p w14:paraId="312FFC50">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清洗机</w:t>
                  </w:r>
                </w:p>
              </w:tc>
              <w:tc>
                <w:tcPr>
                  <w:tcW w:w="1255" w:type="dxa"/>
                  <w:noWrap w:val="0"/>
                  <w:vAlign w:val="center"/>
                </w:tcPr>
                <w:p w14:paraId="091EAB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17.5</w:t>
                  </w:r>
                </w:p>
              </w:tc>
              <w:tc>
                <w:tcPr>
                  <w:tcW w:w="864" w:type="dxa"/>
                  <w:noWrap w:val="0"/>
                  <w:vAlign w:val="center"/>
                </w:tcPr>
                <w:p w14:paraId="666118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46</w:t>
                  </w:r>
                </w:p>
              </w:tc>
              <w:tc>
                <w:tcPr>
                  <w:tcW w:w="974" w:type="dxa"/>
                  <w:noWrap w:val="0"/>
                  <w:vAlign w:val="center"/>
                </w:tcPr>
                <w:p w14:paraId="4F91FD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1FCA79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15BE32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761C4D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A4A3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772009B3">
                  <w:pPr>
                    <w:adjustRightInd w:val="0"/>
                    <w:snapToGrid w:val="0"/>
                    <w:spacing w:line="360" w:lineRule="auto"/>
                    <w:jc w:val="both"/>
                    <w:rPr>
                      <w:rFonts w:hint="eastAsia" w:ascii="Times New Roman" w:hAnsi="Times New Roman" w:cs="Times New Roman"/>
                      <w:color w:val="auto"/>
                      <w:szCs w:val="21"/>
                      <w:lang w:val="en-US" w:eastAsia="zh-CN"/>
                    </w:rPr>
                  </w:pPr>
                </w:p>
              </w:tc>
              <w:tc>
                <w:tcPr>
                  <w:tcW w:w="1158" w:type="dxa"/>
                  <w:noWrap w:val="0"/>
                  <w:vAlign w:val="center"/>
                </w:tcPr>
                <w:p w14:paraId="33CB2F3D">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#1脱水筛</w:t>
                  </w:r>
                </w:p>
              </w:tc>
              <w:tc>
                <w:tcPr>
                  <w:tcW w:w="1255" w:type="dxa"/>
                  <w:noWrap w:val="0"/>
                  <w:vAlign w:val="center"/>
                </w:tcPr>
                <w:p w14:paraId="0C1D0F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15.4</w:t>
                  </w:r>
                </w:p>
              </w:tc>
              <w:tc>
                <w:tcPr>
                  <w:tcW w:w="864" w:type="dxa"/>
                  <w:noWrap w:val="0"/>
                  <w:vAlign w:val="center"/>
                </w:tcPr>
                <w:p w14:paraId="747303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50</w:t>
                  </w:r>
                </w:p>
              </w:tc>
              <w:tc>
                <w:tcPr>
                  <w:tcW w:w="974" w:type="dxa"/>
                  <w:noWrap w:val="0"/>
                  <w:vAlign w:val="center"/>
                </w:tcPr>
                <w:p w14:paraId="7AC3BD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6454B9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174B76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738C9A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A048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0E39303E">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41B800C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#2脱水筛</w:t>
                  </w:r>
                </w:p>
              </w:tc>
              <w:tc>
                <w:tcPr>
                  <w:tcW w:w="1255" w:type="dxa"/>
                  <w:noWrap w:val="0"/>
                  <w:vAlign w:val="center"/>
                </w:tcPr>
                <w:p w14:paraId="2FA66A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17.5</w:t>
                  </w:r>
                </w:p>
              </w:tc>
              <w:tc>
                <w:tcPr>
                  <w:tcW w:w="864" w:type="dxa"/>
                  <w:noWrap w:val="0"/>
                  <w:vAlign w:val="center"/>
                </w:tcPr>
                <w:p w14:paraId="157633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48</w:t>
                  </w:r>
                </w:p>
              </w:tc>
              <w:tc>
                <w:tcPr>
                  <w:tcW w:w="974" w:type="dxa"/>
                  <w:noWrap w:val="0"/>
                  <w:vAlign w:val="center"/>
                </w:tcPr>
                <w:p w14:paraId="482D09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6F80CF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11DE7B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26DC6E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166E8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688" w:type="dxa"/>
                  <w:vMerge w:val="continue"/>
                  <w:noWrap w:val="0"/>
                  <w:vAlign w:val="top"/>
                </w:tcPr>
                <w:p w14:paraId="5E1A96D3">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734ACD29">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#1板框</w:t>
                  </w:r>
                </w:p>
                <w:p w14:paraId="1E9EBF90">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压滤机</w:t>
                  </w:r>
                </w:p>
              </w:tc>
              <w:tc>
                <w:tcPr>
                  <w:tcW w:w="1255" w:type="dxa"/>
                  <w:noWrap w:val="0"/>
                  <w:vAlign w:val="center"/>
                </w:tcPr>
                <w:p w14:paraId="04DEAE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16.0</w:t>
                  </w:r>
                </w:p>
              </w:tc>
              <w:tc>
                <w:tcPr>
                  <w:tcW w:w="864" w:type="dxa"/>
                  <w:noWrap w:val="0"/>
                  <w:vAlign w:val="center"/>
                </w:tcPr>
                <w:p w14:paraId="3E5804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48</w:t>
                  </w:r>
                </w:p>
              </w:tc>
              <w:tc>
                <w:tcPr>
                  <w:tcW w:w="974" w:type="dxa"/>
                  <w:noWrap w:val="0"/>
                  <w:vAlign w:val="center"/>
                </w:tcPr>
                <w:p w14:paraId="39F305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7D1660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71956A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19E264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1E58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688" w:type="dxa"/>
                  <w:vMerge w:val="continue"/>
                  <w:noWrap w:val="0"/>
                  <w:vAlign w:val="top"/>
                </w:tcPr>
                <w:p w14:paraId="7C456D43">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277AC47F">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#2板框</w:t>
                  </w:r>
                </w:p>
                <w:p w14:paraId="09BFEACD">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压滤机</w:t>
                  </w:r>
                </w:p>
              </w:tc>
              <w:tc>
                <w:tcPr>
                  <w:tcW w:w="1255" w:type="dxa"/>
                  <w:noWrap w:val="0"/>
                  <w:vAlign w:val="center"/>
                </w:tcPr>
                <w:p w14:paraId="2AF392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16.0</w:t>
                  </w:r>
                </w:p>
              </w:tc>
              <w:tc>
                <w:tcPr>
                  <w:tcW w:w="864" w:type="dxa"/>
                  <w:noWrap w:val="0"/>
                  <w:vAlign w:val="center"/>
                </w:tcPr>
                <w:p w14:paraId="279389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48</w:t>
                  </w:r>
                </w:p>
              </w:tc>
              <w:tc>
                <w:tcPr>
                  <w:tcW w:w="974" w:type="dxa"/>
                  <w:noWrap w:val="0"/>
                  <w:vAlign w:val="center"/>
                </w:tcPr>
                <w:p w14:paraId="464D7D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2912BB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2362F6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7812C7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25ECC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88" w:type="dxa"/>
                  <w:vMerge w:val="continue"/>
                  <w:noWrap w:val="0"/>
                  <w:vAlign w:val="top"/>
                </w:tcPr>
                <w:p w14:paraId="1B9F8EDA">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00FCCF26">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#1配料仓给料机</w:t>
                  </w:r>
                </w:p>
              </w:tc>
              <w:tc>
                <w:tcPr>
                  <w:tcW w:w="1255" w:type="dxa"/>
                  <w:noWrap w:val="0"/>
                  <w:vAlign w:val="center"/>
                </w:tcPr>
                <w:p w14:paraId="3E75EC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46.2</w:t>
                  </w:r>
                </w:p>
              </w:tc>
              <w:tc>
                <w:tcPr>
                  <w:tcW w:w="864" w:type="dxa"/>
                  <w:noWrap w:val="0"/>
                  <w:vAlign w:val="center"/>
                </w:tcPr>
                <w:p w14:paraId="24E55A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25</w:t>
                  </w:r>
                </w:p>
              </w:tc>
              <w:tc>
                <w:tcPr>
                  <w:tcW w:w="974" w:type="dxa"/>
                  <w:noWrap w:val="0"/>
                  <w:vAlign w:val="center"/>
                </w:tcPr>
                <w:p w14:paraId="616977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18.2</w:t>
                  </w:r>
                </w:p>
              </w:tc>
              <w:tc>
                <w:tcPr>
                  <w:tcW w:w="1104" w:type="dxa"/>
                  <w:vMerge w:val="continue"/>
                  <w:noWrap w:val="0"/>
                  <w:vAlign w:val="center"/>
                </w:tcPr>
                <w:p w14:paraId="6586C4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0E0D61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775B90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7DB28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88" w:type="dxa"/>
                  <w:vMerge w:val="continue"/>
                  <w:noWrap w:val="0"/>
                  <w:vAlign w:val="top"/>
                </w:tcPr>
                <w:p w14:paraId="73A32DC0">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51F68876">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#2配料仓给料机</w:t>
                  </w:r>
                </w:p>
              </w:tc>
              <w:tc>
                <w:tcPr>
                  <w:tcW w:w="1255" w:type="dxa"/>
                  <w:shd w:val="clear" w:color="auto" w:fill="auto"/>
                  <w:noWrap w:val="0"/>
                  <w:vAlign w:val="center"/>
                </w:tcPr>
                <w:p w14:paraId="257028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51.2</w:t>
                  </w:r>
                </w:p>
              </w:tc>
              <w:tc>
                <w:tcPr>
                  <w:tcW w:w="864" w:type="dxa"/>
                  <w:shd w:val="clear" w:color="auto" w:fill="auto"/>
                  <w:noWrap w:val="0"/>
                  <w:vAlign w:val="center"/>
                </w:tcPr>
                <w:p w14:paraId="4D9B0D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20</w:t>
                  </w:r>
                </w:p>
              </w:tc>
              <w:tc>
                <w:tcPr>
                  <w:tcW w:w="974" w:type="dxa"/>
                  <w:shd w:val="clear" w:color="auto" w:fill="auto"/>
                  <w:noWrap w:val="0"/>
                  <w:vAlign w:val="center"/>
                </w:tcPr>
                <w:p w14:paraId="61C242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25.2</w:t>
                  </w:r>
                </w:p>
              </w:tc>
              <w:tc>
                <w:tcPr>
                  <w:tcW w:w="1104" w:type="dxa"/>
                  <w:vMerge w:val="continue"/>
                  <w:noWrap w:val="0"/>
                  <w:vAlign w:val="center"/>
                </w:tcPr>
                <w:p w14:paraId="03B521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106DB1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63D5BA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010D4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88" w:type="dxa"/>
                  <w:vMerge w:val="continue"/>
                  <w:noWrap w:val="0"/>
                  <w:vAlign w:val="top"/>
                </w:tcPr>
                <w:p w14:paraId="212181AF">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3F28DBCB">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#3配料仓给料机</w:t>
                  </w:r>
                </w:p>
              </w:tc>
              <w:tc>
                <w:tcPr>
                  <w:tcW w:w="1255" w:type="dxa"/>
                  <w:shd w:val="clear" w:color="auto" w:fill="auto"/>
                  <w:noWrap w:val="0"/>
                  <w:vAlign w:val="center"/>
                </w:tcPr>
                <w:p w14:paraId="41A726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51.2</w:t>
                  </w:r>
                </w:p>
              </w:tc>
              <w:tc>
                <w:tcPr>
                  <w:tcW w:w="864" w:type="dxa"/>
                  <w:shd w:val="clear" w:color="auto" w:fill="auto"/>
                  <w:noWrap w:val="0"/>
                  <w:vAlign w:val="center"/>
                </w:tcPr>
                <w:p w14:paraId="1E1BF0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20</w:t>
                  </w:r>
                </w:p>
              </w:tc>
              <w:tc>
                <w:tcPr>
                  <w:tcW w:w="974" w:type="dxa"/>
                  <w:shd w:val="clear" w:color="auto" w:fill="auto"/>
                  <w:noWrap w:val="0"/>
                  <w:vAlign w:val="center"/>
                </w:tcPr>
                <w:p w14:paraId="67DCE1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25.2</w:t>
                  </w:r>
                </w:p>
              </w:tc>
              <w:tc>
                <w:tcPr>
                  <w:tcW w:w="1104" w:type="dxa"/>
                  <w:vMerge w:val="continue"/>
                  <w:noWrap w:val="0"/>
                  <w:vAlign w:val="center"/>
                </w:tcPr>
                <w:p w14:paraId="45C373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759E2B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1A6CA0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0CC18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688" w:type="dxa"/>
                  <w:vMerge w:val="continue"/>
                  <w:noWrap w:val="0"/>
                  <w:vAlign w:val="top"/>
                </w:tcPr>
                <w:p w14:paraId="2355BF31">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580D2852">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上料机</w:t>
                  </w:r>
                </w:p>
              </w:tc>
              <w:tc>
                <w:tcPr>
                  <w:tcW w:w="1255" w:type="dxa"/>
                  <w:noWrap w:val="0"/>
                  <w:vAlign w:val="center"/>
                </w:tcPr>
                <w:p w14:paraId="188048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41.0</w:t>
                  </w:r>
                </w:p>
              </w:tc>
              <w:tc>
                <w:tcPr>
                  <w:tcW w:w="864" w:type="dxa"/>
                  <w:noWrap w:val="0"/>
                  <w:vAlign w:val="center"/>
                </w:tcPr>
                <w:p w14:paraId="396383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23</w:t>
                  </w:r>
                </w:p>
              </w:tc>
              <w:tc>
                <w:tcPr>
                  <w:tcW w:w="974" w:type="dxa"/>
                  <w:noWrap w:val="0"/>
                  <w:vAlign w:val="center"/>
                </w:tcPr>
                <w:p w14:paraId="084A3E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13.8</w:t>
                  </w:r>
                </w:p>
              </w:tc>
              <w:tc>
                <w:tcPr>
                  <w:tcW w:w="1104" w:type="dxa"/>
                  <w:vMerge w:val="continue"/>
                  <w:noWrap w:val="0"/>
                  <w:vAlign w:val="center"/>
                </w:tcPr>
                <w:p w14:paraId="5C44EC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186ADD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5A93CC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429B7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7" w:hRule="atLeast"/>
              </w:trPr>
              <w:tc>
                <w:tcPr>
                  <w:tcW w:w="688" w:type="dxa"/>
                  <w:vMerge w:val="continue"/>
                  <w:noWrap w:val="0"/>
                  <w:vAlign w:val="top"/>
                </w:tcPr>
                <w:p w14:paraId="215E2646">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47D93DF4">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#1水泥</w:t>
                  </w:r>
                </w:p>
                <w:p w14:paraId="2712C8A2">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筒仓</w:t>
                  </w:r>
                </w:p>
              </w:tc>
              <w:tc>
                <w:tcPr>
                  <w:tcW w:w="1255" w:type="dxa"/>
                  <w:noWrap w:val="0"/>
                  <w:vAlign w:val="center"/>
                </w:tcPr>
                <w:p w14:paraId="787C63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47.5</w:t>
                  </w:r>
                </w:p>
              </w:tc>
              <w:tc>
                <w:tcPr>
                  <w:tcW w:w="864" w:type="dxa"/>
                  <w:noWrap w:val="0"/>
                  <w:vAlign w:val="center"/>
                </w:tcPr>
                <w:p w14:paraId="58153B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10</w:t>
                  </w:r>
                </w:p>
              </w:tc>
              <w:tc>
                <w:tcPr>
                  <w:tcW w:w="974" w:type="dxa"/>
                  <w:noWrap w:val="0"/>
                  <w:vAlign w:val="center"/>
                </w:tcPr>
                <w:p w14:paraId="3B25EF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27.5</w:t>
                  </w:r>
                </w:p>
              </w:tc>
              <w:tc>
                <w:tcPr>
                  <w:tcW w:w="1104" w:type="dxa"/>
                  <w:vMerge w:val="continue"/>
                  <w:noWrap w:val="0"/>
                  <w:vAlign w:val="center"/>
                </w:tcPr>
                <w:p w14:paraId="2AC88B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518927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56589A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1E74A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688" w:type="dxa"/>
                  <w:vMerge w:val="continue"/>
                  <w:noWrap w:val="0"/>
                  <w:vAlign w:val="top"/>
                </w:tcPr>
                <w:p w14:paraId="535373A6">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754D70D4">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#2水泥</w:t>
                  </w:r>
                </w:p>
                <w:p w14:paraId="72B5CD88">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筒仓</w:t>
                  </w:r>
                </w:p>
              </w:tc>
              <w:tc>
                <w:tcPr>
                  <w:tcW w:w="1255" w:type="dxa"/>
                  <w:noWrap w:val="0"/>
                  <w:vAlign w:val="center"/>
                </w:tcPr>
                <w:p w14:paraId="7E43CD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47.5</w:t>
                  </w:r>
                </w:p>
              </w:tc>
              <w:tc>
                <w:tcPr>
                  <w:tcW w:w="864" w:type="dxa"/>
                  <w:noWrap w:val="0"/>
                  <w:vAlign w:val="center"/>
                </w:tcPr>
                <w:p w14:paraId="12D8FC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10</w:t>
                  </w:r>
                </w:p>
              </w:tc>
              <w:tc>
                <w:tcPr>
                  <w:tcW w:w="974" w:type="dxa"/>
                  <w:noWrap w:val="0"/>
                  <w:vAlign w:val="center"/>
                </w:tcPr>
                <w:p w14:paraId="46D612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27.5</w:t>
                  </w:r>
                </w:p>
              </w:tc>
              <w:tc>
                <w:tcPr>
                  <w:tcW w:w="1104" w:type="dxa"/>
                  <w:vMerge w:val="continue"/>
                  <w:noWrap w:val="0"/>
                  <w:vAlign w:val="center"/>
                </w:tcPr>
                <w:p w14:paraId="4E6ED4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7C4D00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557071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6DB04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88" w:type="dxa"/>
                  <w:vMerge w:val="continue"/>
                  <w:noWrap w:val="0"/>
                  <w:vAlign w:val="top"/>
                </w:tcPr>
                <w:p w14:paraId="668F89F0">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5CB0185C">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#1搅拌</w:t>
                  </w:r>
                </w:p>
                <w:p w14:paraId="7448952A">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设备</w:t>
                  </w:r>
                </w:p>
              </w:tc>
              <w:tc>
                <w:tcPr>
                  <w:tcW w:w="1255" w:type="dxa"/>
                  <w:noWrap w:val="0"/>
                  <w:vAlign w:val="center"/>
                </w:tcPr>
                <w:p w14:paraId="5EAA38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51.2</w:t>
                  </w:r>
                </w:p>
              </w:tc>
              <w:tc>
                <w:tcPr>
                  <w:tcW w:w="864" w:type="dxa"/>
                  <w:noWrap w:val="0"/>
                  <w:vAlign w:val="center"/>
                </w:tcPr>
                <w:p w14:paraId="435E48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20</w:t>
                  </w:r>
                </w:p>
              </w:tc>
              <w:tc>
                <w:tcPr>
                  <w:tcW w:w="974" w:type="dxa"/>
                  <w:noWrap w:val="0"/>
                  <w:vAlign w:val="center"/>
                </w:tcPr>
                <w:p w14:paraId="5CB8B1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25.2</w:t>
                  </w:r>
                </w:p>
              </w:tc>
              <w:tc>
                <w:tcPr>
                  <w:tcW w:w="1104" w:type="dxa"/>
                  <w:vMerge w:val="continue"/>
                  <w:noWrap w:val="0"/>
                  <w:vAlign w:val="center"/>
                </w:tcPr>
                <w:p w14:paraId="290838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501CA6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4CA10D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366C7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688" w:type="dxa"/>
                  <w:vMerge w:val="continue"/>
                  <w:noWrap w:val="0"/>
                  <w:vAlign w:val="top"/>
                </w:tcPr>
                <w:p w14:paraId="35BA489F">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19F4EF3D">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环保设</w:t>
                  </w:r>
                </w:p>
                <w:p w14:paraId="62874506">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备风机</w:t>
                  </w:r>
                </w:p>
              </w:tc>
              <w:tc>
                <w:tcPr>
                  <w:tcW w:w="1255" w:type="dxa"/>
                  <w:noWrap w:val="0"/>
                  <w:vAlign w:val="center"/>
                </w:tcPr>
                <w:p w14:paraId="4620B9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33.0</w:t>
                  </w:r>
                </w:p>
              </w:tc>
              <w:tc>
                <w:tcPr>
                  <w:tcW w:w="864" w:type="dxa"/>
                  <w:noWrap w:val="0"/>
                  <w:vAlign w:val="center"/>
                </w:tcPr>
                <w:p w14:paraId="2B0803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53</w:t>
                  </w:r>
                </w:p>
              </w:tc>
              <w:tc>
                <w:tcPr>
                  <w:tcW w:w="974" w:type="dxa"/>
                  <w:noWrap w:val="0"/>
                  <w:vAlign w:val="center"/>
                </w:tcPr>
                <w:p w14:paraId="369EFE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0</w:t>
                  </w:r>
                </w:p>
              </w:tc>
              <w:tc>
                <w:tcPr>
                  <w:tcW w:w="1104" w:type="dxa"/>
                  <w:vMerge w:val="continue"/>
                  <w:noWrap w:val="0"/>
                  <w:vAlign w:val="center"/>
                </w:tcPr>
                <w:p w14:paraId="31584B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539815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235442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r w14:paraId="07139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688" w:type="dxa"/>
                  <w:vMerge w:val="continue"/>
                  <w:noWrap w:val="0"/>
                  <w:vAlign w:val="top"/>
                </w:tcPr>
                <w:p w14:paraId="6EC0BB5F">
                  <w:pPr>
                    <w:adjustRightInd w:val="0"/>
                    <w:snapToGrid w:val="0"/>
                    <w:spacing w:line="360" w:lineRule="auto"/>
                    <w:jc w:val="center"/>
                    <w:rPr>
                      <w:rFonts w:hint="eastAsia" w:ascii="Times New Roman" w:hAnsi="Times New Roman" w:cs="Times New Roman"/>
                      <w:color w:val="auto"/>
                      <w:szCs w:val="21"/>
                      <w:lang w:val="en-US" w:eastAsia="zh-CN"/>
                    </w:rPr>
                  </w:pPr>
                </w:p>
              </w:tc>
              <w:tc>
                <w:tcPr>
                  <w:tcW w:w="1158" w:type="dxa"/>
                  <w:noWrap w:val="0"/>
                  <w:vAlign w:val="center"/>
                </w:tcPr>
                <w:p w14:paraId="0D1D3049">
                  <w:pPr>
                    <w:keepNext w:val="0"/>
                    <w:keepLines w:val="0"/>
                    <w:pageBreakBefore w:val="0"/>
                    <w:kinsoku/>
                    <w:wordWrap/>
                    <w:overflowPunct/>
                    <w:topLinePunct w:val="0"/>
                    <w:autoSpaceDE/>
                    <w:autoSpaceDN/>
                    <w:bidi w:val="0"/>
                    <w:adjustRightInd/>
                    <w:spacing w:line="24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环保设</w:t>
                  </w:r>
                </w:p>
                <w:p w14:paraId="04C77E61">
                  <w:pPr>
                    <w:keepNext w:val="0"/>
                    <w:keepLines w:val="0"/>
                    <w:pageBreakBefore w:val="0"/>
                    <w:kinsoku/>
                    <w:wordWrap/>
                    <w:overflowPunct/>
                    <w:topLinePunct w:val="0"/>
                    <w:autoSpaceDE/>
                    <w:autoSpaceDN/>
                    <w:bidi w:val="0"/>
                    <w:adjustRightInd/>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备风机</w:t>
                  </w:r>
                </w:p>
              </w:tc>
              <w:tc>
                <w:tcPr>
                  <w:tcW w:w="1255" w:type="dxa"/>
                  <w:noWrap w:val="0"/>
                  <w:vAlign w:val="center"/>
                </w:tcPr>
                <w:p w14:paraId="1D1188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55.2</w:t>
                  </w:r>
                </w:p>
              </w:tc>
              <w:tc>
                <w:tcPr>
                  <w:tcW w:w="864" w:type="dxa"/>
                  <w:noWrap w:val="0"/>
                  <w:vAlign w:val="center"/>
                </w:tcPr>
                <w:p w14:paraId="240045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20</w:t>
                  </w:r>
                </w:p>
              </w:tc>
              <w:tc>
                <w:tcPr>
                  <w:tcW w:w="974" w:type="dxa"/>
                  <w:noWrap w:val="0"/>
                  <w:vAlign w:val="center"/>
                </w:tcPr>
                <w:p w14:paraId="727A32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29.2</w:t>
                  </w:r>
                </w:p>
              </w:tc>
              <w:tc>
                <w:tcPr>
                  <w:tcW w:w="1104" w:type="dxa"/>
                  <w:vMerge w:val="continue"/>
                  <w:noWrap w:val="0"/>
                  <w:vAlign w:val="center"/>
                </w:tcPr>
                <w:p w14:paraId="7AB84B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1111" w:type="dxa"/>
                  <w:vMerge w:val="continue"/>
                  <w:noWrap w:val="0"/>
                  <w:vAlign w:val="center"/>
                </w:tcPr>
                <w:p w14:paraId="047BF7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c>
                <w:tcPr>
                  <w:tcW w:w="862" w:type="dxa"/>
                  <w:vMerge w:val="continue"/>
                  <w:noWrap w:val="0"/>
                  <w:vAlign w:val="center"/>
                </w:tcPr>
                <w:p w14:paraId="068B69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lang w:val="en-US" w:eastAsia="zh-CN"/>
                    </w:rPr>
                  </w:pPr>
                </w:p>
              </w:tc>
            </w:tr>
          </w:tbl>
          <w:p w14:paraId="6671A6F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由表</w:t>
            </w:r>
            <w:r>
              <w:rPr>
                <w:rFonts w:hint="eastAsia" w:cs="Times New Roman"/>
                <w:color w:val="auto"/>
                <w:sz w:val="24"/>
                <w:szCs w:val="24"/>
                <w:highlight w:val="none"/>
                <w:lang w:val="en-US" w:eastAsia="zh-CN"/>
              </w:rPr>
              <w:t>4-13</w:t>
            </w:r>
            <w:r>
              <w:rPr>
                <w:rFonts w:ascii="Times New Roman" w:hAnsi="Times New Roman" w:cs="Times New Roman"/>
                <w:color w:val="auto"/>
                <w:sz w:val="24"/>
                <w:szCs w:val="24"/>
                <w:highlight w:val="none"/>
              </w:rPr>
              <w:t>可知，运营期对本工程噪声源采取降噪措施后</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生产时间一般都为白天</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厂界</w:t>
            </w:r>
            <w:r>
              <w:rPr>
                <w:rFonts w:hint="eastAsia" w:cs="Times New Roman"/>
                <w:color w:val="auto"/>
                <w:sz w:val="24"/>
                <w:szCs w:val="24"/>
                <w:highlight w:val="none"/>
                <w:lang w:val="en-US" w:eastAsia="zh-CN"/>
              </w:rPr>
              <w:t>四周</w:t>
            </w:r>
            <w:r>
              <w:rPr>
                <w:rFonts w:hint="eastAsia" w:ascii="Times New Roman" w:hAnsi="Times New Roman" w:cs="Times New Roman"/>
                <w:color w:val="auto"/>
                <w:sz w:val="24"/>
                <w:szCs w:val="24"/>
                <w:highlight w:val="none"/>
              </w:rPr>
              <w:t>噪声昼间均可以满足</w:t>
            </w:r>
            <w:r>
              <w:rPr>
                <w:rFonts w:hint="eastAsia" w:cs="Times New Roman"/>
                <w:color w:val="auto"/>
                <w:sz w:val="24"/>
                <w:szCs w:val="24"/>
                <w:highlight w:val="none"/>
                <w:lang w:val="en-US" w:eastAsia="zh-CN"/>
              </w:rPr>
              <w:t>昼间的</w:t>
            </w:r>
            <w:r>
              <w:rPr>
                <w:rFonts w:ascii="Times New Roman" w:hAnsi="Times New Roman" w:eastAsia="宋体" w:cs="Times New Roman"/>
                <w:color w:val="auto"/>
                <w:sz w:val="24"/>
                <w:szCs w:val="24"/>
                <w:highlight w:val="none"/>
              </w:rPr>
              <w:t>《工业企业厂界环境噪声排放标准》（GB12348－2008）</w:t>
            </w:r>
            <w:r>
              <w:rPr>
                <w:rFonts w:hint="eastAsia" w:ascii="Times New Roman" w:hAnsi="Times New Roman" w:eastAsia="宋体" w:cs="Times New Roman"/>
                <w:color w:val="auto"/>
                <w:sz w:val="24"/>
                <w:szCs w:val="24"/>
                <w:highlight w:val="none"/>
              </w:rPr>
              <w:t>中</w:t>
            </w:r>
            <w:r>
              <w:rPr>
                <w:rFonts w:hint="eastAsia" w:cs="Times New Roman"/>
                <w:color w:val="auto"/>
                <w:sz w:val="24"/>
                <w:szCs w:val="24"/>
                <w:highlight w:val="none"/>
                <w:lang w:val="en-US" w:eastAsia="zh-CN"/>
              </w:rPr>
              <w:t>2</w:t>
            </w:r>
            <w:r>
              <w:rPr>
                <w:rFonts w:hint="eastAsia" w:ascii="Times New Roman" w:hAnsi="Times New Roman" w:cs="Times New Roman"/>
                <w:color w:val="auto"/>
                <w:sz w:val="24"/>
                <w:szCs w:val="24"/>
                <w:highlight w:val="none"/>
              </w:rPr>
              <w:t>类标准限值要求：昼间</w:t>
            </w:r>
            <w:r>
              <w:rPr>
                <w:rFonts w:hint="eastAsia" w:ascii="Times New Roman" w:hAnsi="Times New Roman" w:cs="Times New Roman"/>
                <w:color w:val="auto"/>
                <w:sz w:val="24"/>
                <w:szCs w:val="24"/>
                <w:highlight w:val="none"/>
                <w:lang w:val="en-US" w:eastAsia="zh-CN"/>
              </w:rPr>
              <w:t>6</w:t>
            </w:r>
            <w:r>
              <w:rPr>
                <w:rFonts w:hint="eastAsia" w:cs="Times New Roman"/>
                <w:color w:val="auto"/>
                <w:sz w:val="24"/>
                <w:szCs w:val="24"/>
                <w:highlight w:val="none"/>
                <w:lang w:val="en-US" w:eastAsia="zh-CN"/>
              </w:rPr>
              <w:t>0</w:t>
            </w:r>
            <w:r>
              <w:rPr>
                <w:rFonts w:hint="eastAsia" w:ascii="Times New Roman" w:hAnsi="Times New Roman" w:cs="Times New Roman"/>
                <w:color w:val="auto"/>
                <w:sz w:val="24"/>
                <w:szCs w:val="24"/>
                <w:highlight w:val="none"/>
              </w:rPr>
              <w:t>dB（A），夜间</w:t>
            </w:r>
            <w:r>
              <w:rPr>
                <w:rFonts w:hint="eastAsia" w:ascii="Times New Roman" w:hAnsi="Times New Roman" w:cs="Times New Roman"/>
                <w:color w:val="auto"/>
                <w:sz w:val="24"/>
                <w:szCs w:val="24"/>
                <w:highlight w:val="none"/>
                <w:lang w:val="en-US" w:eastAsia="zh-CN"/>
              </w:rPr>
              <w:t>5</w:t>
            </w:r>
            <w:r>
              <w:rPr>
                <w:rFonts w:hint="eastAsia" w:cs="Times New Roman"/>
                <w:color w:val="auto"/>
                <w:sz w:val="24"/>
                <w:szCs w:val="24"/>
                <w:highlight w:val="none"/>
                <w:lang w:val="en-US" w:eastAsia="zh-CN"/>
              </w:rPr>
              <w:t>0</w:t>
            </w:r>
            <w:r>
              <w:rPr>
                <w:rFonts w:hint="eastAsia" w:ascii="Times New Roman" w:hAnsi="Times New Roman" w:cs="Times New Roman"/>
                <w:color w:val="auto"/>
                <w:sz w:val="24"/>
                <w:szCs w:val="24"/>
                <w:highlight w:val="none"/>
              </w:rPr>
              <w:t>dB（A），</w:t>
            </w:r>
            <w:r>
              <w:rPr>
                <w:rFonts w:hint="eastAsia" w:cs="Times New Roman"/>
                <w:color w:val="auto"/>
                <w:sz w:val="24"/>
                <w:szCs w:val="24"/>
                <w:highlight w:val="none"/>
                <w:lang w:val="en-US" w:eastAsia="zh-CN"/>
              </w:rPr>
              <w:t>且周围50m范围内</w:t>
            </w:r>
            <w:r>
              <w:rPr>
                <w:rFonts w:hint="eastAsia"/>
                <w:lang w:val="en-US" w:eastAsia="zh-CN"/>
              </w:rPr>
              <w:t>无</w:t>
            </w:r>
            <w:r>
              <w:rPr>
                <w:rFonts w:hint="eastAsia" w:cs="Times New Roman"/>
                <w:color w:val="auto"/>
                <w:sz w:val="24"/>
                <w:szCs w:val="24"/>
                <w:highlight w:val="none"/>
                <w:lang w:val="en-US" w:eastAsia="zh-CN"/>
              </w:rPr>
              <w:t>敏感点，噪声</w:t>
            </w:r>
            <w:r>
              <w:rPr>
                <w:rFonts w:ascii="Times New Roman" w:hAnsi="Times New Roman" w:cs="Times New Roman"/>
                <w:color w:val="auto"/>
                <w:sz w:val="24"/>
                <w:szCs w:val="24"/>
                <w:highlight w:val="none"/>
              </w:rPr>
              <w:t>对</w:t>
            </w:r>
            <w:r>
              <w:rPr>
                <w:rFonts w:hint="eastAsia" w:cs="Times New Roman"/>
                <w:color w:val="auto"/>
                <w:sz w:val="24"/>
                <w:szCs w:val="24"/>
                <w:highlight w:val="none"/>
                <w:lang w:val="en-US" w:eastAsia="zh-CN"/>
              </w:rPr>
              <w:t>厂区</w:t>
            </w:r>
            <w:r>
              <w:rPr>
                <w:rFonts w:ascii="Times New Roman" w:hAnsi="Times New Roman" w:cs="Times New Roman"/>
                <w:color w:val="auto"/>
                <w:sz w:val="24"/>
                <w:szCs w:val="24"/>
                <w:highlight w:val="none"/>
              </w:rPr>
              <w:t>周围环境影响较小。</w:t>
            </w:r>
          </w:p>
          <w:p w14:paraId="03630056">
            <w:pPr>
              <w:pStyle w:val="4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textAlignment w:val="auto"/>
              <w:rPr>
                <w:rFonts w:hint="default" w:ascii="Times New Roman" w:hAnsi="Times New Roman" w:cs="Times New Roman"/>
                <w:b w:val="0"/>
                <w:bCs w:val="0"/>
                <w:u w:val="none"/>
              </w:rPr>
            </w:pPr>
            <w:bookmarkStart w:id="10" w:name="_Toc467760298"/>
            <w:bookmarkStart w:id="11" w:name="_Toc467426609"/>
            <w:bookmarkStart w:id="12" w:name="_Toc467426674"/>
            <w:bookmarkStart w:id="13" w:name="_Toc467760362"/>
            <w:bookmarkStart w:id="14" w:name="_Toc467761605"/>
            <w:r>
              <w:rPr>
                <w:rFonts w:hint="eastAsia" w:cs="Times New Roman"/>
                <w:b w:val="0"/>
                <w:bCs w:val="0"/>
                <w:u w:val="none"/>
                <w:lang w:val="en-US" w:eastAsia="zh-CN"/>
              </w:rPr>
              <w:t>3</w:t>
            </w:r>
            <w:r>
              <w:rPr>
                <w:rFonts w:hint="eastAsia" w:ascii="Times New Roman" w:hAnsi="Times New Roman" w:cs="Times New Roman"/>
                <w:b w:val="0"/>
                <w:bCs w:val="0"/>
                <w:u w:val="none"/>
                <w:lang w:val="en-US" w:eastAsia="zh-CN"/>
              </w:rPr>
              <w:t>.</w:t>
            </w:r>
            <w:r>
              <w:rPr>
                <w:rFonts w:hint="eastAsia" w:cs="Times New Roman"/>
                <w:b w:val="0"/>
                <w:bCs w:val="0"/>
                <w:u w:val="none"/>
                <w:lang w:val="en-US" w:eastAsia="zh-CN"/>
              </w:rPr>
              <w:t>4</w:t>
            </w:r>
            <w:r>
              <w:rPr>
                <w:rFonts w:hint="default" w:ascii="Times New Roman" w:hAnsi="Times New Roman" w:cs="Times New Roman"/>
                <w:b w:val="0"/>
                <w:bCs w:val="0"/>
                <w:u w:val="none"/>
              </w:rPr>
              <w:t>监测要求</w:t>
            </w:r>
          </w:p>
          <w:p w14:paraId="2A0096B6">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textAlignment w:val="auto"/>
              <w:rPr>
                <w:rFonts w:hint="default" w:ascii="Times New Roman" w:hAnsi="Times New Roman" w:cs="Times New Roman"/>
                <w:u w:val="none"/>
              </w:rPr>
            </w:pPr>
            <w:r>
              <w:rPr>
                <w:rFonts w:hint="default" w:ascii="Times New Roman" w:hAnsi="Times New Roman" w:cs="Times New Roman"/>
                <w:u w:val="none"/>
              </w:rPr>
              <w:t>本项目运行期噪声监测计划见下表。</w:t>
            </w:r>
          </w:p>
          <w:p w14:paraId="6F5364CA">
            <w:pPr>
              <w:pStyle w:val="16"/>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center"/>
              <w:textAlignment w:val="auto"/>
              <w:rPr>
                <w:rFonts w:hint="eastAsia" w:ascii="Times New Roman" w:hAnsi="Times New Roman" w:eastAsia="黑体" w:cs="Times New Roman"/>
                <w:color w:val="auto"/>
                <w:kern w:val="2"/>
                <w:sz w:val="24"/>
                <w:lang w:val="en-US" w:eastAsia="zh-CN" w:bidi="ar-SA"/>
              </w:rPr>
            </w:pPr>
            <w:r>
              <w:rPr>
                <w:rFonts w:hint="eastAsia" w:ascii="Times New Roman" w:hAnsi="Times New Roman" w:eastAsia="黑体" w:cs="Times New Roman"/>
                <w:color w:val="auto"/>
                <w:kern w:val="2"/>
                <w:sz w:val="24"/>
                <w:lang w:val="en-US" w:eastAsia="zh-CN" w:bidi="ar-SA"/>
              </w:rPr>
              <w:t>表</w:t>
            </w:r>
            <w:r>
              <w:rPr>
                <w:rFonts w:hint="eastAsia" w:eastAsia="黑体" w:cs="Times New Roman"/>
                <w:color w:val="auto"/>
                <w:kern w:val="2"/>
                <w:sz w:val="24"/>
                <w:lang w:val="en-US" w:eastAsia="zh-CN" w:bidi="ar-SA"/>
              </w:rPr>
              <w:t>4-14</w:t>
            </w:r>
            <w:r>
              <w:rPr>
                <w:rFonts w:hint="eastAsia" w:ascii="Times New Roman" w:hAnsi="Times New Roman" w:eastAsia="黑体" w:cs="Times New Roman"/>
                <w:color w:val="auto"/>
                <w:kern w:val="2"/>
                <w:sz w:val="24"/>
                <w:lang w:val="en-US" w:eastAsia="zh-CN" w:bidi="ar-SA"/>
              </w:rPr>
              <w:t xml:space="preserve"> 噪声监测要求</w:t>
            </w:r>
          </w:p>
          <w:tbl>
            <w:tblPr>
              <w:tblStyle w:val="23"/>
              <w:tblW w:w="791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05"/>
              <w:gridCol w:w="1038"/>
              <w:gridCol w:w="1062"/>
              <w:gridCol w:w="1152"/>
              <w:gridCol w:w="1007"/>
              <w:gridCol w:w="2302"/>
              <w:gridCol w:w="752"/>
            </w:tblGrid>
            <w:tr w14:paraId="25D75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48" w:hRule="atLeast"/>
              </w:trPr>
              <w:tc>
                <w:tcPr>
                  <w:tcW w:w="605" w:type="dxa"/>
                  <w:tcBorders>
                    <w:tl2br w:val="nil"/>
                    <w:tr2bl w:val="nil"/>
                  </w:tcBorders>
                  <w:noWrap w:val="0"/>
                  <w:vAlign w:val="center"/>
                </w:tcPr>
                <w:p w14:paraId="760E5960">
                  <w:pPr>
                    <w:spacing w:line="276" w:lineRule="auto"/>
                    <w:jc w:val="center"/>
                    <w:rPr>
                      <w:rFonts w:ascii="Times New Roman" w:hAnsi="Times New Roman"/>
                      <w:b/>
                      <w:bCs/>
                      <w:color w:val="auto"/>
                      <w:kern w:val="0"/>
                      <w:szCs w:val="21"/>
                    </w:rPr>
                  </w:pPr>
                  <w:r>
                    <w:rPr>
                      <w:rFonts w:ascii="Times New Roman" w:hAnsi="Times New Roman"/>
                      <w:b/>
                      <w:bCs/>
                      <w:color w:val="auto"/>
                      <w:kern w:val="0"/>
                      <w:szCs w:val="21"/>
                    </w:rPr>
                    <w:t>序号</w:t>
                  </w:r>
                </w:p>
              </w:tc>
              <w:tc>
                <w:tcPr>
                  <w:tcW w:w="1038" w:type="dxa"/>
                  <w:tcBorders>
                    <w:tl2br w:val="nil"/>
                    <w:tr2bl w:val="nil"/>
                  </w:tcBorders>
                  <w:noWrap w:val="0"/>
                  <w:vAlign w:val="center"/>
                </w:tcPr>
                <w:p w14:paraId="514A0C10">
                  <w:pPr>
                    <w:spacing w:line="276" w:lineRule="auto"/>
                    <w:jc w:val="center"/>
                    <w:rPr>
                      <w:rFonts w:ascii="Times New Roman" w:hAnsi="Times New Roman"/>
                      <w:b/>
                      <w:bCs/>
                      <w:color w:val="auto"/>
                      <w:kern w:val="0"/>
                      <w:szCs w:val="21"/>
                    </w:rPr>
                  </w:pPr>
                  <w:r>
                    <w:rPr>
                      <w:rFonts w:ascii="Times New Roman" w:hAnsi="Times New Roman"/>
                      <w:b/>
                      <w:bCs/>
                      <w:color w:val="auto"/>
                      <w:kern w:val="0"/>
                      <w:szCs w:val="21"/>
                    </w:rPr>
                    <w:t>监测点</w:t>
                  </w:r>
                </w:p>
                <w:p w14:paraId="50634413">
                  <w:pPr>
                    <w:spacing w:line="276" w:lineRule="auto"/>
                    <w:jc w:val="center"/>
                    <w:rPr>
                      <w:rFonts w:ascii="Times New Roman" w:hAnsi="Times New Roman"/>
                      <w:b/>
                      <w:bCs/>
                      <w:color w:val="auto"/>
                      <w:kern w:val="0"/>
                      <w:szCs w:val="21"/>
                    </w:rPr>
                  </w:pPr>
                  <w:r>
                    <w:rPr>
                      <w:rFonts w:ascii="Times New Roman" w:hAnsi="Times New Roman"/>
                      <w:b/>
                      <w:bCs/>
                      <w:color w:val="auto"/>
                      <w:kern w:val="0"/>
                      <w:szCs w:val="21"/>
                    </w:rPr>
                    <w:t>位置</w:t>
                  </w:r>
                </w:p>
              </w:tc>
              <w:tc>
                <w:tcPr>
                  <w:tcW w:w="1062" w:type="dxa"/>
                  <w:tcBorders>
                    <w:tl2br w:val="nil"/>
                    <w:tr2bl w:val="nil"/>
                  </w:tcBorders>
                  <w:noWrap w:val="0"/>
                  <w:vAlign w:val="center"/>
                </w:tcPr>
                <w:p w14:paraId="54BD3ADF">
                  <w:pPr>
                    <w:spacing w:line="276" w:lineRule="auto"/>
                    <w:jc w:val="center"/>
                    <w:rPr>
                      <w:rFonts w:ascii="Times New Roman" w:hAnsi="Times New Roman"/>
                      <w:b/>
                      <w:bCs/>
                      <w:color w:val="auto"/>
                      <w:kern w:val="0"/>
                      <w:szCs w:val="21"/>
                    </w:rPr>
                  </w:pPr>
                  <w:r>
                    <w:rPr>
                      <w:rFonts w:ascii="Times New Roman" w:hAnsi="Times New Roman"/>
                      <w:b/>
                      <w:bCs/>
                      <w:color w:val="auto"/>
                      <w:kern w:val="0"/>
                      <w:szCs w:val="21"/>
                    </w:rPr>
                    <w:t>功能</w:t>
                  </w:r>
                </w:p>
              </w:tc>
              <w:tc>
                <w:tcPr>
                  <w:tcW w:w="1152" w:type="dxa"/>
                  <w:tcBorders>
                    <w:tl2br w:val="nil"/>
                    <w:tr2bl w:val="nil"/>
                  </w:tcBorders>
                  <w:noWrap w:val="0"/>
                  <w:vAlign w:val="center"/>
                </w:tcPr>
                <w:p w14:paraId="18E4DB66">
                  <w:pPr>
                    <w:spacing w:line="276" w:lineRule="auto"/>
                    <w:jc w:val="center"/>
                    <w:rPr>
                      <w:rFonts w:ascii="Times New Roman" w:hAnsi="Times New Roman"/>
                      <w:b/>
                      <w:bCs/>
                      <w:color w:val="auto"/>
                      <w:kern w:val="0"/>
                      <w:szCs w:val="21"/>
                    </w:rPr>
                  </w:pPr>
                  <w:r>
                    <w:rPr>
                      <w:rFonts w:ascii="Times New Roman" w:hAnsi="Times New Roman"/>
                      <w:b/>
                      <w:bCs/>
                      <w:color w:val="auto"/>
                      <w:kern w:val="0"/>
                      <w:szCs w:val="21"/>
                    </w:rPr>
                    <w:t>监测频次</w:t>
                  </w:r>
                </w:p>
              </w:tc>
              <w:tc>
                <w:tcPr>
                  <w:tcW w:w="1007" w:type="dxa"/>
                  <w:tcBorders>
                    <w:tl2br w:val="nil"/>
                    <w:tr2bl w:val="nil"/>
                  </w:tcBorders>
                  <w:noWrap w:val="0"/>
                  <w:vAlign w:val="center"/>
                </w:tcPr>
                <w:p w14:paraId="362E59CD">
                  <w:pPr>
                    <w:spacing w:line="276" w:lineRule="auto"/>
                    <w:jc w:val="center"/>
                    <w:rPr>
                      <w:rFonts w:ascii="Times New Roman" w:hAnsi="Times New Roman"/>
                      <w:b/>
                      <w:bCs/>
                      <w:color w:val="auto"/>
                      <w:kern w:val="0"/>
                      <w:szCs w:val="21"/>
                    </w:rPr>
                  </w:pPr>
                  <w:r>
                    <w:rPr>
                      <w:rFonts w:ascii="Times New Roman" w:hAnsi="Times New Roman"/>
                      <w:b/>
                      <w:bCs/>
                      <w:color w:val="auto"/>
                      <w:kern w:val="0"/>
                      <w:szCs w:val="21"/>
                    </w:rPr>
                    <w:t>监测项目</w:t>
                  </w:r>
                </w:p>
              </w:tc>
              <w:tc>
                <w:tcPr>
                  <w:tcW w:w="3054" w:type="dxa"/>
                  <w:gridSpan w:val="2"/>
                  <w:tcBorders>
                    <w:tl2br w:val="nil"/>
                    <w:tr2bl w:val="nil"/>
                  </w:tcBorders>
                  <w:noWrap w:val="0"/>
                  <w:vAlign w:val="center"/>
                </w:tcPr>
                <w:p w14:paraId="60C51C16">
                  <w:pPr>
                    <w:spacing w:line="276" w:lineRule="auto"/>
                    <w:jc w:val="center"/>
                    <w:rPr>
                      <w:rFonts w:ascii="Times New Roman" w:hAnsi="Times New Roman"/>
                      <w:b/>
                      <w:bCs/>
                      <w:color w:val="auto"/>
                      <w:kern w:val="0"/>
                      <w:szCs w:val="21"/>
                    </w:rPr>
                  </w:pPr>
                  <w:r>
                    <w:rPr>
                      <w:rFonts w:ascii="Times New Roman" w:hAnsi="Times New Roman"/>
                      <w:b/>
                      <w:bCs/>
                      <w:color w:val="auto"/>
                      <w:kern w:val="0"/>
                      <w:szCs w:val="21"/>
                    </w:rPr>
                    <w:t>执行标准</w:t>
                  </w:r>
                </w:p>
              </w:tc>
            </w:tr>
            <w:tr w14:paraId="74387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11" w:hRule="atLeast"/>
              </w:trPr>
              <w:tc>
                <w:tcPr>
                  <w:tcW w:w="605" w:type="dxa"/>
                  <w:tcBorders>
                    <w:tl2br w:val="nil"/>
                    <w:tr2bl w:val="nil"/>
                  </w:tcBorders>
                  <w:noWrap w:val="0"/>
                  <w:vAlign w:val="center"/>
                </w:tcPr>
                <w:p w14:paraId="178A7271">
                  <w:pPr>
                    <w:spacing w:line="276" w:lineRule="auto"/>
                    <w:jc w:val="center"/>
                    <w:rPr>
                      <w:rFonts w:ascii="Times New Roman" w:hAnsi="Times New Roman"/>
                      <w:color w:val="auto"/>
                      <w:kern w:val="0"/>
                      <w:szCs w:val="21"/>
                    </w:rPr>
                  </w:pPr>
                  <w:r>
                    <w:rPr>
                      <w:rFonts w:ascii="Times New Roman" w:hAnsi="Times New Roman"/>
                      <w:color w:val="auto"/>
                      <w:kern w:val="0"/>
                      <w:szCs w:val="21"/>
                    </w:rPr>
                    <w:t>1#</w:t>
                  </w:r>
                </w:p>
              </w:tc>
              <w:tc>
                <w:tcPr>
                  <w:tcW w:w="1038" w:type="dxa"/>
                  <w:tcBorders>
                    <w:tl2br w:val="nil"/>
                    <w:tr2bl w:val="nil"/>
                  </w:tcBorders>
                  <w:noWrap w:val="0"/>
                  <w:vAlign w:val="center"/>
                </w:tcPr>
                <w:p w14:paraId="32A1F7F0">
                  <w:pPr>
                    <w:spacing w:line="276" w:lineRule="auto"/>
                    <w:jc w:val="center"/>
                    <w:rPr>
                      <w:rFonts w:hint="default" w:ascii="Times New Roman" w:hAnsi="Times New Roman" w:eastAsia="宋体"/>
                      <w:color w:val="auto"/>
                      <w:kern w:val="0"/>
                      <w:szCs w:val="21"/>
                      <w:lang w:val="en-US" w:eastAsia="zh-CN"/>
                    </w:rPr>
                  </w:pPr>
                  <w:r>
                    <w:rPr>
                      <w:rFonts w:hint="eastAsia" w:ascii="Times New Roman" w:hAnsi="Times New Roman"/>
                      <w:color w:val="auto"/>
                      <w:kern w:val="0"/>
                      <w:szCs w:val="21"/>
                      <w:lang w:val="en-US" w:eastAsia="zh-CN"/>
                    </w:rPr>
                    <w:t>厂界四周</w:t>
                  </w:r>
                </w:p>
              </w:tc>
              <w:tc>
                <w:tcPr>
                  <w:tcW w:w="1062" w:type="dxa"/>
                  <w:tcBorders>
                    <w:tl2br w:val="nil"/>
                    <w:tr2bl w:val="nil"/>
                  </w:tcBorders>
                  <w:noWrap w:val="0"/>
                  <w:vAlign w:val="center"/>
                </w:tcPr>
                <w:p w14:paraId="7CF3D567">
                  <w:pPr>
                    <w:spacing w:line="276" w:lineRule="auto"/>
                    <w:jc w:val="center"/>
                    <w:rPr>
                      <w:rFonts w:ascii="Times New Roman" w:hAnsi="Times New Roman"/>
                      <w:color w:val="auto"/>
                      <w:kern w:val="0"/>
                      <w:szCs w:val="21"/>
                    </w:rPr>
                  </w:pPr>
                  <w:r>
                    <w:rPr>
                      <w:rFonts w:ascii="Times New Roman" w:hAnsi="Times New Roman"/>
                      <w:color w:val="auto"/>
                      <w:kern w:val="0"/>
                      <w:szCs w:val="21"/>
                    </w:rPr>
                    <w:t>监测点位</w:t>
                  </w:r>
                </w:p>
              </w:tc>
              <w:tc>
                <w:tcPr>
                  <w:tcW w:w="1152" w:type="dxa"/>
                  <w:tcBorders>
                    <w:tl2br w:val="nil"/>
                    <w:tr2bl w:val="nil"/>
                  </w:tcBorders>
                  <w:noWrap w:val="0"/>
                  <w:vAlign w:val="center"/>
                </w:tcPr>
                <w:p w14:paraId="756A7FCF">
                  <w:pPr>
                    <w:spacing w:line="276" w:lineRule="auto"/>
                    <w:jc w:val="center"/>
                    <w:rPr>
                      <w:rFonts w:ascii="Times New Roman" w:hAnsi="Times New Roman"/>
                      <w:color w:val="auto"/>
                      <w:kern w:val="0"/>
                      <w:szCs w:val="21"/>
                    </w:rPr>
                  </w:pPr>
                  <w:r>
                    <w:rPr>
                      <w:rFonts w:ascii="Times New Roman" w:hAnsi="Times New Roman"/>
                      <w:color w:val="auto"/>
                      <w:szCs w:val="21"/>
                      <w:highlight w:val="none"/>
                    </w:rPr>
                    <w:t>1次/</w:t>
                  </w:r>
                  <w:r>
                    <w:rPr>
                      <w:rFonts w:hint="eastAsia" w:ascii="Times New Roman" w:hAnsi="Times New Roman"/>
                      <w:color w:val="auto"/>
                      <w:szCs w:val="21"/>
                      <w:highlight w:val="none"/>
                      <w:lang w:val="en-US" w:eastAsia="zh-CN"/>
                    </w:rPr>
                    <w:t>季度</w:t>
                  </w:r>
                </w:p>
              </w:tc>
              <w:tc>
                <w:tcPr>
                  <w:tcW w:w="1007" w:type="dxa"/>
                  <w:tcBorders>
                    <w:tl2br w:val="nil"/>
                    <w:tr2bl w:val="nil"/>
                  </w:tcBorders>
                  <w:noWrap w:val="0"/>
                  <w:vAlign w:val="center"/>
                </w:tcPr>
                <w:p w14:paraId="093D46C5">
                  <w:pPr>
                    <w:spacing w:line="276" w:lineRule="auto"/>
                    <w:jc w:val="center"/>
                    <w:rPr>
                      <w:rFonts w:ascii="Times New Roman" w:hAnsi="Times New Roman"/>
                      <w:color w:val="auto"/>
                      <w:kern w:val="0"/>
                      <w:szCs w:val="21"/>
                    </w:rPr>
                  </w:pPr>
                  <w:r>
                    <w:rPr>
                      <w:rFonts w:ascii="Times New Roman" w:hAnsi="Times New Roman"/>
                      <w:color w:val="auto"/>
                      <w:kern w:val="0"/>
                      <w:szCs w:val="21"/>
                    </w:rPr>
                    <w:t>等效连续A声级L</w:t>
                  </w:r>
                  <w:r>
                    <w:rPr>
                      <w:rFonts w:ascii="Times New Roman" w:hAnsi="Times New Roman"/>
                      <w:color w:val="auto"/>
                      <w:kern w:val="0"/>
                      <w:szCs w:val="21"/>
                      <w:vertAlign w:val="subscript"/>
                    </w:rPr>
                    <w:t>Aeq</w:t>
                  </w:r>
                </w:p>
              </w:tc>
              <w:tc>
                <w:tcPr>
                  <w:tcW w:w="2302" w:type="dxa"/>
                  <w:tcBorders>
                    <w:tl2br w:val="nil"/>
                    <w:tr2bl w:val="nil"/>
                  </w:tcBorders>
                  <w:noWrap w:val="0"/>
                  <w:vAlign w:val="center"/>
                </w:tcPr>
                <w:p w14:paraId="4D68F310">
                  <w:pPr>
                    <w:spacing w:line="276" w:lineRule="auto"/>
                    <w:jc w:val="center"/>
                    <w:rPr>
                      <w:rFonts w:ascii="Times New Roman" w:hAnsi="Times New Roman"/>
                      <w:color w:val="auto"/>
                      <w:kern w:val="0"/>
                      <w:szCs w:val="21"/>
                    </w:rPr>
                  </w:pPr>
                  <w:r>
                    <w:rPr>
                      <w:rFonts w:ascii="Times New Roman" w:hAnsi="Times New Roman"/>
                      <w:color w:val="auto"/>
                      <w:szCs w:val="21"/>
                    </w:rPr>
                    <w:t>《工业企业厂界环境噪声排放标准》（GB12348－2008）</w:t>
                  </w:r>
                </w:p>
              </w:tc>
              <w:tc>
                <w:tcPr>
                  <w:tcW w:w="752" w:type="dxa"/>
                  <w:tcBorders>
                    <w:tl2br w:val="nil"/>
                    <w:tr2bl w:val="nil"/>
                  </w:tcBorders>
                  <w:noWrap w:val="0"/>
                  <w:vAlign w:val="center"/>
                </w:tcPr>
                <w:p w14:paraId="4A323B40">
                  <w:pPr>
                    <w:spacing w:line="276" w:lineRule="auto"/>
                    <w:jc w:val="center"/>
                    <w:rPr>
                      <w:rFonts w:ascii="Times New Roman" w:hAnsi="Times New Roman"/>
                      <w:color w:val="auto"/>
                      <w:kern w:val="0"/>
                      <w:szCs w:val="21"/>
                    </w:rPr>
                  </w:pPr>
                  <w:r>
                    <w:rPr>
                      <w:rFonts w:hint="eastAsia"/>
                      <w:color w:val="auto"/>
                      <w:szCs w:val="21"/>
                      <w:lang w:val="en-US" w:eastAsia="zh-CN"/>
                    </w:rPr>
                    <w:t>2</w:t>
                  </w:r>
                  <w:r>
                    <w:rPr>
                      <w:rFonts w:hint="eastAsia" w:ascii="Times New Roman" w:hAnsi="Times New Roman"/>
                      <w:color w:val="auto"/>
                      <w:szCs w:val="21"/>
                    </w:rPr>
                    <w:t>类</w:t>
                  </w:r>
                </w:p>
              </w:tc>
            </w:tr>
            <w:bookmarkEnd w:id="10"/>
            <w:bookmarkEnd w:id="11"/>
            <w:bookmarkEnd w:id="12"/>
            <w:bookmarkEnd w:id="13"/>
            <w:bookmarkEnd w:id="14"/>
          </w:tbl>
          <w:p w14:paraId="36AE3017">
            <w:pPr>
              <w:keepNext w:val="0"/>
              <w:keepLines w:val="0"/>
              <w:pageBreakBefore w:val="0"/>
              <w:widowControl w:val="0"/>
              <w:kinsoku/>
              <w:wordWrap/>
              <w:overflowPunct/>
              <w:topLinePunct w:val="0"/>
              <w:bidi w:val="0"/>
              <w:snapToGrid w:val="0"/>
              <w:spacing w:line="500" w:lineRule="exact"/>
              <w:ind w:firstLine="482" w:firstLineChars="200"/>
              <w:textAlignment w:val="auto"/>
              <w:rPr>
                <w:b/>
                <w:snapToGrid w:val="0"/>
                <w:color w:val="000000"/>
                <w:sz w:val="24"/>
              </w:rPr>
            </w:pPr>
            <w:r>
              <w:rPr>
                <w:b/>
                <w:snapToGrid w:val="0"/>
                <w:color w:val="000000"/>
                <w:sz w:val="24"/>
              </w:rPr>
              <w:t>4</w:t>
            </w:r>
            <w:r>
              <w:rPr>
                <w:rFonts w:hAnsi="宋体"/>
                <w:b/>
                <w:snapToGrid w:val="0"/>
                <w:color w:val="000000"/>
                <w:sz w:val="24"/>
              </w:rPr>
              <w:t>、固体废物</w:t>
            </w:r>
          </w:p>
          <w:p w14:paraId="14E6C67D">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b w:val="0"/>
                <w:bCs w:val="0"/>
                <w:color w:val="000000"/>
                <w:kern w:val="0"/>
                <w:sz w:val="24"/>
              </w:rPr>
            </w:pPr>
            <w:r>
              <w:rPr>
                <w:rFonts w:hint="eastAsia"/>
                <w:b w:val="0"/>
                <w:bCs w:val="0"/>
                <w:color w:val="000000"/>
                <w:kern w:val="0"/>
                <w:sz w:val="24"/>
              </w:rPr>
              <w:t>4</w:t>
            </w:r>
            <w:r>
              <w:rPr>
                <w:b w:val="0"/>
                <w:bCs w:val="0"/>
                <w:color w:val="000000"/>
                <w:kern w:val="0"/>
                <w:sz w:val="24"/>
              </w:rPr>
              <w:t>.1固体废物污染源及治理措施</w:t>
            </w:r>
          </w:p>
          <w:p w14:paraId="63BDE27D">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color w:val="000000"/>
                <w:sz w:val="24"/>
              </w:rPr>
            </w:pPr>
            <w:r>
              <w:rPr>
                <w:rFonts w:hint="eastAsia"/>
                <w:color w:val="000000"/>
                <w:sz w:val="24"/>
              </w:rPr>
              <w:t>本项目固废主要为</w:t>
            </w:r>
            <w:r>
              <w:rPr>
                <w:rFonts w:hint="eastAsia"/>
                <w:color w:val="000000"/>
                <w:sz w:val="24"/>
                <w:lang w:val="en-US" w:eastAsia="zh-CN"/>
              </w:rPr>
              <w:t>生产</w:t>
            </w:r>
            <w:r>
              <w:rPr>
                <w:rFonts w:hint="eastAsia"/>
                <w:color w:val="000000"/>
                <w:sz w:val="24"/>
              </w:rPr>
              <w:t>废水</w:t>
            </w:r>
            <w:r>
              <w:rPr>
                <w:rFonts w:hint="eastAsia"/>
                <w:color w:val="000000"/>
                <w:sz w:val="24"/>
                <w:lang w:val="en-US" w:eastAsia="zh-CN"/>
              </w:rPr>
              <w:t>经过浓缩沉淀</w:t>
            </w:r>
            <w:r>
              <w:rPr>
                <w:rFonts w:hint="eastAsia"/>
                <w:color w:val="000000"/>
                <w:sz w:val="24"/>
              </w:rPr>
              <w:t>后的</w:t>
            </w:r>
            <w:r>
              <w:rPr>
                <w:rFonts w:hint="eastAsia"/>
                <w:color w:val="000000"/>
                <w:sz w:val="24"/>
                <w:lang w:val="en-US" w:eastAsia="zh-CN"/>
              </w:rPr>
              <w:t>泥饼</w:t>
            </w:r>
            <w:r>
              <w:rPr>
                <w:rFonts w:hint="eastAsia"/>
                <w:color w:val="000000"/>
                <w:sz w:val="24"/>
              </w:rPr>
              <w:t>，</w:t>
            </w:r>
            <w:r>
              <w:rPr>
                <w:rFonts w:hint="eastAsia"/>
                <w:color w:val="000000"/>
                <w:sz w:val="24"/>
                <w:lang w:val="en-US" w:eastAsia="zh-CN"/>
              </w:rPr>
              <w:t>车辆冲洗沉淀的底泥、絮凝剂废包装袋、袋式除尘器废布袋、</w:t>
            </w:r>
            <w:r>
              <w:rPr>
                <w:rFonts w:hint="eastAsia"/>
                <w:color w:val="000000"/>
                <w:sz w:val="24"/>
              </w:rPr>
              <w:t>袋式除尘器</w:t>
            </w:r>
            <w:r>
              <w:rPr>
                <w:color w:val="000000"/>
                <w:sz w:val="24"/>
              </w:rPr>
              <w:t>收集的</w:t>
            </w:r>
            <w:r>
              <w:rPr>
                <w:rFonts w:hint="eastAsia"/>
                <w:color w:val="000000"/>
                <w:sz w:val="24"/>
                <w:lang w:val="en-US" w:eastAsia="zh-CN"/>
              </w:rPr>
              <w:t>颗粒物</w:t>
            </w:r>
            <w:r>
              <w:rPr>
                <w:rFonts w:hint="eastAsia"/>
                <w:color w:val="000000"/>
                <w:sz w:val="24"/>
              </w:rPr>
              <w:t>、</w:t>
            </w:r>
            <w:r>
              <w:rPr>
                <w:color w:val="000000"/>
                <w:sz w:val="24"/>
              </w:rPr>
              <w:t>生活垃圾</w:t>
            </w:r>
            <w:r>
              <w:rPr>
                <w:rFonts w:hint="eastAsia"/>
                <w:color w:val="000000"/>
                <w:sz w:val="24"/>
                <w:lang w:eastAsia="zh-CN"/>
              </w:rPr>
              <w:t>、</w:t>
            </w:r>
            <w:r>
              <w:rPr>
                <w:rFonts w:hint="eastAsia"/>
                <w:color w:val="000000"/>
                <w:sz w:val="24"/>
                <w:lang w:val="en-US" w:eastAsia="zh-CN"/>
              </w:rPr>
              <w:t>以</w:t>
            </w:r>
            <w:r>
              <w:rPr>
                <w:rFonts w:hint="eastAsia"/>
                <w:color w:val="000000"/>
                <w:sz w:val="24"/>
              </w:rPr>
              <w:t>及设备保养产生的废</w:t>
            </w:r>
            <w:r>
              <w:rPr>
                <w:rFonts w:hint="eastAsia"/>
                <w:color w:val="000000"/>
                <w:sz w:val="24"/>
                <w:lang w:val="en-US" w:eastAsia="zh-CN"/>
              </w:rPr>
              <w:t>润滑油和废润滑油桶</w:t>
            </w:r>
            <w:r>
              <w:rPr>
                <w:rFonts w:hint="eastAsia"/>
                <w:color w:val="000000"/>
                <w:sz w:val="24"/>
              </w:rPr>
              <w:t>。</w:t>
            </w:r>
          </w:p>
          <w:p w14:paraId="213FA88F">
            <w:pPr>
              <w:keepNext w:val="0"/>
              <w:keepLines w:val="0"/>
              <w:pageBreakBefore w:val="0"/>
              <w:widowControl w:val="0"/>
              <w:numPr>
                <w:ilvl w:val="0"/>
                <w:numId w:val="0"/>
              </w:numPr>
              <w:kinsoku/>
              <w:wordWrap/>
              <w:overflowPunct/>
              <w:topLinePunct w:val="0"/>
              <w:autoSpaceDE w:val="0"/>
              <w:autoSpaceDN w:val="0"/>
              <w:bidi w:val="0"/>
              <w:adjustRightInd w:val="0"/>
              <w:spacing w:line="500" w:lineRule="exact"/>
              <w:ind w:firstLine="482" w:firstLineChars="0"/>
              <w:textAlignment w:val="auto"/>
              <w:outlineLvl w:val="0"/>
              <w:rPr>
                <w:rFonts w:hint="eastAsia" w:ascii="Times New Roman" w:hAnsi="Times New Roman" w:eastAsia="宋体"/>
                <w:color w:val="000000"/>
                <w:sz w:val="24"/>
                <w:szCs w:val="24"/>
                <w:u w:val="none"/>
                <w:lang w:val="en-US" w:eastAsia="zh-CN"/>
              </w:rPr>
            </w:pPr>
            <w:r>
              <w:rPr>
                <w:rFonts w:hint="eastAsia" w:ascii="Times New Roman" w:hAnsi="Times New Roman" w:eastAsia="宋体" w:cs="Times New Roman"/>
                <w:color w:val="000000"/>
                <w:kern w:val="2"/>
                <w:sz w:val="24"/>
                <w:szCs w:val="24"/>
                <w:u w:val="none"/>
                <w:lang w:val="en-US" w:eastAsia="zh-CN" w:bidi="ar-SA"/>
              </w:rPr>
              <w:t>（1）</w:t>
            </w:r>
            <w:r>
              <w:rPr>
                <w:rFonts w:hint="eastAsia"/>
                <w:color w:val="000000"/>
                <w:sz w:val="24"/>
                <w:szCs w:val="24"/>
                <w:u w:val="none"/>
                <w:lang w:val="en-US" w:eastAsia="zh-CN"/>
              </w:rPr>
              <w:t>生产</w:t>
            </w:r>
            <w:r>
              <w:rPr>
                <w:rFonts w:hint="eastAsia" w:ascii="Times New Roman" w:hAnsi="Times New Roman"/>
                <w:color w:val="000000"/>
                <w:sz w:val="24"/>
                <w:szCs w:val="24"/>
                <w:u w:val="none"/>
              </w:rPr>
              <w:t>废水</w:t>
            </w:r>
            <w:r>
              <w:rPr>
                <w:rFonts w:hint="eastAsia" w:ascii="Times New Roman" w:hAnsi="Times New Roman"/>
                <w:color w:val="000000"/>
                <w:sz w:val="24"/>
                <w:szCs w:val="24"/>
                <w:u w:val="none"/>
                <w:lang w:val="en-US" w:eastAsia="zh-CN"/>
              </w:rPr>
              <w:t>浓缩沉淀</w:t>
            </w:r>
            <w:r>
              <w:rPr>
                <w:rFonts w:hint="eastAsia" w:ascii="Times New Roman" w:hAnsi="Times New Roman"/>
                <w:color w:val="000000"/>
                <w:sz w:val="24"/>
                <w:szCs w:val="24"/>
                <w:u w:val="none"/>
              </w:rPr>
              <w:t>后的</w:t>
            </w:r>
            <w:r>
              <w:rPr>
                <w:rFonts w:hint="eastAsia"/>
                <w:color w:val="000000"/>
                <w:sz w:val="24"/>
                <w:szCs w:val="24"/>
                <w:u w:val="none"/>
                <w:lang w:val="en-US" w:eastAsia="zh-CN"/>
              </w:rPr>
              <w:t>泥饼</w:t>
            </w:r>
          </w:p>
          <w:p w14:paraId="7871879D">
            <w:pPr>
              <w:keepNext w:val="0"/>
              <w:keepLines w:val="0"/>
              <w:pageBreakBefore w:val="0"/>
              <w:widowControl w:val="0"/>
              <w:numPr>
                <w:ilvl w:val="0"/>
                <w:numId w:val="0"/>
              </w:numPr>
              <w:kinsoku/>
              <w:wordWrap/>
              <w:overflowPunct/>
              <w:topLinePunct w:val="0"/>
              <w:autoSpaceDE w:val="0"/>
              <w:autoSpaceDN w:val="0"/>
              <w:bidi w:val="0"/>
              <w:adjustRightInd w:val="0"/>
              <w:spacing w:line="500" w:lineRule="exact"/>
              <w:ind w:firstLine="480" w:firstLineChars="200"/>
              <w:textAlignment w:val="auto"/>
              <w:outlineLvl w:val="0"/>
              <w:rPr>
                <w:color w:val="000000"/>
                <w:kern w:val="0"/>
                <w:sz w:val="24"/>
                <w:u w:val="none"/>
                <w:lang w:val="zh-CN"/>
              </w:rPr>
            </w:pPr>
            <w:r>
              <w:rPr>
                <w:color w:val="000000"/>
                <w:kern w:val="0"/>
                <w:sz w:val="24"/>
                <w:u w:val="none"/>
                <w:lang w:val="zh-CN"/>
              </w:rPr>
              <w:t>项目筛分、</w:t>
            </w:r>
            <w:r>
              <w:rPr>
                <w:rFonts w:hint="eastAsia"/>
                <w:color w:val="000000"/>
                <w:kern w:val="0"/>
                <w:sz w:val="24"/>
                <w:u w:val="none"/>
                <w:lang w:val="en-US" w:eastAsia="zh-CN"/>
              </w:rPr>
              <w:t>水洗与脱水工序</w:t>
            </w:r>
            <w:r>
              <w:rPr>
                <w:color w:val="000000"/>
                <w:kern w:val="0"/>
                <w:sz w:val="24"/>
                <w:u w:val="none"/>
                <w:lang w:val="zh-CN"/>
              </w:rPr>
              <w:t>废水</w:t>
            </w:r>
            <w:r>
              <w:rPr>
                <w:rFonts w:hint="eastAsia"/>
                <w:color w:val="000000"/>
                <w:kern w:val="0"/>
                <w:sz w:val="24"/>
                <w:u w:val="none"/>
                <w:lang w:val="zh-CN"/>
              </w:rPr>
              <w:t>中主要含有泥土、砂砾等</w:t>
            </w:r>
            <w:r>
              <w:rPr>
                <w:rFonts w:hint="eastAsia"/>
                <w:color w:val="000000"/>
                <w:kern w:val="0"/>
                <w:sz w:val="24"/>
                <w:u w:val="none"/>
                <w:lang w:val="en-US" w:eastAsia="zh-CN"/>
              </w:rPr>
              <w:t>等</w:t>
            </w:r>
            <w:r>
              <w:rPr>
                <w:rFonts w:hint="eastAsia"/>
                <w:color w:val="000000"/>
                <w:kern w:val="0"/>
                <w:sz w:val="24"/>
                <w:u w:val="none"/>
                <w:lang w:val="zh-CN"/>
              </w:rPr>
              <w:t>，</w:t>
            </w:r>
            <w:r>
              <w:rPr>
                <w:color w:val="000000"/>
                <w:kern w:val="0"/>
                <w:sz w:val="24"/>
                <w:u w:val="none"/>
                <w:lang w:val="zh-CN"/>
              </w:rPr>
              <w:t>筛分、</w:t>
            </w:r>
            <w:r>
              <w:rPr>
                <w:rFonts w:hint="eastAsia"/>
                <w:color w:val="000000"/>
                <w:kern w:val="0"/>
                <w:sz w:val="24"/>
                <w:u w:val="none"/>
                <w:lang w:val="en-US" w:eastAsia="zh-CN"/>
              </w:rPr>
              <w:t>水洗与脱水工序</w:t>
            </w:r>
            <w:r>
              <w:rPr>
                <w:color w:val="000000"/>
                <w:kern w:val="0"/>
                <w:sz w:val="24"/>
                <w:u w:val="none"/>
                <w:lang w:val="zh-CN"/>
              </w:rPr>
              <w:t>废水</w:t>
            </w:r>
            <w:r>
              <w:rPr>
                <w:rFonts w:hint="eastAsia"/>
                <w:color w:val="000000"/>
                <w:kern w:val="0"/>
                <w:sz w:val="24"/>
                <w:u w:val="none"/>
                <w:lang w:val="zh-CN"/>
              </w:rPr>
              <w:t>在</w:t>
            </w:r>
            <w:r>
              <w:rPr>
                <w:rFonts w:hint="eastAsia"/>
                <w:color w:val="000000"/>
                <w:kern w:val="0"/>
                <w:sz w:val="24"/>
                <w:u w:val="none"/>
                <w:lang w:val="en-US" w:eastAsia="zh-CN"/>
              </w:rPr>
              <w:t>浓缩罐</w:t>
            </w:r>
            <w:r>
              <w:rPr>
                <w:color w:val="000000"/>
                <w:kern w:val="0"/>
                <w:sz w:val="24"/>
                <w:u w:val="none"/>
                <w:lang w:val="zh-CN"/>
              </w:rPr>
              <w:t>中</w:t>
            </w:r>
            <w:r>
              <w:rPr>
                <w:rFonts w:hint="eastAsia"/>
                <w:color w:val="000000"/>
                <w:kern w:val="0"/>
                <w:sz w:val="24"/>
                <w:u w:val="none"/>
                <w:lang w:val="zh-CN"/>
              </w:rPr>
              <w:t>经</w:t>
            </w:r>
            <w:r>
              <w:rPr>
                <w:rFonts w:hint="eastAsia"/>
                <w:color w:val="000000"/>
                <w:kern w:val="0"/>
                <w:sz w:val="24"/>
                <w:u w:val="none"/>
                <w:lang w:val="en-US" w:eastAsia="zh-CN"/>
              </w:rPr>
              <w:t>过</w:t>
            </w:r>
            <w:r>
              <w:rPr>
                <w:rFonts w:hint="eastAsia"/>
                <w:color w:val="000000"/>
                <w:kern w:val="0"/>
                <w:sz w:val="24"/>
                <w:u w:val="none"/>
                <w:lang w:val="zh-CN"/>
              </w:rPr>
              <w:t>加药（</w:t>
            </w:r>
            <w:r>
              <w:rPr>
                <w:rFonts w:hint="eastAsia"/>
                <w:color w:val="000000"/>
                <w:kern w:val="0"/>
                <w:sz w:val="24"/>
                <w:u w:val="none"/>
                <w:lang w:val="en-US" w:eastAsia="zh-CN"/>
              </w:rPr>
              <w:t>絮凝剂</w:t>
            </w:r>
            <w:r>
              <w:rPr>
                <w:rFonts w:hint="eastAsia"/>
                <w:color w:val="000000"/>
                <w:kern w:val="0"/>
                <w:sz w:val="24"/>
                <w:u w:val="none"/>
                <w:lang w:val="zh-CN"/>
              </w:rPr>
              <w:t>）浓缩沉淀后，浓缩沉淀后</w:t>
            </w:r>
            <w:r>
              <w:rPr>
                <w:color w:val="000000"/>
                <w:kern w:val="0"/>
                <w:sz w:val="24"/>
                <w:u w:val="none"/>
                <w:lang w:val="zh-CN"/>
              </w:rPr>
              <w:t>底部的泥砂</w:t>
            </w:r>
            <w:r>
              <w:rPr>
                <w:rFonts w:hint="eastAsia"/>
                <w:color w:val="000000"/>
                <w:kern w:val="0"/>
                <w:sz w:val="24"/>
                <w:u w:val="none"/>
                <w:lang w:val="zh-CN"/>
              </w:rPr>
              <w:t>进入板框压滤机压滤，</w:t>
            </w:r>
            <w:r>
              <w:rPr>
                <w:rFonts w:hint="eastAsia"/>
                <w:color w:val="000000"/>
                <w:kern w:val="0"/>
                <w:sz w:val="24"/>
                <w:u w:val="none"/>
                <w:lang w:val="en-US" w:eastAsia="zh-CN"/>
              </w:rPr>
              <w:t>泥饼含水率为10%，本</w:t>
            </w:r>
            <w:r>
              <w:rPr>
                <w:rFonts w:hint="eastAsia"/>
                <w:color w:val="000000"/>
                <w:kern w:val="0"/>
                <w:sz w:val="24"/>
                <w:u w:val="none"/>
                <w:lang w:val="zh-CN"/>
              </w:rPr>
              <w:t>项目</w:t>
            </w:r>
            <w:r>
              <w:rPr>
                <w:rFonts w:hint="eastAsia"/>
                <w:color w:val="000000"/>
                <w:kern w:val="0"/>
                <w:sz w:val="24"/>
                <w:u w:val="none"/>
                <w:lang w:val="en-US" w:eastAsia="zh-CN"/>
              </w:rPr>
              <w:t>泥饼</w:t>
            </w:r>
            <w:r>
              <w:rPr>
                <w:color w:val="000000"/>
                <w:kern w:val="0"/>
                <w:sz w:val="24"/>
                <w:u w:val="none"/>
                <w:lang w:val="zh-CN"/>
              </w:rPr>
              <w:t>干</w:t>
            </w:r>
            <w:r>
              <w:rPr>
                <w:rFonts w:hint="eastAsia"/>
                <w:color w:val="000000"/>
                <w:kern w:val="0"/>
                <w:sz w:val="24"/>
                <w:u w:val="none"/>
                <w:lang w:val="zh-CN"/>
              </w:rPr>
              <w:t>泥</w:t>
            </w:r>
            <w:r>
              <w:rPr>
                <w:color w:val="000000"/>
                <w:kern w:val="0"/>
                <w:sz w:val="24"/>
                <w:u w:val="none"/>
                <w:lang w:val="zh-CN"/>
              </w:rPr>
              <w:t>量为原</w:t>
            </w:r>
            <w:r>
              <w:rPr>
                <w:rFonts w:hint="eastAsia"/>
                <w:color w:val="000000"/>
                <w:kern w:val="0"/>
                <w:sz w:val="24"/>
                <w:u w:val="none"/>
                <w:lang w:val="en-US" w:eastAsia="zh-CN"/>
              </w:rPr>
              <w:t>材</w:t>
            </w:r>
            <w:r>
              <w:rPr>
                <w:color w:val="000000"/>
                <w:kern w:val="0"/>
                <w:sz w:val="24"/>
                <w:u w:val="none"/>
                <w:lang w:val="zh-CN"/>
              </w:rPr>
              <w:t>料用量的</w:t>
            </w:r>
            <w:r>
              <w:rPr>
                <w:rFonts w:hint="eastAsia"/>
                <w:color w:val="000000"/>
                <w:kern w:val="0"/>
                <w:sz w:val="24"/>
                <w:u w:val="none"/>
                <w:lang w:val="en-US" w:eastAsia="zh-CN"/>
              </w:rPr>
              <w:t>0.01</w:t>
            </w:r>
            <w:r>
              <w:rPr>
                <w:color w:val="000000"/>
                <w:kern w:val="0"/>
                <w:sz w:val="24"/>
                <w:u w:val="none"/>
                <w:lang w:val="zh-CN"/>
              </w:rPr>
              <w:t>%</w:t>
            </w:r>
            <w:r>
              <w:rPr>
                <w:rFonts w:hint="eastAsia"/>
                <w:color w:val="000000"/>
                <w:kern w:val="0"/>
                <w:sz w:val="24"/>
                <w:u w:val="none"/>
                <w:lang w:val="zh-CN"/>
              </w:rPr>
              <w:t>，</w:t>
            </w:r>
            <w:r>
              <w:rPr>
                <w:rFonts w:hint="eastAsia"/>
                <w:color w:val="000000"/>
                <w:kern w:val="0"/>
                <w:sz w:val="24"/>
                <w:u w:val="none"/>
                <w:lang w:val="en-US" w:eastAsia="zh-CN"/>
              </w:rPr>
              <w:t>本</w:t>
            </w:r>
            <w:r>
              <w:rPr>
                <w:rFonts w:hint="eastAsia"/>
                <w:color w:val="000000"/>
                <w:kern w:val="0"/>
                <w:sz w:val="24"/>
                <w:u w:val="none"/>
                <w:lang w:val="zh-CN"/>
              </w:rPr>
              <w:t>项目年处理</w:t>
            </w:r>
            <w:r>
              <w:rPr>
                <w:rFonts w:hint="eastAsia"/>
                <w:color w:val="000000"/>
                <w:kern w:val="0"/>
                <w:sz w:val="24"/>
                <w:u w:val="none"/>
                <w:lang w:val="en-US" w:eastAsia="zh-CN"/>
              </w:rPr>
              <w:t>1</w:t>
            </w:r>
            <w:r>
              <w:rPr>
                <w:rFonts w:hint="eastAsia"/>
                <w:color w:val="000000"/>
                <w:kern w:val="0"/>
                <w:sz w:val="24"/>
                <w:u w:val="none"/>
                <w:lang w:val="zh-CN"/>
              </w:rPr>
              <w:t>0万吨</w:t>
            </w:r>
            <w:r>
              <w:rPr>
                <w:rFonts w:hint="eastAsia"/>
                <w:color w:val="000000"/>
                <w:kern w:val="0"/>
                <w:sz w:val="24"/>
                <w:u w:val="none"/>
                <w:lang w:val="en-US" w:eastAsia="zh-CN"/>
              </w:rPr>
              <w:t>原材料</w:t>
            </w:r>
            <w:r>
              <w:rPr>
                <w:rFonts w:hint="eastAsia"/>
                <w:color w:val="000000"/>
                <w:kern w:val="0"/>
                <w:sz w:val="24"/>
                <w:u w:val="none"/>
                <w:lang w:val="zh-CN"/>
              </w:rPr>
              <w:t>，则</w:t>
            </w:r>
            <w:r>
              <w:rPr>
                <w:color w:val="000000"/>
                <w:kern w:val="0"/>
                <w:sz w:val="24"/>
                <w:u w:val="none"/>
                <w:lang w:val="zh-CN"/>
              </w:rPr>
              <w:t>项目</w:t>
            </w:r>
            <w:r>
              <w:rPr>
                <w:rFonts w:hint="eastAsia"/>
                <w:color w:val="000000"/>
                <w:kern w:val="0"/>
                <w:sz w:val="24"/>
                <w:u w:val="none"/>
                <w:lang w:val="en-US" w:eastAsia="zh-CN"/>
              </w:rPr>
              <w:t>泥饼</w:t>
            </w:r>
            <w:r>
              <w:rPr>
                <w:rFonts w:hint="eastAsia"/>
                <w:color w:val="000000"/>
                <w:kern w:val="0"/>
                <w:sz w:val="24"/>
                <w:u w:val="none"/>
                <w:lang w:val="zh-CN"/>
              </w:rPr>
              <w:t>产生量为</w:t>
            </w:r>
            <w:r>
              <w:rPr>
                <w:rFonts w:hint="eastAsia"/>
                <w:color w:val="000000"/>
                <w:kern w:val="0"/>
                <w:sz w:val="24"/>
                <w:u w:val="none"/>
                <w:lang w:val="en-US" w:eastAsia="zh-CN"/>
              </w:rPr>
              <w:t>1</w:t>
            </w:r>
            <w:r>
              <w:rPr>
                <w:rFonts w:hint="eastAsia"/>
                <w:color w:val="000000"/>
                <w:kern w:val="0"/>
                <w:sz w:val="24"/>
                <w:u w:val="none"/>
                <w:lang w:val="zh-CN"/>
              </w:rPr>
              <w:t>0</w:t>
            </w:r>
            <w:r>
              <w:rPr>
                <w:color w:val="000000"/>
                <w:kern w:val="0"/>
                <w:sz w:val="24"/>
                <w:u w:val="none"/>
                <w:lang w:val="zh-CN"/>
              </w:rPr>
              <w:t>t/a</w:t>
            </w:r>
            <w:r>
              <w:rPr>
                <w:rFonts w:hint="eastAsia"/>
                <w:color w:val="000000"/>
                <w:kern w:val="0"/>
                <w:sz w:val="24"/>
                <w:u w:val="none"/>
                <w:lang w:val="zh-CN"/>
              </w:rPr>
              <w:t>，</w:t>
            </w:r>
            <w:r>
              <w:rPr>
                <w:rFonts w:hint="eastAsia"/>
                <w:color w:val="000000"/>
                <w:kern w:val="0"/>
                <w:sz w:val="24"/>
                <w:u w:val="none"/>
                <w:lang w:val="en-US" w:eastAsia="zh-CN"/>
              </w:rPr>
              <w:t>压滤后的泥饼能</w:t>
            </w:r>
            <w:r>
              <w:rPr>
                <w:rFonts w:hint="eastAsia" w:ascii="Times New Roman" w:hAnsi="Times New Roman" w:eastAsia="宋体" w:cs="Times New Roman"/>
                <w:color w:val="000000"/>
                <w:kern w:val="0"/>
                <w:sz w:val="24"/>
                <w:u w:val="none"/>
                <w:lang w:val="en-US" w:eastAsia="zh-CN"/>
              </w:rPr>
              <w:t>暂存于一般固废</w:t>
            </w:r>
            <w:r>
              <w:rPr>
                <w:rFonts w:hint="default" w:ascii="Times New Roman" w:hAnsi="Times New Roman" w:eastAsia="宋体" w:cs="Times New Roman"/>
                <w:color w:val="000000"/>
                <w:kern w:val="0"/>
                <w:sz w:val="24"/>
                <w:u w:val="none"/>
                <w:lang w:val="en-US" w:eastAsia="zh-CN"/>
              </w:rPr>
              <w:t>暂存</w:t>
            </w:r>
            <w:r>
              <w:rPr>
                <w:rFonts w:hint="eastAsia" w:ascii="Times New Roman" w:hAnsi="Times New Roman" w:eastAsia="宋体" w:cs="Times New Roman"/>
                <w:color w:val="000000"/>
                <w:kern w:val="0"/>
                <w:sz w:val="24"/>
                <w:u w:val="none"/>
                <w:lang w:val="en-US" w:eastAsia="zh-CN"/>
              </w:rPr>
              <w:t>间</w:t>
            </w:r>
            <w:r>
              <w:rPr>
                <w:rFonts w:hint="eastAsia" w:cs="Times New Roman"/>
                <w:color w:val="000000"/>
                <w:kern w:val="0"/>
                <w:sz w:val="24"/>
                <w:u w:val="none"/>
                <w:lang w:val="en-US" w:eastAsia="zh-CN"/>
              </w:rPr>
              <w:t>定期回填土地</w:t>
            </w:r>
            <w:r>
              <w:rPr>
                <w:rFonts w:hint="eastAsia"/>
                <w:color w:val="000000"/>
                <w:kern w:val="0"/>
                <w:sz w:val="24"/>
                <w:u w:val="none"/>
                <w:lang w:val="en-US" w:eastAsia="zh-CN"/>
              </w:rPr>
              <w:t>处理。</w:t>
            </w:r>
          </w:p>
          <w:p w14:paraId="4919FDDE">
            <w:pPr>
              <w:pStyle w:val="13"/>
              <w:keepNext w:val="0"/>
              <w:keepLines w:val="0"/>
              <w:pageBreakBefore w:val="0"/>
              <w:widowControl w:val="0"/>
              <w:numPr>
                <w:ilvl w:val="0"/>
                <w:numId w:val="0"/>
              </w:numPr>
              <w:kinsoku/>
              <w:wordWrap/>
              <w:overflowPunct/>
              <w:topLinePunct w:val="0"/>
              <w:bidi w:val="0"/>
              <w:spacing w:before="0" w:line="500" w:lineRule="exact"/>
              <w:ind w:left="0" w:leftChars="0" w:right="0" w:rightChars="0" w:firstLine="480" w:firstLineChars="200"/>
              <w:textAlignment w:val="auto"/>
              <w:rPr>
                <w:rFonts w:hint="default" w:ascii="Times New Roman" w:hAnsi="Times New Roman" w:eastAsia="宋体" w:cs="Times New Roman"/>
                <w:color w:val="000000"/>
                <w:kern w:val="0"/>
                <w:sz w:val="24"/>
                <w:szCs w:val="24"/>
                <w:u w:val="none"/>
                <w:lang w:val="en-US" w:eastAsia="zh-CN"/>
              </w:rPr>
            </w:pPr>
            <w:r>
              <w:rPr>
                <w:rFonts w:hint="default" w:ascii="Times New Roman" w:hAnsi="Times New Roman" w:eastAsia="宋体" w:cs="Times New Roman"/>
                <w:color w:val="000000"/>
                <w:kern w:val="0"/>
                <w:sz w:val="24"/>
                <w:szCs w:val="24"/>
                <w:lang w:val="en-US" w:eastAsia="zh-CN" w:bidi="ar-SA"/>
              </w:rPr>
              <w:t>（</w:t>
            </w:r>
            <w:r>
              <w:rPr>
                <w:rFonts w:hint="eastAsia" w:cs="Times New Roman"/>
                <w:color w:val="000000"/>
                <w:kern w:val="0"/>
                <w:sz w:val="24"/>
                <w:szCs w:val="24"/>
                <w:lang w:val="en-US" w:eastAsia="zh-CN" w:bidi="ar-SA"/>
              </w:rPr>
              <w:t>2</w:t>
            </w:r>
            <w:r>
              <w:rPr>
                <w:rFonts w:hint="default" w:ascii="Times New Roman" w:hAnsi="Times New Roman" w:eastAsia="宋体" w:cs="Times New Roman"/>
                <w:color w:val="000000"/>
                <w:kern w:val="0"/>
                <w:sz w:val="24"/>
                <w:szCs w:val="24"/>
                <w:lang w:val="en-US" w:eastAsia="zh-CN" w:bidi="ar-SA"/>
              </w:rPr>
              <w:t>）</w:t>
            </w:r>
            <w:r>
              <w:rPr>
                <w:rFonts w:hint="default" w:ascii="Times New Roman" w:hAnsi="Times New Roman" w:eastAsia="宋体" w:cs="Times New Roman"/>
                <w:color w:val="000000"/>
                <w:kern w:val="0"/>
                <w:sz w:val="24"/>
                <w:szCs w:val="24"/>
                <w:u w:val="none"/>
                <w:lang w:val="en-US" w:eastAsia="zh-CN"/>
              </w:rPr>
              <w:t>车辆冲洗沉淀池</w:t>
            </w:r>
            <w:r>
              <w:rPr>
                <w:rFonts w:hint="eastAsia" w:cs="Times New Roman"/>
                <w:color w:val="000000"/>
                <w:kern w:val="0"/>
                <w:sz w:val="24"/>
                <w:szCs w:val="24"/>
                <w:u w:val="none"/>
                <w:lang w:val="en-US" w:eastAsia="zh-CN"/>
              </w:rPr>
              <w:t>沉淀</w:t>
            </w:r>
          </w:p>
          <w:p w14:paraId="60D40E64">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000000"/>
                <w:sz w:val="24"/>
                <w:szCs w:val="24"/>
                <w:u w:val="none"/>
                <w:lang w:val="zh-CN" w:eastAsia="zh-CN"/>
              </w:rPr>
            </w:pPr>
            <w:r>
              <w:rPr>
                <w:rFonts w:hint="default" w:ascii="Times New Roman" w:hAnsi="Times New Roman" w:eastAsia="宋体" w:cs="Times New Roman"/>
                <w:color w:val="000000"/>
                <w:sz w:val="24"/>
                <w:szCs w:val="24"/>
                <w:u w:val="none"/>
                <w:lang w:val="zh-CN" w:eastAsia="zh-CN"/>
              </w:rPr>
              <w:t>本项目车辆冲洗配备沉淀池，</w:t>
            </w:r>
            <w:r>
              <w:rPr>
                <w:rFonts w:hint="eastAsia"/>
                <w:sz w:val="24"/>
                <w:szCs w:val="24"/>
                <w:u w:val="none"/>
                <w:lang w:val="en-US" w:eastAsia="zh-CN"/>
              </w:rPr>
              <w:t>本</w:t>
            </w:r>
            <w:r>
              <w:rPr>
                <w:rFonts w:hint="eastAsia"/>
                <w:sz w:val="24"/>
                <w:szCs w:val="24"/>
                <w:u w:val="none"/>
              </w:rPr>
              <w:t>项目车辆冲洗用水量约为</w:t>
            </w:r>
            <w:r>
              <w:rPr>
                <w:rFonts w:hint="eastAsia"/>
                <w:sz w:val="24"/>
                <w:szCs w:val="24"/>
                <w:u w:val="none"/>
                <w:lang w:val="en-US" w:eastAsia="zh-CN"/>
              </w:rPr>
              <w:t>4.66</w:t>
            </w:r>
            <w:r>
              <w:rPr>
                <w:rFonts w:hint="eastAsia"/>
                <w:sz w:val="24"/>
                <w:szCs w:val="24"/>
                <w:u w:val="none"/>
              </w:rPr>
              <w:t>m</w:t>
            </w:r>
            <w:r>
              <w:rPr>
                <w:rFonts w:hint="eastAsia"/>
                <w:sz w:val="24"/>
                <w:szCs w:val="24"/>
                <w:u w:val="none"/>
                <w:vertAlign w:val="superscript"/>
              </w:rPr>
              <w:t>3</w:t>
            </w:r>
            <w:r>
              <w:rPr>
                <w:rFonts w:hint="eastAsia"/>
                <w:sz w:val="24"/>
                <w:szCs w:val="24"/>
                <w:u w:val="none"/>
              </w:rPr>
              <w:t>/d</w:t>
            </w:r>
            <w:r>
              <w:rPr>
                <w:rFonts w:hint="eastAsia"/>
                <w:sz w:val="24"/>
                <w:szCs w:val="24"/>
                <w:u w:val="none"/>
                <w:lang w:eastAsia="zh-CN"/>
              </w:rPr>
              <w:t>，</w:t>
            </w:r>
            <w:r>
              <w:rPr>
                <w:rFonts w:hint="eastAsia"/>
                <w:sz w:val="24"/>
                <w:szCs w:val="24"/>
                <w:u w:val="none"/>
                <w:lang w:val="en-US" w:eastAsia="zh-CN"/>
              </w:rPr>
              <w:t>1400</w:t>
            </w:r>
            <w:r>
              <w:rPr>
                <w:rFonts w:hint="eastAsia"/>
                <w:sz w:val="24"/>
                <w:szCs w:val="24"/>
                <w:u w:val="none"/>
              </w:rPr>
              <w:t>m</w:t>
            </w:r>
            <w:r>
              <w:rPr>
                <w:rFonts w:hint="eastAsia"/>
                <w:sz w:val="24"/>
                <w:szCs w:val="24"/>
                <w:u w:val="none"/>
                <w:vertAlign w:val="superscript"/>
              </w:rPr>
              <w:t>3</w:t>
            </w:r>
            <w:r>
              <w:rPr>
                <w:rFonts w:hint="eastAsia"/>
                <w:sz w:val="24"/>
                <w:szCs w:val="24"/>
                <w:u w:val="none"/>
              </w:rPr>
              <w:t>/a</w:t>
            </w:r>
            <w:r>
              <w:rPr>
                <w:rFonts w:hint="eastAsia"/>
                <w:sz w:val="24"/>
                <w:szCs w:val="24"/>
                <w:u w:val="none"/>
                <w:lang w:eastAsia="zh-CN"/>
              </w:rPr>
              <w:t>，</w:t>
            </w:r>
            <w:r>
              <w:rPr>
                <w:rFonts w:hint="eastAsia"/>
                <w:sz w:val="24"/>
                <w:szCs w:val="24"/>
                <w:highlight w:val="none"/>
                <w:u w:val="none"/>
                <w:lang w:eastAsia="zh-CN"/>
              </w:rPr>
              <w:t>污水</w:t>
            </w:r>
            <w:r>
              <w:rPr>
                <w:rFonts w:hint="eastAsia"/>
                <w:sz w:val="24"/>
                <w:szCs w:val="24"/>
                <w:highlight w:val="none"/>
                <w:u w:val="none"/>
                <w:lang w:val="en-US" w:eastAsia="zh-CN"/>
              </w:rPr>
              <w:t>损耗按</w:t>
            </w:r>
            <w:r>
              <w:rPr>
                <w:rFonts w:hint="eastAsia"/>
                <w:sz w:val="24"/>
                <w:szCs w:val="24"/>
                <w:highlight w:val="none"/>
                <w:u w:val="none"/>
                <w:lang w:eastAsia="zh-CN"/>
              </w:rPr>
              <w:t>按0.</w:t>
            </w:r>
            <w:r>
              <w:rPr>
                <w:rFonts w:hint="eastAsia"/>
                <w:sz w:val="24"/>
                <w:szCs w:val="24"/>
                <w:highlight w:val="none"/>
                <w:u w:val="none"/>
                <w:lang w:val="en-US" w:eastAsia="zh-CN"/>
              </w:rPr>
              <w:t>8</w:t>
            </w:r>
            <w:r>
              <w:rPr>
                <w:rFonts w:hint="eastAsia"/>
                <w:sz w:val="24"/>
                <w:szCs w:val="24"/>
                <w:highlight w:val="none"/>
                <w:u w:val="none"/>
                <w:lang w:eastAsia="zh-CN"/>
              </w:rPr>
              <w:t>计，</w:t>
            </w:r>
            <w:r>
              <w:rPr>
                <w:rFonts w:hint="eastAsia"/>
                <w:sz w:val="24"/>
                <w:szCs w:val="24"/>
                <w:highlight w:val="none"/>
                <w:u w:val="none"/>
                <w:lang w:val="en-US" w:eastAsia="zh-CN"/>
              </w:rPr>
              <w:t>则车辆冲洗废水产生量为3.73</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/d</w:t>
            </w:r>
            <w:r>
              <w:rPr>
                <w:rFonts w:hint="eastAsia"/>
                <w:sz w:val="24"/>
                <w:szCs w:val="24"/>
                <w:highlight w:val="none"/>
                <w:u w:val="none"/>
                <w:lang w:eastAsia="zh-CN"/>
              </w:rPr>
              <w:t>，</w:t>
            </w:r>
            <w:r>
              <w:rPr>
                <w:rFonts w:hint="eastAsia"/>
                <w:sz w:val="24"/>
                <w:szCs w:val="24"/>
                <w:highlight w:val="none"/>
                <w:u w:val="none"/>
                <w:lang w:val="en-US" w:eastAsia="zh-CN"/>
              </w:rPr>
              <w:t>1120</w:t>
            </w:r>
            <w:r>
              <w:rPr>
                <w:rFonts w:hint="eastAsia"/>
                <w:sz w:val="24"/>
                <w:szCs w:val="24"/>
                <w:highlight w:val="none"/>
                <w:u w:val="none"/>
              </w:rPr>
              <w:t>m</w:t>
            </w:r>
            <w:r>
              <w:rPr>
                <w:rFonts w:hint="eastAsia"/>
                <w:sz w:val="24"/>
                <w:szCs w:val="24"/>
                <w:highlight w:val="none"/>
                <w:u w:val="none"/>
                <w:vertAlign w:val="superscript"/>
              </w:rPr>
              <w:t>3</w:t>
            </w:r>
            <w:r>
              <w:rPr>
                <w:rFonts w:hint="eastAsia"/>
                <w:sz w:val="24"/>
                <w:szCs w:val="24"/>
                <w:highlight w:val="none"/>
                <w:u w:val="none"/>
              </w:rPr>
              <w:t>/a</w:t>
            </w:r>
            <w:r>
              <w:rPr>
                <w:rFonts w:hint="default" w:ascii="Times New Roman" w:hAnsi="Times New Roman" w:eastAsia="宋体" w:cs="Times New Roman"/>
                <w:color w:val="000000"/>
                <w:sz w:val="24"/>
                <w:szCs w:val="24"/>
                <w:highlight w:val="none"/>
                <w:u w:val="none"/>
                <w:lang w:val="zh-CN" w:eastAsia="zh-CN"/>
              </w:rPr>
              <w:t>，废水中悬浮物浓度约为2000mg</w:t>
            </w:r>
            <w:r>
              <w:rPr>
                <w:rFonts w:hint="eastAsia" w:ascii="Times New Roman" w:hAnsi="Times New Roman" w:eastAsia="宋体" w:cs="Times New Roman"/>
                <w:color w:val="000000"/>
                <w:sz w:val="24"/>
                <w:szCs w:val="24"/>
                <w:highlight w:val="none"/>
                <w:u w:val="none"/>
                <w:lang w:val="en-US" w:eastAsia="zh-CN"/>
              </w:rPr>
              <w:t>/L</w:t>
            </w:r>
            <w:r>
              <w:rPr>
                <w:rFonts w:hint="default" w:ascii="Times New Roman" w:hAnsi="Times New Roman" w:eastAsia="宋体" w:cs="Times New Roman"/>
                <w:color w:val="000000"/>
                <w:sz w:val="24"/>
                <w:szCs w:val="24"/>
                <w:highlight w:val="none"/>
                <w:u w:val="none"/>
                <w:lang w:val="zh-CN" w:eastAsia="zh-CN"/>
              </w:rPr>
              <w:t>，</w:t>
            </w:r>
            <w:r>
              <w:rPr>
                <w:rFonts w:hint="eastAsia" w:cs="Times New Roman"/>
                <w:color w:val="000000"/>
                <w:sz w:val="24"/>
                <w:szCs w:val="24"/>
                <w:highlight w:val="none"/>
                <w:u w:val="none"/>
                <w:lang w:val="en-US" w:eastAsia="zh-CN"/>
              </w:rPr>
              <w:t>沉淀污泥</w:t>
            </w:r>
            <w:r>
              <w:rPr>
                <w:rFonts w:hint="default" w:ascii="Times New Roman" w:hAnsi="Times New Roman" w:eastAsia="宋体" w:cs="Times New Roman"/>
                <w:color w:val="000000"/>
                <w:sz w:val="24"/>
                <w:szCs w:val="24"/>
                <w:highlight w:val="none"/>
                <w:u w:val="none"/>
                <w:lang w:val="zh-CN" w:eastAsia="zh-CN"/>
              </w:rPr>
              <w:t>含水率按80%计，</w:t>
            </w:r>
            <w:r>
              <w:rPr>
                <w:rFonts w:hint="eastAsia" w:cs="Times New Roman"/>
                <w:color w:val="000000"/>
                <w:sz w:val="24"/>
                <w:szCs w:val="24"/>
                <w:highlight w:val="none"/>
                <w:u w:val="none"/>
                <w:lang w:val="en-US" w:eastAsia="zh-CN"/>
              </w:rPr>
              <w:t>干污泥</w:t>
            </w:r>
            <w:r>
              <w:rPr>
                <w:rFonts w:hint="default" w:ascii="Times New Roman" w:hAnsi="Times New Roman" w:eastAsia="宋体" w:cs="Times New Roman"/>
                <w:color w:val="000000"/>
                <w:sz w:val="24"/>
                <w:szCs w:val="24"/>
                <w:highlight w:val="none"/>
                <w:u w:val="none"/>
                <w:lang w:val="zh-CN" w:eastAsia="zh-CN"/>
              </w:rPr>
              <w:t>产生量为</w:t>
            </w:r>
            <w:r>
              <w:rPr>
                <w:rFonts w:hint="eastAsia" w:cs="Times New Roman"/>
                <w:color w:val="000000"/>
                <w:sz w:val="24"/>
                <w:szCs w:val="24"/>
                <w:highlight w:val="none"/>
                <w:u w:val="none"/>
                <w:lang w:val="en-US" w:eastAsia="zh-CN"/>
              </w:rPr>
              <w:t>11.2</w:t>
            </w:r>
            <w:r>
              <w:rPr>
                <w:rFonts w:hint="default" w:ascii="Times New Roman" w:hAnsi="Times New Roman" w:eastAsia="宋体" w:cs="Times New Roman"/>
                <w:color w:val="000000"/>
                <w:sz w:val="24"/>
                <w:szCs w:val="24"/>
                <w:highlight w:val="none"/>
                <w:u w:val="none"/>
                <w:lang w:val="zh-CN" w:eastAsia="zh-CN"/>
              </w:rPr>
              <w:t>t/a，</w:t>
            </w:r>
            <w:r>
              <w:rPr>
                <w:rFonts w:hint="eastAsia" w:cs="Times New Roman"/>
                <w:color w:val="000000"/>
                <w:sz w:val="24"/>
                <w:szCs w:val="24"/>
                <w:highlight w:val="none"/>
                <w:u w:val="none"/>
                <w:lang w:val="en-US" w:eastAsia="zh-CN"/>
              </w:rPr>
              <w:t>沉淀污泥</w:t>
            </w:r>
            <w:r>
              <w:rPr>
                <w:rFonts w:hint="default" w:ascii="Times New Roman" w:hAnsi="Times New Roman" w:eastAsia="宋体" w:cs="Times New Roman"/>
                <w:color w:val="000000"/>
                <w:sz w:val="24"/>
                <w:szCs w:val="24"/>
                <w:u w:val="none"/>
                <w:lang w:val="zh-CN" w:eastAsia="zh-CN"/>
              </w:rPr>
              <w:t>为一般固废</w:t>
            </w:r>
            <w:r>
              <w:rPr>
                <w:rFonts w:hint="eastAsia" w:cs="Times New Roman"/>
                <w:color w:val="000000"/>
                <w:sz w:val="24"/>
                <w:szCs w:val="24"/>
                <w:u w:val="none"/>
                <w:lang w:val="en-US" w:eastAsia="zh-CN"/>
              </w:rPr>
              <w:t>与泥饼</w:t>
            </w:r>
            <w:r>
              <w:rPr>
                <w:rFonts w:hint="eastAsia" w:ascii="Times New Roman" w:hAnsi="Times New Roman" w:eastAsia="宋体" w:cs="Times New Roman"/>
                <w:color w:val="000000"/>
                <w:kern w:val="0"/>
                <w:sz w:val="24"/>
                <w:u w:val="none"/>
                <w:lang w:val="en-US" w:eastAsia="zh-CN"/>
              </w:rPr>
              <w:t>暂存于一般固废</w:t>
            </w:r>
            <w:r>
              <w:rPr>
                <w:rFonts w:hint="default" w:ascii="Times New Roman" w:hAnsi="Times New Roman" w:eastAsia="宋体" w:cs="Times New Roman"/>
                <w:color w:val="000000"/>
                <w:kern w:val="0"/>
                <w:sz w:val="24"/>
                <w:u w:val="none"/>
                <w:lang w:val="en-US" w:eastAsia="zh-CN"/>
              </w:rPr>
              <w:t>暂存</w:t>
            </w:r>
            <w:r>
              <w:rPr>
                <w:rFonts w:hint="eastAsia" w:ascii="Times New Roman" w:hAnsi="Times New Roman" w:eastAsia="宋体" w:cs="Times New Roman"/>
                <w:color w:val="000000"/>
                <w:kern w:val="0"/>
                <w:sz w:val="24"/>
                <w:u w:val="none"/>
                <w:lang w:val="en-US" w:eastAsia="zh-CN"/>
              </w:rPr>
              <w:t>间后</w:t>
            </w:r>
            <w:r>
              <w:rPr>
                <w:rFonts w:hint="default" w:ascii="Times New Roman" w:hAnsi="Times New Roman" w:eastAsia="宋体" w:cs="Times New Roman"/>
                <w:color w:val="000000"/>
                <w:sz w:val="24"/>
                <w:szCs w:val="24"/>
                <w:u w:val="none"/>
                <w:lang w:val="zh-CN" w:eastAsia="zh-CN"/>
              </w:rPr>
              <w:t>运至周边</w:t>
            </w:r>
            <w:r>
              <w:rPr>
                <w:rFonts w:hint="eastAsia" w:ascii="Times New Roman" w:hAnsi="Times New Roman" w:eastAsia="宋体" w:cs="Times New Roman"/>
                <w:color w:val="000000"/>
                <w:sz w:val="24"/>
                <w:szCs w:val="24"/>
                <w:u w:val="none"/>
                <w:lang w:val="en-US" w:eastAsia="zh-CN"/>
              </w:rPr>
              <w:t>土地</w:t>
            </w:r>
            <w:r>
              <w:rPr>
                <w:rFonts w:hint="default" w:ascii="Times New Roman" w:hAnsi="Times New Roman" w:eastAsia="宋体" w:cs="Times New Roman"/>
                <w:color w:val="000000"/>
                <w:sz w:val="24"/>
                <w:szCs w:val="24"/>
                <w:u w:val="none"/>
                <w:lang w:val="zh-CN" w:eastAsia="zh-CN"/>
              </w:rPr>
              <w:t>填方</w:t>
            </w:r>
            <w:r>
              <w:rPr>
                <w:rFonts w:hint="eastAsia" w:cs="Times New Roman"/>
                <w:color w:val="000000"/>
                <w:sz w:val="24"/>
                <w:szCs w:val="24"/>
                <w:u w:val="none"/>
                <w:lang w:val="en-US" w:eastAsia="zh-CN"/>
              </w:rPr>
              <w:t>处理</w:t>
            </w:r>
            <w:r>
              <w:rPr>
                <w:rFonts w:hint="default" w:ascii="Times New Roman" w:hAnsi="Times New Roman" w:eastAsia="宋体" w:cs="Times New Roman"/>
                <w:color w:val="000000"/>
                <w:sz w:val="24"/>
                <w:szCs w:val="24"/>
                <w:u w:val="none"/>
                <w:lang w:val="zh-CN" w:eastAsia="zh-CN"/>
              </w:rPr>
              <w:t>。</w:t>
            </w:r>
          </w:p>
          <w:p w14:paraId="7E5CD415">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default" w:ascii="Times New Roman" w:hAnsi="Times New Roman" w:eastAsia="宋体"/>
                <w:color w:val="000000"/>
                <w:kern w:val="0"/>
                <w:sz w:val="24"/>
                <w:szCs w:val="24"/>
                <w:u w:val="none"/>
                <w:lang w:val="en-US" w:eastAsia="zh-CN"/>
              </w:rPr>
            </w:pPr>
            <w:r>
              <w:rPr>
                <w:rFonts w:ascii="Times New Roman" w:hAnsi="Times New Roman"/>
                <w:color w:val="000000"/>
                <w:kern w:val="0"/>
                <w:sz w:val="24"/>
                <w:szCs w:val="24"/>
                <w:u w:val="none"/>
                <w:lang w:val="zh-CN"/>
              </w:rPr>
              <w:t>（</w:t>
            </w:r>
            <w:r>
              <w:rPr>
                <w:rFonts w:hint="eastAsia"/>
                <w:color w:val="000000"/>
                <w:kern w:val="0"/>
                <w:sz w:val="24"/>
                <w:szCs w:val="24"/>
                <w:u w:val="none"/>
                <w:lang w:val="en-US" w:eastAsia="zh-CN"/>
              </w:rPr>
              <w:t>3</w:t>
            </w:r>
            <w:r>
              <w:rPr>
                <w:rFonts w:ascii="Times New Roman" w:hAnsi="Times New Roman"/>
                <w:color w:val="000000"/>
                <w:kern w:val="0"/>
                <w:sz w:val="24"/>
                <w:szCs w:val="24"/>
                <w:u w:val="none"/>
                <w:lang w:val="zh-CN"/>
              </w:rPr>
              <w:t>）</w:t>
            </w:r>
            <w:r>
              <w:rPr>
                <w:rFonts w:hint="default" w:ascii="Times New Roman" w:hAnsi="Times New Roman"/>
                <w:color w:val="000000"/>
                <w:kern w:val="0"/>
                <w:sz w:val="24"/>
                <w:szCs w:val="24"/>
                <w:u w:val="none"/>
                <w:lang w:val="zh-CN"/>
              </w:rPr>
              <w:t>袋式除尘器收集</w:t>
            </w:r>
            <w:r>
              <w:rPr>
                <w:rFonts w:hint="eastAsia"/>
                <w:color w:val="000000"/>
                <w:kern w:val="0"/>
                <w:sz w:val="24"/>
                <w:szCs w:val="24"/>
                <w:u w:val="none"/>
                <w:lang w:val="en-US" w:eastAsia="zh-CN"/>
              </w:rPr>
              <w:t>颗粒物及更换废布袋</w:t>
            </w:r>
          </w:p>
          <w:p w14:paraId="2BDDE4D3">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default" w:ascii="Times New Roman" w:hAnsi="Times New Roman"/>
                <w:color w:val="000000"/>
                <w:kern w:val="0"/>
                <w:sz w:val="24"/>
                <w:szCs w:val="24"/>
                <w:highlight w:val="none"/>
                <w:u w:val="none"/>
                <w:lang w:val="zh-CN"/>
              </w:rPr>
            </w:pPr>
            <w:r>
              <w:rPr>
                <w:rFonts w:hint="default" w:ascii="Times New Roman" w:hAnsi="Times New Roman"/>
                <w:color w:val="000000"/>
                <w:sz w:val="24"/>
                <w:szCs w:val="24"/>
                <w:u w:val="none"/>
              </w:rPr>
              <w:t>根据项目工程分析，</w:t>
            </w:r>
            <w:r>
              <w:rPr>
                <w:rFonts w:hint="default" w:ascii="Times New Roman" w:hAnsi="Times New Roman"/>
                <w:color w:val="000000"/>
                <w:sz w:val="24"/>
                <w:szCs w:val="24"/>
                <w:highlight w:val="none"/>
                <w:u w:val="none"/>
              </w:rPr>
              <w:t>本项目袋式除尘器收集</w:t>
            </w:r>
            <w:r>
              <w:rPr>
                <w:rFonts w:hint="eastAsia"/>
                <w:color w:val="000000"/>
                <w:sz w:val="24"/>
                <w:szCs w:val="24"/>
                <w:highlight w:val="none"/>
                <w:u w:val="none"/>
                <w:lang w:val="en-US" w:eastAsia="zh-CN"/>
              </w:rPr>
              <w:t>的颗粒物</w:t>
            </w:r>
            <w:r>
              <w:rPr>
                <w:rFonts w:hint="default" w:ascii="Times New Roman" w:hAnsi="Times New Roman"/>
                <w:color w:val="000000"/>
                <w:sz w:val="24"/>
                <w:szCs w:val="24"/>
                <w:highlight w:val="none"/>
                <w:u w:val="none"/>
              </w:rPr>
              <w:t>产生量</w:t>
            </w:r>
            <w:r>
              <w:rPr>
                <w:rFonts w:hint="eastAsia"/>
                <w:color w:val="000000"/>
                <w:sz w:val="24"/>
                <w:szCs w:val="24"/>
                <w:highlight w:val="none"/>
                <w:u w:val="none"/>
                <w:lang w:val="en-US" w:eastAsia="zh-CN"/>
              </w:rPr>
              <w:t>约</w:t>
            </w:r>
            <w:r>
              <w:rPr>
                <w:rFonts w:hint="default" w:ascii="Times New Roman" w:hAnsi="Times New Roman"/>
                <w:color w:val="000000"/>
                <w:sz w:val="24"/>
                <w:szCs w:val="24"/>
                <w:highlight w:val="none"/>
                <w:u w:val="none"/>
              </w:rPr>
              <w:t>为</w:t>
            </w:r>
            <w:r>
              <w:rPr>
                <w:rFonts w:hint="eastAsia"/>
                <w:color w:val="000000"/>
                <w:sz w:val="24"/>
                <w:szCs w:val="24"/>
                <w:highlight w:val="none"/>
                <w:u w:val="none"/>
                <w:lang w:val="en-US" w:eastAsia="zh-CN"/>
              </w:rPr>
              <w:t>78.12</w:t>
            </w:r>
            <w:r>
              <w:rPr>
                <w:rFonts w:hint="default" w:ascii="Times New Roman" w:hAnsi="Times New Roman"/>
                <w:color w:val="000000"/>
                <w:sz w:val="24"/>
                <w:szCs w:val="24"/>
                <w:highlight w:val="none"/>
                <w:u w:val="none"/>
              </w:rPr>
              <w:t>t/a，</w:t>
            </w:r>
            <w:r>
              <w:rPr>
                <w:rFonts w:hint="eastAsia"/>
                <w:color w:val="000000"/>
                <w:sz w:val="24"/>
                <w:szCs w:val="24"/>
                <w:highlight w:val="none"/>
                <w:u w:val="none"/>
                <w:lang w:val="en-US" w:eastAsia="zh-CN"/>
              </w:rPr>
              <w:t>定期对袋式除尘器进</w:t>
            </w:r>
            <w:r>
              <w:rPr>
                <w:rFonts w:hint="eastAsia"/>
                <w:color w:val="000000"/>
                <w:sz w:val="24"/>
                <w:szCs w:val="24"/>
                <w:u w:val="none"/>
                <w:lang w:val="en-US" w:eastAsia="zh-CN"/>
              </w:rPr>
              <w:t>行检查或者更换滤袋，并对收集到颗粒物回用至水稳生产工序中</w:t>
            </w:r>
            <w:r>
              <w:rPr>
                <w:rFonts w:hint="eastAsia"/>
                <w:color w:val="000000"/>
                <w:sz w:val="24"/>
                <w:szCs w:val="24"/>
                <w:highlight w:val="none"/>
                <w:u w:val="none"/>
                <w:lang w:val="en-US" w:eastAsia="zh-CN"/>
              </w:rPr>
              <w:t>，</w:t>
            </w:r>
            <w:r>
              <w:rPr>
                <w:rFonts w:hint="eastAsia"/>
                <w:color w:val="000000"/>
                <w:sz w:val="24"/>
                <w:szCs w:val="24"/>
                <w:u w:val="none"/>
                <w:lang w:val="en-US" w:eastAsia="zh-CN"/>
              </w:rPr>
              <w:t>滤袋每三个月更换一次，滤袋数量为</w:t>
            </w:r>
            <w:r>
              <w:rPr>
                <w:rFonts w:hint="eastAsia"/>
                <w:color w:val="000000"/>
                <w:sz w:val="24"/>
                <w:szCs w:val="24"/>
                <w:highlight w:val="none"/>
                <w:u w:val="none"/>
                <w:lang w:val="en-US" w:eastAsia="zh-CN"/>
              </w:rPr>
              <w:t>4个/a</w:t>
            </w:r>
            <w:r>
              <w:rPr>
                <w:rFonts w:hint="default" w:ascii="Times New Roman" w:hAnsi="Times New Roman"/>
                <w:color w:val="000000"/>
                <w:kern w:val="0"/>
                <w:sz w:val="24"/>
                <w:szCs w:val="24"/>
                <w:highlight w:val="none"/>
                <w:u w:val="none"/>
                <w:lang w:val="zh-CN"/>
              </w:rPr>
              <w:t>。</w:t>
            </w:r>
            <w:r>
              <w:rPr>
                <w:rFonts w:hint="eastAsia"/>
                <w:color w:val="000000"/>
                <w:sz w:val="24"/>
                <w:szCs w:val="24"/>
                <w:highlight w:val="none"/>
                <w:u w:val="none"/>
                <w:lang w:val="en-US" w:eastAsia="zh-CN"/>
              </w:rPr>
              <w:t>对更换下来废布袋进行统一</w:t>
            </w:r>
            <w:r>
              <w:rPr>
                <w:rFonts w:hint="default" w:ascii="Times New Roman" w:hAnsi="Times New Roman"/>
                <w:color w:val="000000"/>
                <w:sz w:val="24"/>
                <w:szCs w:val="24"/>
                <w:highlight w:val="none"/>
                <w:u w:val="none"/>
              </w:rPr>
              <w:t>收集后</w:t>
            </w:r>
            <w:r>
              <w:rPr>
                <w:rFonts w:hint="eastAsia"/>
                <w:bCs/>
                <w:color w:val="000000"/>
                <w:szCs w:val="21"/>
                <w:highlight w:val="none"/>
                <w:lang w:val="en-US" w:eastAsia="zh-CN"/>
              </w:rPr>
              <w:t>交由原厂家回收处理。</w:t>
            </w:r>
          </w:p>
          <w:p w14:paraId="6B2B4E5C">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default" w:ascii="Times New Roman" w:hAnsi="Times New Roman" w:eastAsia="宋体"/>
                <w:color w:val="000000"/>
                <w:kern w:val="0"/>
                <w:sz w:val="24"/>
                <w:szCs w:val="24"/>
                <w:highlight w:val="none"/>
                <w:u w:val="none"/>
                <w:lang w:val="en-US" w:eastAsia="zh-CN"/>
              </w:rPr>
            </w:pPr>
            <w:r>
              <w:rPr>
                <w:rFonts w:ascii="Times New Roman" w:hAnsi="Times New Roman"/>
                <w:color w:val="000000"/>
                <w:kern w:val="0"/>
                <w:sz w:val="24"/>
                <w:szCs w:val="24"/>
                <w:highlight w:val="none"/>
                <w:u w:val="none"/>
                <w:lang w:val="zh-CN"/>
              </w:rPr>
              <w:t>（</w:t>
            </w:r>
            <w:r>
              <w:rPr>
                <w:rFonts w:hint="eastAsia"/>
                <w:color w:val="000000"/>
                <w:kern w:val="0"/>
                <w:sz w:val="24"/>
                <w:szCs w:val="24"/>
                <w:highlight w:val="none"/>
                <w:u w:val="none"/>
                <w:lang w:val="en-US" w:eastAsia="zh-CN"/>
              </w:rPr>
              <w:t>4</w:t>
            </w:r>
            <w:r>
              <w:rPr>
                <w:rFonts w:ascii="Times New Roman" w:hAnsi="Times New Roman"/>
                <w:color w:val="000000"/>
                <w:kern w:val="0"/>
                <w:sz w:val="24"/>
                <w:szCs w:val="24"/>
                <w:highlight w:val="none"/>
                <w:u w:val="none"/>
                <w:lang w:val="zh-CN"/>
              </w:rPr>
              <w:t>）</w:t>
            </w:r>
            <w:r>
              <w:rPr>
                <w:rFonts w:hint="eastAsia"/>
                <w:color w:val="000000"/>
                <w:kern w:val="0"/>
                <w:sz w:val="24"/>
                <w:szCs w:val="24"/>
                <w:highlight w:val="none"/>
                <w:u w:val="none"/>
                <w:lang w:val="en-US" w:eastAsia="zh-CN"/>
              </w:rPr>
              <w:t>絮凝剂废包装袋</w:t>
            </w:r>
          </w:p>
          <w:p w14:paraId="05354681">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eastAsia" w:eastAsia="宋体"/>
                <w:color w:val="000000"/>
                <w:kern w:val="0"/>
                <w:sz w:val="24"/>
                <w:u w:val="none"/>
                <w:lang w:val="en-US" w:eastAsia="zh-CN"/>
              </w:rPr>
            </w:pPr>
            <w:r>
              <w:rPr>
                <w:rFonts w:hint="eastAsia"/>
                <w:color w:val="000000"/>
                <w:kern w:val="0"/>
                <w:sz w:val="24"/>
                <w:highlight w:val="none"/>
                <w:u w:val="none"/>
                <w:lang w:val="zh-CN"/>
              </w:rPr>
              <w:t>项目</w:t>
            </w:r>
            <w:r>
              <w:rPr>
                <w:rFonts w:hint="eastAsia"/>
                <w:color w:val="000000"/>
                <w:kern w:val="0"/>
                <w:sz w:val="24"/>
                <w:highlight w:val="none"/>
                <w:u w:val="none"/>
                <w:lang w:val="en-US" w:eastAsia="zh-CN"/>
              </w:rPr>
              <w:t>废水处理过程中絮凝剂</w:t>
            </w:r>
            <w:r>
              <w:rPr>
                <w:rFonts w:hint="eastAsia" w:cs="Times New Roman"/>
                <w:bCs/>
                <w:color w:val="auto"/>
                <w:sz w:val="24"/>
                <w:szCs w:val="21"/>
                <w:highlight w:val="none"/>
                <w:u w:val="none"/>
                <w:lang w:val="en-US" w:eastAsia="zh-CN"/>
              </w:rPr>
              <w:t>年用量为1t</w:t>
            </w:r>
            <w:r>
              <w:rPr>
                <w:rFonts w:hint="eastAsia"/>
                <w:color w:val="000000"/>
                <w:kern w:val="0"/>
                <w:sz w:val="24"/>
                <w:highlight w:val="none"/>
                <w:u w:val="none"/>
                <w:lang w:val="zh-CN"/>
              </w:rPr>
              <w:t>，</w:t>
            </w:r>
            <w:r>
              <w:rPr>
                <w:rFonts w:hint="eastAsia"/>
                <w:color w:val="000000"/>
                <w:kern w:val="0"/>
                <w:sz w:val="24"/>
                <w:highlight w:val="none"/>
                <w:u w:val="none"/>
                <w:lang w:val="en-US" w:eastAsia="zh-CN"/>
              </w:rPr>
              <w:t>絮凝剂</w:t>
            </w:r>
            <w:r>
              <w:rPr>
                <w:rFonts w:hint="eastAsia" w:cs="Times New Roman"/>
                <w:bCs/>
                <w:color w:val="auto"/>
                <w:sz w:val="24"/>
                <w:szCs w:val="21"/>
                <w:highlight w:val="none"/>
                <w:u w:val="none"/>
                <w:lang w:val="en-US" w:eastAsia="zh-CN"/>
              </w:rPr>
              <w:t>为10kg/袋，那么废絮凝剂包装袋的产生量为100个/年，废包装袋经过</w:t>
            </w:r>
            <w:r>
              <w:rPr>
                <w:rFonts w:hint="eastAsia"/>
                <w:color w:val="000000"/>
                <w:kern w:val="0"/>
                <w:sz w:val="24"/>
                <w:u w:val="none"/>
                <w:lang w:val="en-US" w:eastAsia="zh-CN"/>
              </w:rPr>
              <w:t>企业分类收集再</w:t>
            </w:r>
            <w:r>
              <w:rPr>
                <w:color w:val="000000"/>
                <w:kern w:val="0"/>
                <w:sz w:val="24"/>
                <w:u w:val="none"/>
                <w:lang w:val="zh-CN"/>
              </w:rPr>
              <w:t>由环卫部门</w:t>
            </w:r>
            <w:r>
              <w:rPr>
                <w:rFonts w:hint="eastAsia"/>
                <w:color w:val="000000"/>
                <w:kern w:val="0"/>
                <w:sz w:val="24"/>
                <w:u w:val="none"/>
                <w:lang w:val="zh-CN"/>
              </w:rPr>
              <w:t>统一</w:t>
            </w:r>
            <w:r>
              <w:rPr>
                <w:color w:val="000000"/>
                <w:kern w:val="0"/>
                <w:sz w:val="24"/>
                <w:u w:val="none"/>
                <w:lang w:val="zh-CN"/>
              </w:rPr>
              <w:t>清运</w:t>
            </w:r>
            <w:r>
              <w:rPr>
                <w:rFonts w:hint="eastAsia"/>
                <w:color w:val="000000"/>
                <w:kern w:val="0"/>
                <w:sz w:val="24"/>
                <w:u w:val="none"/>
                <w:lang w:val="en-US" w:eastAsia="zh-CN"/>
              </w:rPr>
              <w:t>处理</w:t>
            </w:r>
            <w:r>
              <w:rPr>
                <w:color w:val="000000"/>
                <w:kern w:val="0"/>
                <w:sz w:val="24"/>
                <w:u w:val="none"/>
                <w:lang w:val="zh-CN"/>
              </w:rPr>
              <w:t>。</w:t>
            </w:r>
          </w:p>
          <w:p w14:paraId="2DF7F48E">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default" w:ascii="Times New Roman" w:hAnsi="Times New Roman"/>
                <w:color w:val="000000"/>
                <w:kern w:val="0"/>
                <w:sz w:val="24"/>
                <w:szCs w:val="24"/>
                <w:u w:val="none"/>
                <w:lang w:val="zh-CN"/>
              </w:rPr>
            </w:pPr>
            <w:r>
              <w:rPr>
                <w:rFonts w:ascii="Times New Roman" w:hAnsi="Times New Roman"/>
                <w:color w:val="000000"/>
                <w:kern w:val="0"/>
                <w:sz w:val="24"/>
                <w:szCs w:val="24"/>
                <w:u w:val="none"/>
                <w:lang w:val="zh-CN"/>
              </w:rPr>
              <w:t>（</w:t>
            </w:r>
            <w:r>
              <w:rPr>
                <w:rFonts w:hint="eastAsia"/>
                <w:color w:val="000000"/>
                <w:kern w:val="0"/>
                <w:sz w:val="24"/>
                <w:szCs w:val="24"/>
                <w:u w:val="none"/>
                <w:lang w:val="en-US" w:eastAsia="zh-CN"/>
              </w:rPr>
              <w:t>5</w:t>
            </w:r>
            <w:r>
              <w:rPr>
                <w:rFonts w:ascii="Times New Roman" w:hAnsi="Times New Roman"/>
                <w:color w:val="000000"/>
                <w:kern w:val="0"/>
                <w:sz w:val="24"/>
                <w:szCs w:val="24"/>
                <w:u w:val="none"/>
                <w:lang w:val="zh-CN"/>
              </w:rPr>
              <w:t>）</w:t>
            </w:r>
            <w:r>
              <w:rPr>
                <w:rFonts w:hint="default" w:ascii="Times New Roman" w:hAnsi="Times New Roman"/>
                <w:color w:val="000000"/>
                <w:kern w:val="0"/>
                <w:sz w:val="24"/>
                <w:szCs w:val="24"/>
                <w:u w:val="none"/>
                <w:lang w:val="zh-CN"/>
              </w:rPr>
              <w:t>生活垃圾</w:t>
            </w:r>
          </w:p>
          <w:p w14:paraId="6022066C">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eastAsia" w:eastAsia="宋体"/>
                <w:color w:val="000000"/>
                <w:kern w:val="0"/>
                <w:sz w:val="24"/>
                <w:u w:val="none"/>
                <w:lang w:val="en-US" w:eastAsia="zh-CN"/>
              </w:rPr>
            </w:pPr>
            <w:r>
              <w:rPr>
                <w:color w:val="000000"/>
                <w:kern w:val="0"/>
                <w:sz w:val="24"/>
                <w:u w:val="none"/>
                <w:lang w:val="zh-CN"/>
              </w:rPr>
              <w:t>项目劳</w:t>
            </w:r>
            <w:r>
              <w:rPr>
                <w:color w:val="000000"/>
                <w:kern w:val="0"/>
                <w:sz w:val="24"/>
                <w:highlight w:val="none"/>
                <w:u w:val="none"/>
                <w:lang w:val="zh-CN"/>
              </w:rPr>
              <w:t>动定员</w:t>
            </w:r>
            <w:r>
              <w:rPr>
                <w:rFonts w:hint="eastAsia"/>
                <w:color w:val="000000"/>
                <w:kern w:val="0"/>
                <w:sz w:val="24"/>
                <w:highlight w:val="none"/>
                <w:u w:val="none"/>
                <w:lang w:val="en-US" w:eastAsia="zh-CN"/>
              </w:rPr>
              <w:t>15</w:t>
            </w:r>
            <w:r>
              <w:rPr>
                <w:color w:val="000000"/>
                <w:kern w:val="0"/>
                <w:sz w:val="24"/>
                <w:highlight w:val="none"/>
                <w:u w:val="none"/>
                <w:lang w:val="zh-CN"/>
              </w:rPr>
              <w:t>人，</w:t>
            </w:r>
            <w:r>
              <w:rPr>
                <w:color w:val="000000"/>
                <w:kern w:val="0"/>
                <w:sz w:val="24"/>
                <w:u w:val="none"/>
                <w:lang w:val="zh-CN"/>
              </w:rPr>
              <w:t>生活垃圾产生量以</w:t>
            </w:r>
            <w:r>
              <w:rPr>
                <w:rFonts w:hint="eastAsia"/>
                <w:color w:val="000000"/>
                <w:kern w:val="0"/>
                <w:sz w:val="24"/>
                <w:u w:val="none"/>
              </w:rPr>
              <w:t>每人0.5kg/天计</w:t>
            </w:r>
            <w:r>
              <w:rPr>
                <w:color w:val="000000"/>
                <w:kern w:val="0"/>
                <w:sz w:val="24"/>
                <w:u w:val="none"/>
                <w:lang w:val="zh-CN"/>
              </w:rPr>
              <w:t>，</w:t>
            </w:r>
            <w:r>
              <w:rPr>
                <w:rFonts w:hint="eastAsia"/>
                <w:color w:val="000000"/>
                <w:kern w:val="0"/>
                <w:sz w:val="24"/>
                <w:u w:val="none"/>
                <w:lang w:val="en-US" w:eastAsia="zh-CN"/>
              </w:rPr>
              <w:t>年工作时间300天，</w:t>
            </w:r>
            <w:r>
              <w:rPr>
                <w:color w:val="000000"/>
                <w:kern w:val="0"/>
                <w:sz w:val="24"/>
                <w:u w:val="none"/>
                <w:lang w:val="zh-CN"/>
              </w:rPr>
              <w:t>则职工生活垃圾产生量为</w:t>
            </w:r>
            <w:r>
              <w:rPr>
                <w:rFonts w:hint="eastAsia"/>
                <w:color w:val="000000"/>
                <w:kern w:val="0"/>
                <w:sz w:val="24"/>
                <w:u w:val="none"/>
                <w:lang w:val="en-US" w:eastAsia="zh-CN"/>
              </w:rPr>
              <w:t>2.25</w:t>
            </w:r>
            <w:r>
              <w:rPr>
                <w:color w:val="000000"/>
                <w:kern w:val="0"/>
                <w:sz w:val="24"/>
                <w:u w:val="none"/>
                <w:lang w:val="zh-CN"/>
              </w:rPr>
              <w:t>t/a，</w:t>
            </w:r>
            <w:r>
              <w:rPr>
                <w:rFonts w:hint="eastAsia"/>
                <w:color w:val="000000"/>
                <w:kern w:val="0"/>
                <w:sz w:val="24"/>
                <w:u w:val="none"/>
                <w:lang w:val="en-US" w:eastAsia="zh-CN"/>
              </w:rPr>
              <w:t>企业分类收集在垃圾桶内再</w:t>
            </w:r>
            <w:r>
              <w:rPr>
                <w:color w:val="000000"/>
                <w:kern w:val="0"/>
                <w:sz w:val="24"/>
                <w:u w:val="none"/>
                <w:lang w:val="zh-CN"/>
              </w:rPr>
              <w:t>由环卫部门</w:t>
            </w:r>
            <w:r>
              <w:rPr>
                <w:rFonts w:hint="eastAsia"/>
                <w:color w:val="000000"/>
                <w:kern w:val="0"/>
                <w:sz w:val="24"/>
                <w:u w:val="none"/>
                <w:lang w:val="zh-CN"/>
              </w:rPr>
              <w:t>统一</w:t>
            </w:r>
            <w:r>
              <w:rPr>
                <w:color w:val="000000"/>
                <w:kern w:val="0"/>
                <w:sz w:val="24"/>
                <w:u w:val="none"/>
                <w:lang w:val="zh-CN"/>
              </w:rPr>
              <w:t>清运</w:t>
            </w:r>
            <w:r>
              <w:rPr>
                <w:rFonts w:hint="eastAsia"/>
                <w:color w:val="000000"/>
                <w:kern w:val="0"/>
                <w:sz w:val="24"/>
                <w:u w:val="none"/>
                <w:lang w:val="en-US" w:eastAsia="zh-CN"/>
              </w:rPr>
              <w:t>处理</w:t>
            </w:r>
            <w:r>
              <w:rPr>
                <w:color w:val="000000"/>
                <w:kern w:val="0"/>
                <w:sz w:val="24"/>
                <w:u w:val="none"/>
                <w:lang w:val="zh-CN"/>
              </w:rPr>
              <w:t>。</w:t>
            </w:r>
          </w:p>
          <w:p w14:paraId="212DB9C7">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default" w:ascii="Times New Roman" w:hAnsi="Times New Roman" w:eastAsia="宋体"/>
                <w:color w:val="000000"/>
                <w:kern w:val="0"/>
                <w:sz w:val="24"/>
                <w:szCs w:val="24"/>
                <w:highlight w:val="none"/>
                <w:u w:val="none"/>
                <w:lang w:val="en-US" w:eastAsia="zh-CN"/>
              </w:rPr>
            </w:pPr>
            <w:r>
              <w:rPr>
                <w:rFonts w:ascii="Times New Roman" w:hAnsi="Times New Roman"/>
                <w:color w:val="000000"/>
                <w:kern w:val="0"/>
                <w:sz w:val="24"/>
                <w:szCs w:val="24"/>
                <w:highlight w:val="none"/>
                <w:u w:val="none"/>
                <w:lang w:val="zh-CN"/>
              </w:rPr>
              <w:t>（</w:t>
            </w:r>
            <w:r>
              <w:rPr>
                <w:rFonts w:hint="eastAsia"/>
                <w:color w:val="000000"/>
                <w:kern w:val="0"/>
                <w:sz w:val="24"/>
                <w:szCs w:val="24"/>
                <w:highlight w:val="none"/>
                <w:u w:val="none"/>
                <w:lang w:val="en-US" w:eastAsia="zh-CN"/>
              </w:rPr>
              <w:t>6</w:t>
            </w:r>
            <w:r>
              <w:rPr>
                <w:rFonts w:ascii="Times New Roman" w:hAnsi="Times New Roman"/>
                <w:color w:val="000000"/>
                <w:kern w:val="0"/>
                <w:sz w:val="24"/>
                <w:szCs w:val="24"/>
                <w:highlight w:val="none"/>
                <w:u w:val="none"/>
                <w:lang w:val="zh-CN"/>
              </w:rPr>
              <w:t>）设备保养产生的废</w:t>
            </w:r>
            <w:r>
              <w:rPr>
                <w:rFonts w:hint="eastAsia"/>
                <w:color w:val="000000"/>
                <w:kern w:val="0"/>
                <w:sz w:val="24"/>
                <w:szCs w:val="24"/>
                <w:highlight w:val="none"/>
                <w:u w:val="none"/>
                <w:lang w:val="en-US" w:eastAsia="zh-CN"/>
              </w:rPr>
              <w:t>润滑油和废润滑油桶</w:t>
            </w:r>
          </w:p>
          <w:p w14:paraId="6D7075B1">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color w:val="000000"/>
                <w:kern w:val="0"/>
                <w:sz w:val="24"/>
                <w:lang w:val="zh-CN"/>
              </w:rPr>
            </w:pPr>
            <w:r>
              <w:rPr>
                <w:rFonts w:hint="eastAsia"/>
                <w:color w:val="000000"/>
                <w:kern w:val="0"/>
                <w:sz w:val="24"/>
                <w:highlight w:val="none"/>
                <w:u w:val="none"/>
                <w:lang w:val="zh-CN"/>
              </w:rPr>
              <w:t>项目生产设备运转过程会使用</w:t>
            </w:r>
            <w:r>
              <w:rPr>
                <w:rFonts w:hint="eastAsia"/>
                <w:color w:val="000000"/>
                <w:kern w:val="0"/>
                <w:sz w:val="24"/>
                <w:highlight w:val="none"/>
                <w:u w:val="none"/>
                <w:lang w:val="en-US" w:eastAsia="zh-CN"/>
              </w:rPr>
              <w:t>润滑油</w:t>
            </w:r>
            <w:r>
              <w:rPr>
                <w:rFonts w:hint="eastAsia" w:cs="Times New Roman"/>
                <w:bCs/>
                <w:color w:val="auto"/>
                <w:sz w:val="24"/>
                <w:szCs w:val="21"/>
                <w:highlight w:val="none"/>
                <w:u w:val="none"/>
                <w:lang w:val="en-US" w:eastAsia="zh-CN"/>
              </w:rPr>
              <w:t>年用量为2t</w:t>
            </w:r>
            <w:r>
              <w:rPr>
                <w:rFonts w:hint="eastAsia"/>
                <w:color w:val="000000"/>
                <w:kern w:val="0"/>
                <w:sz w:val="24"/>
                <w:highlight w:val="none"/>
                <w:u w:val="none"/>
                <w:lang w:val="zh-CN"/>
              </w:rPr>
              <w:t>，在</w:t>
            </w:r>
            <w:r>
              <w:rPr>
                <w:rFonts w:hint="eastAsia"/>
                <w:color w:val="000000"/>
                <w:kern w:val="0"/>
                <w:sz w:val="24"/>
                <w:highlight w:val="none"/>
                <w:u w:val="none"/>
                <w:lang w:val="en-US" w:eastAsia="zh-CN"/>
              </w:rPr>
              <w:t>设备</w:t>
            </w:r>
            <w:r>
              <w:rPr>
                <w:rFonts w:hint="eastAsia"/>
                <w:color w:val="000000"/>
                <w:kern w:val="0"/>
                <w:sz w:val="24"/>
                <w:highlight w:val="none"/>
                <w:u w:val="none"/>
                <w:lang w:val="zh-CN"/>
              </w:rPr>
              <w:t>运行过程会产生废</w:t>
            </w:r>
            <w:r>
              <w:rPr>
                <w:rFonts w:hint="eastAsia"/>
                <w:color w:val="000000"/>
                <w:kern w:val="0"/>
                <w:sz w:val="24"/>
                <w:highlight w:val="none"/>
                <w:u w:val="none"/>
                <w:lang w:val="en-US" w:eastAsia="zh-CN"/>
              </w:rPr>
              <w:t>润滑油</w:t>
            </w:r>
            <w:r>
              <w:rPr>
                <w:rFonts w:hint="eastAsia"/>
                <w:color w:val="000000"/>
                <w:kern w:val="0"/>
                <w:sz w:val="24"/>
                <w:highlight w:val="none"/>
                <w:u w:val="none"/>
                <w:lang w:val="zh-CN"/>
              </w:rPr>
              <w:t>产生量为0.</w:t>
            </w:r>
            <w:r>
              <w:rPr>
                <w:rFonts w:hint="eastAsia"/>
                <w:color w:val="000000"/>
                <w:kern w:val="0"/>
                <w:sz w:val="24"/>
                <w:highlight w:val="none"/>
                <w:u w:val="none"/>
                <w:lang w:val="en-US" w:eastAsia="zh-CN"/>
              </w:rPr>
              <w:t>0</w:t>
            </w:r>
            <w:r>
              <w:rPr>
                <w:rFonts w:hint="eastAsia"/>
                <w:color w:val="000000"/>
                <w:kern w:val="0"/>
                <w:sz w:val="24"/>
                <w:highlight w:val="none"/>
                <w:u w:val="none"/>
                <w:lang w:val="zh-CN"/>
              </w:rPr>
              <w:t>2t/a，</w:t>
            </w:r>
            <w:r>
              <w:rPr>
                <w:rFonts w:hint="eastAsia"/>
                <w:color w:val="000000"/>
                <w:kern w:val="0"/>
                <w:sz w:val="24"/>
                <w:highlight w:val="none"/>
                <w:u w:val="none"/>
                <w:lang w:val="en-US" w:eastAsia="zh-CN"/>
              </w:rPr>
              <w:t>润滑油</w:t>
            </w:r>
            <w:r>
              <w:rPr>
                <w:rFonts w:hint="eastAsia" w:cs="Times New Roman"/>
                <w:bCs/>
                <w:color w:val="auto"/>
                <w:sz w:val="24"/>
                <w:szCs w:val="21"/>
                <w:highlight w:val="none"/>
                <w:u w:val="none"/>
                <w:lang w:val="en-US" w:eastAsia="zh-CN"/>
              </w:rPr>
              <w:t>为20kg/桶，那么废</w:t>
            </w:r>
            <w:r>
              <w:rPr>
                <w:rFonts w:hint="eastAsia"/>
                <w:color w:val="000000"/>
                <w:kern w:val="0"/>
                <w:sz w:val="24"/>
                <w:highlight w:val="none"/>
                <w:u w:val="none"/>
                <w:lang w:val="en-US" w:eastAsia="zh-CN"/>
              </w:rPr>
              <w:t>润滑油</w:t>
            </w:r>
            <w:r>
              <w:rPr>
                <w:rFonts w:hint="eastAsia" w:cs="Times New Roman"/>
                <w:bCs/>
                <w:color w:val="auto"/>
                <w:sz w:val="24"/>
                <w:szCs w:val="21"/>
                <w:highlight w:val="none"/>
                <w:u w:val="none"/>
                <w:lang w:val="en-US" w:eastAsia="zh-CN"/>
              </w:rPr>
              <w:t>桶的产生量为100个/年，大约每个空</w:t>
            </w:r>
            <w:r>
              <w:rPr>
                <w:rFonts w:hint="eastAsia"/>
                <w:color w:val="000000"/>
                <w:kern w:val="0"/>
                <w:sz w:val="24"/>
                <w:highlight w:val="none"/>
                <w:u w:val="none"/>
                <w:lang w:val="en-US" w:eastAsia="zh-CN"/>
              </w:rPr>
              <w:t>润滑油</w:t>
            </w:r>
            <w:r>
              <w:rPr>
                <w:rFonts w:hint="eastAsia" w:cs="Times New Roman"/>
                <w:bCs/>
                <w:color w:val="auto"/>
                <w:sz w:val="24"/>
                <w:szCs w:val="21"/>
                <w:highlight w:val="none"/>
                <w:u w:val="none"/>
                <w:lang w:val="en-US" w:eastAsia="zh-CN"/>
              </w:rPr>
              <w:t>桶重0.2kg，废</w:t>
            </w:r>
            <w:r>
              <w:rPr>
                <w:rFonts w:hint="eastAsia"/>
                <w:color w:val="000000"/>
                <w:kern w:val="0"/>
                <w:sz w:val="24"/>
                <w:highlight w:val="none"/>
                <w:u w:val="none"/>
                <w:lang w:val="en-US" w:eastAsia="zh-CN"/>
              </w:rPr>
              <w:t>润滑油</w:t>
            </w:r>
            <w:r>
              <w:rPr>
                <w:rFonts w:hint="eastAsia" w:cs="Times New Roman"/>
                <w:bCs/>
                <w:color w:val="auto"/>
                <w:sz w:val="24"/>
                <w:szCs w:val="21"/>
                <w:highlight w:val="none"/>
                <w:u w:val="none"/>
                <w:lang w:val="en-US" w:eastAsia="zh-CN"/>
              </w:rPr>
              <w:t>桶产生量为0.02</w:t>
            </w:r>
            <w:r>
              <w:rPr>
                <w:rFonts w:hint="eastAsia"/>
                <w:color w:val="000000"/>
                <w:kern w:val="0"/>
                <w:sz w:val="24"/>
                <w:highlight w:val="none"/>
                <w:u w:val="none"/>
                <w:lang w:val="zh-CN"/>
              </w:rPr>
              <w:t>t/a。根据《国家危险废物名录》（</w:t>
            </w:r>
            <w:r>
              <w:rPr>
                <w:color w:val="000000"/>
                <w:kern w:val="0"/>
                <w:sz w:val="24"/>
                <w:highlight w:val="none"/>
                <w:u w:val="none"/>
                <w:lang w:val="zh-CN"/>
              </w:rPr>
              <w:t>202</w:t>
            </w:r>
            <w:r>
              <w:rPr>
                <w:rFonts w:hint="eastAsia"/>
                <w:color w:val="000000"/>
                <w:kern w:val="0"/>
                <w:sz w:val="24"/>
                <w:highlight w:val="none"/>
                <w:u w:val="none"/>
                <w:lang w:val="en-US" w:eastAsia="zh-CN"/>
              </w:rPr>
              <w:t>5</w:t>
            </w:r>
            <w:r>
              <w:rPr>
                <w:rFonts w:hint="eastAsia"/>
                <w:color w:val="000000"/>
                <w:kern w:val="0"/>
                <w:sz w:val="24"/>
                <w:highlight w:val="none"/>
                <w:u w:val="none"/>
                <w:lang w:val="zh-CN"/>
              </w:rPr>
              <w:t>年</w:t>
            </w:r>
            <w:r>
              <w:rPr>
                <w:rFonts w:hint="eastAsia"/>
                <w:color w:val="000000"/>
                <w:kern w:val="0"/>
                <w:sz w:val="24"/>
                <w:highlight w:val="none"/>
                <w:lang w:val="zh-CN"/>
              </w:rPr>
              <w:t>版），废</w:t>
            </w:r>
            <w:r>
              <w:rPr>
                <w:rFonts w:hint="eastAsia"/>
                <w:color w:val="000000"/>
                <w:kern w:val="0"/>
                <w:sz w:val="24"/>
                <w:highlight w:val="none"/>
                <w:u w:val="none"/>
                <w:lang w:val="en-US" w:eastAsia="zh-CN"/>
              </w:rPr>
              <w:t>润滑油</w:t>
            </w:r>
            <w:r>
              <w:rPr>
                <w:rFonts w:hint="eastAsia"/>
                <w:color w:val="000000"/>
                <w:kern w:val="0"/>
                <w:sz w:val="24"/>
                <w:highlight w:val="none"/>
                <w:lang w:val="zh-CN"/>
              </w:rPr>
              <w:t>属于危险废物（HW08废矿物油</w:t>
            </w:r>
            <w:r>
              <w:rPr>
                <w:color w:val="000000"/>
                <w:kern w:val="0"/>
                <w:sz w:val="24"/>
                <w:highlight w:val="none"/>
                <w:lang w:val="zh-CN"/>
              </w:rPr>
              <w:t>与含矿物</w:t>
            </w:r>
            <w:r>
              <w:rPr>
                <w:color w:val="000000"/>
                <w:kern w:val="0"/>
                <w:sz w:val="24"/>
                <w:lang w:val="zh-CN"/>
              </w:rPr>
              <w:t>油废物</w:t>
            </w:r>
            <w:r>
              <w:rPr>
                <w:rFonts w:hint="eastAsia"/>
                <w:color w:val="000000"/>
                <w:kern w:val="0"/>
                <w:sz w:val="24"/>
                <w:lang w:val="zh-CN"/>
              </w:rPr>
              <w:t xml:space="preserve"> 非特定行业，废物代码900-2</w:t>
            </w:r>
            <w:r>
              <w:rPr>
                <w:rFonts w:hint="eastAsia"/>
                <w:color w:val="000000"/>
                <w:kern w:val="0"/>
                <w:sz w:val="24"/>
                <w:lang w:val="en-US" w:eastAsia="zh-CN"/>
              </w:rPr>
              <w:t>17</w:t>
            </w:r>
            <w:r>
              <w:rPr>
                <w:rFonts w:hint="eastAsia"/>
                <w:color w:val="000000"/>
                <w:kern w:val="0"/>
                <w:sz w:val="24"/>
                <w:lang w:val="zh-CN"/>
              </w:rPr>
              <w:t>-08，</w:t>
            </w:r>
            <w:r>
              <w:rPr>
                <w:rFonts w:ascii="宋体" w:hAnsi="宋体" w:eastAsia="宋体" w:cs="宋体"/>
                <w:sz w:val="24"/>
                <w:szCs w:val="24"/>
              </w:rPr>
              <w:t>使用工业齿轮油进行机械设备润滑过程中产生的废润滑油</w:t>
            </w:r>
            <w:r>
              <w:rPr>
                <w:rFonts w:hint="eastAsia"/>
                <w:color w:val="000000"/>
                <w:kern w:val="0"/>
                <w:sz w:val="24"/>
                <w:lang w:val="zh-CN"/>
              </w:rPr>
              <w:t>）、</w:t>
            </w:r>
            <w:r>
              <w:rPr>
                <w:rFonts w:hint="eastAsia" w:cs="Times New Roman"/>
                <w:b w:val="0"/>
                <w:bCs/>
                <w:color w:val="auto"/>
                <w:sz w:val="24"/>
                <w:szCs w:val="21"/>
                <w:u w:val="none"/>
                <w:lang w:val="en-US" w:eastAsia="zh-CN"/>
              </w:rPr>
              <w:t>废润滑油桶</w:t>
            </w:r>
            <w:r>
              <w:rPr>
                <w:rFonts w:hint="eastAsia" w:ascii="Times New Roman" w:hAnsi="Times New Roman" w:eastAsia="宋体" w:cs="Times New Roman"/>
                <w:b w:val="0"/>
                <w:bCs/>
                <w:color w:val="auto"/>
                <w:sz w:val="24"/>
                <w:szCs w:val="21"/>
                <w:u w:val="none"/>
                <w:lang w:val="en-US" w:eastAsia="zh-CN"/>
              </w:rPr>
              <w:t>属于危险废物（HW</w:t>
            </w:r>
            <w:r>
              <w:rPr>
                <w:rFonts w:hint="eastAsia" w:cs="Times New Roman"/>
                <w:b w:val="0"/>
                <w:bCs/>
                <w:color w:val="auto"/>
                <w:sz w:val="24"/>
                <w:szCs w:val="21"/>
                <w:u w:val="none"/>
                <w:lang w:val="en-US" w:eastAsia="zh-CN"/>
              </w:rPr>
              <w:t>08废矿物油与含矿物油废物</w:t>
            </w:r>
            <w:r>
              <w:rPr>
                <w:rFonts w:hint="eastAsia"/>
                <w:color w:val="000000"/>
                <w:kern w:val="0"/>
                <w:sz w:val="24"/>
                <w:lang w:val="zh-CN"/>
              </w:rPr>
              <w:t xml:space="preserve"> 非特定行业</w:t>
            </w:r>
            <w:r>
              <w:rPr>
                <w:rFonts w:hint="eastAsia" w:ascii="Times New Roman" w:hAnsi="Times New Roman" w:eastAsia="宋体" w:cs="Times New Roman"/>
                <w:b w:val="0"/>
                <w:bCs/>
                <w:color w:val="auto"/>
                <w:sz w:val="24"/>
                <w:szCs w:val="21"/>
                <w:u w:val="none"/>
                <w:lang w:val="en-US" w:eastAsia="zh-CN"/>
              </w:rPr>
              <w:t>，废物代码900-</w:t>
            </w:r>
            <w:r>
              <w:rPr>
                <w:rFonts w:hint="eastAsia" w:cs="Times New Roman"/>
                <w:b w:val="0"/>
                <w:bCs/>
                <w:color w:val="auto"/>
                <w:sz w:val="24"/>
                <w:szCs w:val="21"/>
                <w:u w:val="none"/>
                <w:lang w:val="en-US" w:eastAsia="zh-CN"/>
              </w:rPr>
              <w:t xml:space="preserve">249-08 </w:t>
            </w:r>
            <w:r>
              <w:rPr>
                <w:rFonts w:ascii="宋体" w:hAnsi="宋体" w:eastAsia="宋体" w:cs="宋体"/>
                <w:sz w:val="24"/>
                <w:szCs w:val="24"/>
              </w:rPr>
              <w:t>其他生产、销售、使用过程中产生的废矿物油及沾染矿物油的废弃包装物</w:t>
            </w:r>
            <w:r>
              <w:rPr>
                <w:rFonts w:hint="eastAsia" w:ascii="Times New Roman" w:hAnsi="Times New Roman" w:eastAsia="宋体" w:cs="Times New Roman"/>
                <w:b w:val="0"/>
                <w:bCs/>
                <w:color w:val="auto"/>
                <w:sz w:val="24"/>
                <w:szCs w:val="21"/>
                <w:u w:val="none"/>
                <w:lang w:val="en-US" w:eastAsia="zh-CN"/>
              </w:rPr>
              <w:t>）。</w:t>
            </w:r>
            <w:r>
              <w:rPr>
                <w:rFonts w:hint="eastAsia"/>
                <w:color w:val="000000"/>
                <w:kern w:val="0"/>
                <w:sz w:val="24"/>
                <w:lang w:val="zh-CN"/>
              </w:rPr>
              <w:t>该类固废</w:t>
            </w:r>
            <w:r>
              <w:rPr>
                <w:rFonts w:hint="eastAsia"/>
                <w:color w:val="000000"/>
                <w:kern w:val="0"/>
                <w:sz w:val="24"/>
                <w:lang w:val="en-US" w:eastAsia="zh-CN"/>
              </w:rPr>
              <w:t>需要</w:t>
            </w:r>
            <w:r>
              <w:rPr>
                <w:rFonts w:hint="eastAsia"/>
                <w:color w:val="000000"/>
                <w:kern w:val="0"/>
                <w:sz w:val="24"/>
                <w:lang w:val="zh-CN"/>
              </w:rPr>
              <w:t>单独的密闭容器收集，存放于危废暂存间（</w:t>
            </w:r>
            <w:r>
              <w:rPr>
                <w:rFonts w:hint="eastAsia"/>
                <w:color w:val="000000"/>
                <w:kern w:val="0"/>
                <w:sz w:val="24"/>
                <w:lang w:val="en-US" w:eastAsia="zh-CN"/>
              </w:rPr>
              <w:t>面积4m</w:t>
            </w:r>
            <w:r>
              <w:rPr>
                <w:rFonts w:hint="eastAsia"/>
                <w:color w:val="000000"/>
                <w:kern w:val="0"/>
                <w:sz w:val="24"/>
                <w:vertAlign w:val="superscript"/>
                <w:lang w:val="en-US" w:eastAsia="zh-CN"/>
              </w:rPr>
              <w:t>2</w:t>
            </w:r>
            <w:r>
              <w:rPr>
                <w:rFonts w:hint="eastAsia"/>
                <w:color w:val="000000"/>
                <w:kern w:val="0"/>
                <w:sz w:val="24"/>
                <w:lang w:val="zh-CN"/>
              </w:rPr>
              <w:t>）</w:t>
            </w:r>
            <w:r>
              <w:rPr>
                <w:rFonts w:hint="eastAsia"/>
                <w:color w:val="000000"/>
                <w:kern w:val="0"/>
                <w:sz w:val="24"/>
                <w:lang w:val="en-US" w:eastAsia="zh-CN"/>
              </w:rPr>
              <w:t>内</w:t>
            </w:r>
            <w:r>
              <w:rPr>
                <w:rFonts w:hint="eastAsia"/>
                <w:color w:val="000000"/>
                <w:kern w:val="0"/>
                <w:sz w:val="24"/>
                <w:lang w:val="zh-CN"/>
              </w:rPr>
              <w:t>，定期</w:t>
            </w:r>
            <w:r>
              <w:rPr>
                <w:rFonts w:hint="eastAsia"/>
                <w:color w:val="000000"/>
                <w:kern w:val="0"/>
                <w:sz w:val="24"/>
                <w:lang w:val="en-US" w:eastAsia="zh-CN"/>
              </w:rPr>
              <w:t>委托</w:t>
            </w:r>
            <w:r>
              <w:rPr>
                <w:rFonts w:hint="eastAsia"/>
                <w:color w:val="000000"/>
                <w:kern w:val="0"/>
                <w:sz w:val="24"/>
                <w:lang w:val="zh-CN"/>
              </w:rPr>
              <w:t>有</w:t>
            </w:r>
            <w:r>
              <w:rPr>
                <w:rFonts w:hint="eastAsia"/>
                <w:color w:val="000000"/>
                <w:kern w:val="0"/>
                <w:sz w:val="24"/>
                <w:lang w:val="en-US" w:eastAsia="zh-CN"/>
              </w:rPr>
              <w:t>危险废物处理</w:t>
            </w:r>
            <w:r>
              <w:rPr>
                <w:rFonts w:hint="eastAsia"/>
                <w:color w:val="000000"/>
                <w:kern w:val="0"/>
                <w:sz w:val="24"/>
                <w:lang w:val="zh-CN"/>
              </w:rPr>
              <w:t>资质的单位</w:t>
            </w:r>
            <w:r>
              <w:rPr>
                <w:rFonts w:hint="eastAsia"/>
                <w:color w:val="000000"/>
                <w:kern w:val="0"/>
                <w:sz w:val="24"/>
                <w:lang w:val="en-US" w:eastAsia="zh-CN"/>
              </w:rPr>
              <w:t>进行</w:t>
            </w:r>
            <w:r>
              <w:rPr>
                <w:rFonts w:hint="eastAsia"/>
                <w:color w:val="000000"/>
                <w:kern w:val="0"/>
                <w:sz w:val="24"/>
                <w:lang w:val="zh-CN"/>
              </w:rPr>
              <w:t>安全处置。</w:t>
            </w:r>
          </w:p>
          <w:p w14:paraId="2B885612">
            <w:pPr>
              <w:keepNext w:val="0"/>
              <w:keepLines w:val="0"/>
              <w:pageBreakBefore w:val="0"/>
              <w:widowControl w:val="0"/>
              <w:kinsoku/>
              <w:wordWrap/>
              <w:overflowPunct/>
              <w:topLinePunct w:val="0"/>
              <w:bidi w:val="0"/>
              <w:spacing w:line="500" w:lineRule="exact"/>
              <w:ind w:firstLine="480" w:firstLineChars="200"/>
              <w:textAlignment w:val="auto"/>
              <w:rPr>
                <w:color w:val="000000"/>
                <w:sz w:val="24"/>
              </w:rPr>
            </w:pPr>
            <w:r>
              <w:rPr>
                <w:color w:val="000000"/>
                <w:sz w:val="24"/>
              </w:rPr>
              <w:t>本项目固体废物产排情况见下表。</w:t>
            </w:r>
          </w:p>
          <w:p w14:paraId="2137E44A">
            <w:pPr>
              <w:keepNext w:val="0"/>
              <w:keepLines w:val="0"/>
              <w:pageBreakBefore w:val="0"/>
              <w:widowControl w:val="0"/>
              <w:kinsoku/>
              <w:wordWrap/>
              <w:overflowPunct/>
              <w:topLinePunct w:val="0"/>
              <w:bidi w:val="0"/>
              <w:adjustRightInd w:val="0"/>
              <w:snapToGrid w:val="0"/>
              <w:spacing w:line="500" w:lineRule="exact"/>
              <w:jc w:val="center"/>
              <w:textAlignment w:val="auto"/>
              <w:rPr>
                <w:rFonts w:eastAsia="黑体"/>
                <w:color w:val="000000"/>
                <w:sz w:val="24"/>
              </w:rPr>
            </w:pPr>
            <w:r>
              <w:rPr>
                <w:rFonts w:eastAsia="黑体"/>
                <w:color w:val="000000"/>
                <w:sz w:val="24"/>
              </w:rPr>
              <w:t>表</w:t>
            </w:r>
            <w:r>
              <w:rPr>
                <w:rFonts w:hint="eastAsia" w:eastAsia="黑体"/>
                <w:color w:val="000000"/>
                <w:sz w:val="24"/>
              </w:rPr>
              <w:t>4-</w:t>
            </w:r>
            <w:r>
              <w:rPr>
                <w:rFonts w:hint="eastAsia" w:eastAsia="黑体"/>
                <w:color w:val="000000"/>
                <w:sz w:val="24"/>
                <w:lang w:val="en-US" w:eastAsia="zh-CN"/>
              </w:rPr>
              <w:t xml:space="preserve">15 </w:t>
            </w:r>
            <w:r>
              <w:rPr>
                <w:rFonts w:eastAsia="黑体"/>
                <w:color w:val="000000"/>
                <w:sz w:val="24"/>
              </w:rPr>
              <w:t>项目</w:t>
            </w:r>
            <w:r>
              <w:rPr>
                <w:rFonts w:hint="eastAsia" w:eastAsia="黑体"/>
                <w:color w:val="000000"/>
                <w:sz w:val="24"/>
              </w:rPr>
              <w:t>一般</w:t>
            </w:r>
            <w:r>
              <w:rPr>
                <w:rFonts w:eastAsia="黑体"/>
                <w:color w:val="000000"/>
                <w:sz w:val="24"/>
              </w:rPr>
              <w:t>固体废物产排情况一览表</w:t>
            </w:r>
          </w:p>
          <w:tbl>
            <w:tblPr>
              <w:tblStyle w:val="23"/>
              <w:tblW w:w="5051"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Layout w:type="fixed"/>
              <w:tblCellMar>
                <w:top w:w="0" w:type="dxa"/>
                <w:left w:w="108" w:type="dxa"/>
                <w:bottom w:w="0" w:type="dxa"/>
                <w:right w:w="108" w:type="dxa"/>
              </w:tblCellMar>
            </w:tblPr>
            <w:tblGrid>
              <w:gridCol w:w="671"/>
              <w:gridCol w:w="1634"/>
              <w:gridCol w:w="1106"/>
              <w:gridCol w:w="1141"/>
              <w:gridCol w:w="1285"/>
              <w:gridCol w:w="2170"/>
            </w:tblGrid>
            <w:tr w14:paraId="61A0FD95">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551" w:hRule="atLeast"/>
                <w:jc w:val="center"/>
              </w:trPr>
              <w:tc>
                <w:tcPr>
                  <w:tcW w:w="419" w:type="pct"/>
                  <w:tcBorders>
                    <w:tl2br w:val="nil"/>
                    <w:tr2bl w:val="nil"/>
                  </w:tcBorders>
                  <w:noWrap w:val="0"/>
                  <w:vAlign w:val="center"/>
                </w:tcPr>
                <w:p w14:paraId="0F2DAE1E">
                  <w:pPr>
                    <w:adjustRightInd w:val="0"/>
                    <w:snapToGrid w:val="0"/>
                    <w:spacing w:beforeLines="10"/>
                    <w:jc w:val="center"/>
                    <w:rPr>
                      <w:bCs/>
                      <w:color w:val="000000"/>
                      <w:szCs w:val="21"/>
                      <w:lang w:val="zh-CN"/>
                    </w:rPr>
                  </w:pPr>
                  <w:r>
                    <w:rPr>
                      <w:bCs/>
                      <w:color w:val="000000"/>
                      <w:szCs w:val="21"/>
                      <w:lang w:val="zh-CN"/>
                    </w:rPr>
                    <w:t>序号</w:t>
                  </w:r>
                </w:p>
              </w:tc>
              <w:tc>
                <w:tcPr>
                  <w:tcW w:w="1020" w:type="pct"/>
                  <w:tcBorders>
                    <w:tl2br w:val="nil"/>
                    <w:tr2bl w:val="nil"/>
                  </w:tcBorders>
                  <w:noWrap w:val="0"/>
                  <w:vAlign w:val="center"/>
                </w:tcPr>
                <w:p w14:paraId="486EBDDB">
                  <w:pPr>
                    <w:adjustRightInd w:val="0"/>
                    <w:snapToGrid w:val="0"/>
                    <w:spacing w:beforeLines="10"/>
                    <w:jc w:val="center"/>
                    <w:rPr>
                      <w:bCs/>
                      <w:color w:val="000000"/>
                      <w:szCs w:val="21"/>
                      <w:lang w:val="zh-CN"/>
                    </w:rPr>
                  </w:pPr>
                  <w:r>
                    <w:rPr>
                      <w:bCs/>
                      <w:color w:val="000000"/>
                      <w:szCs w:val="21"/>
                      <w:lang w:val="zh-CN"/>
                    </w:rPr>
                    <w:t>产污</w:t>
                  </w:r>
                </w:p>
                <w:p w14:paraId="7D54CC8D">
                  <w:pPr>
                    <w:adjustRightInd w:val="0"/>
                    <w:snapToGrid w:val="0"/>
                    <w:spacing w:beforeLines="10"/>
                    <w:jc w:val="center"/>
                    <w:rPr>
                      <w:bCs/>
                      <w:color w:val="000000"/>
                      <w:szCs w:val="21"/>
                      <w:lang w:val="zh-CN"/>
                    </w:rPr>
                  </w:pPr>
                  <w:r>
                    <w:rPr>
                      <w:bCs/>
                      <w:color w:val="000000"/>
                      <w:szCs w:val="21"/>
                      <w:lang w:val="zh-CN"/>
                    </w:rPr>
                    <w:t>环节</w:t>
                  </w:r>
                </w:p>
              </w:tc>
              <w:tc>
                <w:tcPr>
                  <w:tcW w:w="690" w:type="pct"/>
                  <w:tcBorders>
                    <w:tl2br w:val="nil"/>
                    <w:tr2bl w:val="nil"/>
                  </w:tcBorders>
                  <w:noWrap w:val="0"/>
                  <w:vAlign w:val="center"/>
                </w:tcPr>
                <w:p w14:paraId="31540D6B">
                  <w:pPr>
                    <w:adjustRightInd w:val="0"/>
                    <w:snapToGrid w:val="0"/>
                    <w:spacing w:beforeLines="10"/>
                    <w:jc w:val="center"/>
                    <w:rPr>
                      <w:bCs/>
                      <w:color w:val="000000"/>
                      <w:szCs w:val="21"/>
                      <w:lang w:val="zh-CN"/>
                    </w:rPr>
                  </w:pPr>
                  <w:r>
                    <w:rPr>
                      <w:bCs/>
                      <w:color w:val="000000"/>
                      <w:szCs w:val="21"/>
                      <w:lang w:val="zh-CN"/>
                    </w:rPr>
                    <w:t>固废</w:t>
                  </w:r>
                </w:p>
                <w:p w14:paraId="41BBA8D3">
                  <w:pPr>
                    <w:adjustRightInd w:val="0"/>
                    <w:snapToGrid w:val="0"/>
                    <w:spacing w:beforeLines="10"/>
                    <w:jc w:val="center"/>
                    <w:rPr>
                      <w:bCs/>
                      <w:color w:val="000000"/>
                      <w:szCs w:val="21"/>
                      <w:lang w:val="zh-CN"/>
                    </w:rPr>
                  </w:pPr>
                  <w:r>
                    <w:rPr>
                      <w:bCs/>
                      <w:color w:val="000000"/>
                      <w:szCs w:val="21"/>
                      <w:lang w:val="zh-CN"/>
                    </w:rPr>
                    <w:t>名称</w:t>
                  </w:r>
                </w:p>
              </w:tc>
              <w:tc>
                <w:tcPr>
                  <w:tcW w:w="712" w:type="pct"/>
                  <w:tcBorders>
                    <w:tl2br w:val="nil"/>
                    <w:tr2bl w:val="nil"/>
                  </w:tcBorders>
                  <w:noWrap w:val="0"/>
                  <w:vAlign w:val="center"/>
                </w:tcPr>
                <w:p w14:paraId="0562F944">
                  <w:pPr>
                    <w:adjustRightInd w:val="0"/>
                    <w:snapToGrid w:val="0"/>
                    <w:spacing w:beforeLines="10"/>
                    <w:jc w:val="center"/>
                    <w:rPr>
                      <w:bCs/>
                      <w:color w:val="000000"/>
                      <w:szCs w:val="21"/>
                      <w:lang w:val="zh-CN"/>
                    </w:rPr>
                  </w:pPr>
                  <w:r>
                    <w:rPr>
                      <w:bCs/>
                      <w:color w:val="000000"/>
                      <w:szCs w:val="21"/>
                      <w:lang w:val="zh-CN"/>
                    </w:rPr>
                    <w:t>固废属性</w:t>
                  </w:r>
                </w:p>
              </w:tc>
              <w:tc>
                <w:tcPr>
                  <w:tcW w:w="802" w:type="pct"/>
                  <w:tcBorders>
                    <w:tl2br w:val="nil"/>
                    <w:tr2bl w:val="nil"/>
                  </w:tcBorders>
                  <w:noWrap w:val="0"/>
                  <w:vAlign w:val="center"/>
                </w:tcPr>
                <w:p w14:paraId="12252073">
                  <w:pPr>
                    <w:adjustRightInd w:val="0"/>
                    <w:snapToGrid w:val="0"/>
                    <w:spacing w:beforeLines="10"/>
                    <w:jc w:val="center"/>
                    <w:rPr>
                      <w:bCs/>
                      <w:color w:val="000000"/>
                      <w:szCs w:val="21"/>
                      <w:lang w:val="zh-CN"/>
                    </w:rPr>
                  </w:pPr>
                  <w:r>
                    <w:rPr>
                      <w:bCs/>
                      <w:color w:val="000000"/>
                      <w:szCs w:val="21"/>
                      <w:lang w:val="zh-CN"/>
                    </w:rPr>
                    <w:t>产生量（t/a）</w:t>
                  </w:r>
                </w:p>
              </w:tc>
              <w:tc>
                <w:tcPr>
                  <w:tcW w:w="1355" w:type="pct"/>
                  <w:tcBorders>
                    <w:tl2br w:val="nil"/>
                    <w:tr2bl w:val="nil"/>
                  </w:tcBorders>
                  <w:noWrap w:val="0"/>
                  <w:vAlign w:val="center"/>
                </w:tcPr>
                <w:p w14:paraId="0DA96CB4">
                  <w:pPr>
                    <w:adjustRightInd w:val="0"/>
                    <w:snapToGrid w:val="0"/>
                    <w:spacing w:beforeLines="10"/>
                    <w:jc w:val="center"/>
                    <w:rPr>
                      <w:bCs/>
                      <w:color w:val="000000"/>
                      <w:szCs w:val="21"/>
                      <w:lang w:val="zh-CN"/>
                    </w:rPr>
                  </w:pPr>
                  <w:r>
                    <w:rPr>
                      <w:bCs/>
                      <w:color w:val="000000"/>
                      <w:szCs w:val="21"/>
                      <w:lang w:val="zh-CN"/>
                    </w:rPr>
                    <w:t>拟采取的处理方式</w:t>
                  </w:r>
                </w:p>
              </w:tc>
            </w:tr>
            <w:tr w14:paraId="08B8867E">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87" w:hRule="atLeast"/>
                <w:jc w:val="center"/>
              </w:trPr>
              <w:tc>
                <w:tcPr>
                  <w:tcW w:w="419" w:type="pct"/>
                  <w:tcBorders>
                    <w:tl2br w:val="nil"/>
                    <w:tr2bl w:val="nil"/>
                  </w:tcBorders>
                  <w:noWrap w:val="0"/>
                  <w:vAlign w:val="center"/>
                </w:tcPr>
                <w:p w14:paraId="0673D643">
                  <w:pPr>
                    <w:adjustRightInd w:val="0"/>
                    <w:snapToGrid w:val="0"/>
                    <w:spacing w:beforeLines="10"/>
                    <w:jc w:val="center"/>
                    <w:rPr>
                      <w:bCs/>
                      <w:color w:val="000000"/>
                      <w:szCs w:val="21"/>
                      <w:lang w:val="zh-CN"/>
                    </w:rPr>
                  </w:pPr>
                  <w:r>
                    <w:rPr>
                      <w:rFonts w:hint="eastAsia"/>
                      <w:bCs/>
                      <w:color w:val="000000"/>
                      <w:szCs w:val="21"/>
                      <w:lang w:val="zh-CN"/>
                    </w:rPr>
                    <w:t>1</w:t>
                  </w:r>
                </w:p>
              </w:tc>
              <w:tc>
                <w:tcPr>
                  <w:tcW w:w="1020" w:type="pct"/>
                  <w:tcBorders>
                    <w:tl2br w:val="nil"/>
                    <w:tr2bl w:val="nil"/>
                  </w:tcBorders>
                  <w:noWrap w:val="0"/>
                  <w:vAlign w:val="center"/>
                </w:tcPr>
                <w:p w14:paraId="34C0E22C">
                  <w:pPr>
                    <w:adjustRightInd w:val="0"/>
                    <w:snapToGrid w:val="0"/>
                    <w:spacing w:beforeLines="10"/>
                    <w:jc w:val="center"/>
                    <w:rPr>
                      <w:rFonts w:hint="default"/>
                      <w:color w:val="000000"/>
                      <w:szCs w:val="21"/>
                      <w:lang w:val="en-US"/>
                    </w:rPr>
                  </w:pPr>
                  <w:r>
                    <w:rPr>
                      <w:rFonts w:hint="eastAsia"/>
                      <w:color w:val="000000"/>
                      <w:szCs w:val="21"/>
                      <w:lang w:val="en-US" w:eastAsia="zh-CN"/>
                    </w:rPr>
                    <w:t>生产工序</w:t>
                  </w:r>
                </w:p>
              </w:tc>
              <w:tc>
                <w:tcPr>
                  <w:tcW w:w="690" w:type="pct"/>
                  <w:tcBorders>
                    <w:tl2br w:val="nil"/>
                    <w:tr2bl w:val="nil"/>
                  </w:tcBorders>
                  <w:noWrap w:val="0"/>
                  <w:vAlign w:val="center"/>
                </w:tcPr>
                <w:p w14:paraId="56D37DDC">
                  <w:pPr>
                    <w:adjustRightInd w:val="0"/>
                    <w:snapToGrid w:val="0"/>
                    <w:spacing w:beforeLines="10"/>
                    <w:jc w:val="center"/>
                    <w:rPr>
                      <w:color w:val="000000"/>
                      <w:szCs w:val="21"/>
                    </w:rPr>
                  </w:pPr>
                  <w:r>
                    <w:rPr>
                      <w:rFonts w:hint="eastAsia"/>
                      <w:color w:val="000000"/>
                      <w:szCs w:val="21"/>
                    </w:rPr>
                    <w:t>泥饼</w:t>
                  </w:r>
                </w:p>
              </w:tc>
              <w:tc>
                <w:tcPr>
                  <w:tcW w:w="712" w:type="pct"/>
                  <w:tcBorders>
                    <w:tl2br w:val="nil"/>
                    <w:tr2bl w:val="nil"/>
                  </w:tcBorders>
                  <w:noWrap w:val="0"/>
                  <w:vAlign w:val="center"/>
                </w:tcPr>
                <w:p w14:paraId="3EEAD9D1">
                  <w:pPr>
                    <w:adjustRightInd w:val="0"/>
                    <w:snapToGrid w:val="0"/>
                    <w:spacing w:beforeLines="10"/>
                    <w:jc w:val="center"/>
                    <w:rPr>
                      <w:bCs/>
                      <w:color w:val="000000"/>
                      <w:szCs w:val="21"/>
                    </w:rPr>
                  </w:pPr>
                  <w:r>
                    <w:rPr>
                      <w:bCs/>
                      <w:color w:val="000000"/>
                      <w:szCs w:val="21"/>
                      <w:lang w:val="zh-CN"/>
                    </w:rPr>
                    <w:t>一般固废</w:t>
                  </w:r>
                </w:p>
              </w:tc>
              <w:tc>
                <w:tcPr>
                  <w:tcW w:w="802" w:type="pct"/>
                  <w:tcBorders>
                    <w:tl2br w:val="nil"/>
                    <w:tr2bl w:val="nil"/>
                  </w:tcBorders>
                  <w:noWrap w:val="0"/>
                  <w:vAlign w:val="center"/>
                </w:tcPr>
                <w:p w14:paraId="7DF53D98">
                  <w:pPr>
                    <w:adjustRightInd w:val="0"/>
                    <w:snapToGrid w:val="0"/>
                    <w:spacing w:beforeLines="10"/>
                    <w:jc w:val="center"/>
                    <w:rPr>
                      <w:rFonts w:hint="default" w:eastAsia="宋体"/>
                      <w:bCs/>
                      <w:color w:val="000000"/>
                      <w:szCs w:val="21"/>
                      <w:lang w:val="en-US" w:eastAsia="zh-CN"/>
                    </w:rPr>
                  </w:pPr>
                  <w:r>
                    <w:rPr>
                      <w:rFonts w:hint="eastAsia"/>
                      <w:color w:val="000000"/>
                      <w:szCs w:val="21"/>
                      <w:lang w:val="en-US" w:eastAsia="zh-CN"/>
                    </w:rPr>
                    <w:t>10</w:t>
                  </w:r>
                </w:p>
              </w:tc>
              <w:tc>
                <w:tcPr>
                  <w:tcW w:w="1355" w:type="pct"/>
                  <w:tcBorders>
                    <w:tl2br w:val="nil"/>
                    <w:tr2bl w:val="nil"/>
                  </w:tcBorders>
                  <w:noWrap w:val="0"/>
                  <w:vAlign w:val="center"/>
                </w:tcPr>
                <w:p w14:paraId="2497F9B7">
                  <w:pPr>
                    <w:adjustRightInd w:val="0"/>
                    <w:snapToGrid w:val="0"/>
                    <w:spacing w:beforeLines="10"/>
                    <w:jc w:val="center"/>
                    <w:rPr>
                      <w:rFonts w:hint="default" w:eastAsia="宋体"/>
                      <w:bCs/>
                      <w:color w:val="000000"/>
                      <w:szCs w:val="21"/>
                      <w:lang w:val="en-US" w:eastAsia="zh-CN"/>
                    </w:rPr>
                  </w:pPr>
                  <w:r>
                    <w:rPr>
                      <w:rFonts w:hint="eastAsia"/>
                      <w:bCs/>
                      <w:color w:val="000000"/>
                      <w:szCs w:val="21"/>
                      <w:lang w:val="en-US" w:eastAsia="zh-CN"/>
                    </w:rPr>
                    <w:t>收集后用于土地回填</w:t>
                  </w:r>
                </w:p>
              </w:tc>
            </w:tr>
            <w:tr w14:paraId="37696D86">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63" w:hRule="atLeast"/>
                <w:jc w:val="center"/>
              </w:trPr>
              <w:tc>
                <w:tcPr>
                  <w:tcW w:w="419" w:type="pct"/>
                  <w:tcBorders>
                    <w:tl2br w:val="nil"/>
                    <w:tr2bl w:val="nil"/>
                  </w:tcBorders>
                  <w:shd w:val="clear" w:color="auto" w:fill="auto"/>
                  <w:noWrap w:val="0"/>
                  <w:vAlign w:val="center"/>
                </w:tcPr>
                <w:p w14:paraId="5D9DB99F">
                  <w:pPr>
                    <w:adjustRightInd w:val="0"/>
                    <w:snapToGrid w:val="0"/>
                    <w:spacing w:beforeLines="10"/>
                    <w:jc w:val="center"/>
                    <w:rPr>
                      <w:rFonts w:hint="eastAsia" w:ascii="Times New Roman" w:hAnsi="Times New Roman" w:eastAsia="宋体" w:cs="Times New Roman"/>
                      <w:bCs/>
                      <w:color w:val="000000"/>
                      <w:kern w:val="2"/>
                      <w:sz w:val="21"/>
                      <w:szCs w:val="21"/>
                      <w:lang w:val="zh-CN" w:eastAsia="zh-CN" w:bidi="ar-SA"/>
                    </w:rPr>
                  </w:pPr>
                  <w:r>
                    <w:rPr>
                      <w:rFonts w:hint="eastAsia"/>
                      <w:bCs/>
                      <w:color w:val="000000"/>
                      <w:szCs w:val="21"/>
                      <w:lang w:val="zh-CN"/>
                    </w:rPr>
                    <w:t>2</w:t>
                  </w:r>
                </w:p>
              </w:tc>
              <w:tc>
                <w:tcPr>
                  <w:tcW w:w="1020" w:type="pct"/>
                  <w:tcBorders>
                    <w:tl2br w:val="nil"/>
                    <w:tr2bl w:val="nil"/>
                  </w:tcBorders>
                  <w:shd w:val="clear" w:color="auto" w:fill="auto"/>
                  <w:noWrap w:val="0"/>
                  <w:vAlign w:val="center"/>
                </w:tcPr>
                <w:p w14:paraId="7A338CD6">
                  <w:pPr>
                    <w:adjustRightInd w:val="0"/>
                    <w:snapToGrid w:val="0"/>
                    <w:spacing w:beforeLines="10"/>
                    <w:jc w:val="center"/>
                    <w:rPr>
                      <w:rFonts w:hint="eastAsia" w:ascii="Times New Roman" w:hAnsi="Times New Roman" w:eastAsia="宋体" w:cs="Times New Roman"/>
                      <w:color w:val="000000"/>
                      <w:kern w:val="2"/>
                      <w:sz w:val="21"/>
                      <w:szCs w:val="21"/>
                      <w:lang w:val="en-US" w:eastAsia="zh-CN" w:bidi="ar-SA"/>
                    </w:rPr>
                  </w:pPr>
                  <w:r>
                    <w:rPr>
                      <w:rFonts w:hint="eastAsia"/>
                      <w:color w:val="000000"/>
                      <w:szCs w:val="21"/>
                      <w:lang w:val="en-US" w:eastAsia="zh-CN"/>
                    </w:rPr>
                    <w:t>车辆冲洗</w:t>
                  </w:r>
                </w:p>
              </w:tc>
              <w:tc>
                <w:tcPr>
                  <w:tcW w:w="690" w:type="pct"/>
                  <w:tcBorders>
                    <w:tl2br w:val="nil"/>
                    <w:tr2bl w:val="nil"/>
                  </w:tcBorders>
                  <w:shd w:val="clear" w:color="auto" w:fill="auto"/>
                  <w:noWrap w:val="0"/>
                  <w:vAlign w:val="center"/>
                </w:tcPr>
                <w:p w14:paraId="02532F5D">
                  <w:pPr>
                    <w:adjustRightInd w:val="0"/>
                    <w:snapToGrid w:val="0"/>
                    <w:spacing w:beforeLines="1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污泥</w:t>
                  </w:r>
                </w:p>
              </w:tc>
              <w:tc>
                <w:tcPr>
                  <w:tcW w:w="712" w:type="pct"/>
                  <w:tcBorders>
                    <w:tl2br w:val="nil"/>
                    <w:tr2bl w:val="nil"/>
                  </w:tcBorders>
                  <w:shd w:val="clear" w:color="auto" w:fill="auto"/>
                  <w:noWrap w:val="0"/>
                  <w:vAlign w:val="center"/>
                </w:tcPr>
                <w:p w14:paraId="0CCC8AD3">
                  <w:pPr>
                    <w:adjustRightInd w:val="0"/>
                    <w:snapToGrid w:val="0"/>
                    <w:spacing w:beforeLines="10"/>
                    <w:jc w:val="center"/>
                    <w:rPr>
                      <w:rFonts w:ascii="Times New Roman" w:hAnsi="Times New Roman" w:eastAsia="宋体" w:cs="Times New Roman"/>
                      <w:bCs/>
                      <w:color w:val="000000"/>
                      <w:kern w:val="2"/>
                      <w:sz w:val="21"/>
                      <w:szCs w:val="21"/>
                      <w:lang w:val="zh-CN" w:eastAsia="zh-CN" w:bidi="ar-SA"/>
                    </w:rPr>
                  </w:pPr>
                  <w:r>
                    <w:rPr>
                      <w:bCs/>
                      <w:color w:val="000000"/>
                      <w:szCs w:val="21"/>
                      <w:lang w:val="zh-CN"/>
                    </w:rPr>
                    <w:t>一般固废</w:t>
                  </w:r>
                </w:p>
              </w:tc>
              <w:tc>
                <w:tcPr>
                  <w:tcW w:w="802" w:type="pct"/>
                  <w:tcBorders>
                    <w:tl2br w:val="nil"/>
                    <w:tr2bl w:val="nil"/>
                  </w:tcBorders>
                  <w:shd w:val="clear" w:color="auto" w:fill="auto"/>
                  <w:noWrap w:val="0"/>
                  <w:vAlign w:val="center"/>
                </w:tcPr>
                <w:p w14:paraId="2AB1BEE0">
                  <w:pPr>
                    <w:adjustRightInd w:val="0"/>
                    <w:snapToGrid w:val="0"/>
                    <w:spacing w:beforeLines="10"/>
                    <w:jc w:val="center"/>
                    <w:rPr>
                      <w:rFonts w:hint="default" w:ascii="Times New Roman" w:hAnsi="Times New Roman" w:eastAsia="宋体" w:cs="Times New Roman"/>
                      <w:color w:val="000000"/>
                      <w:kern w:val="2"/>
                      <w:sz w:val="21"/>
                      <w:szCs w:val="21"/>
                      <w:lang w:val="en-US" w:eastAsia="zh-CN" w:bidi="ar-SA"/>
                    </w:rPr>
                  </w:pPr>
                  <w:r>
                    <w:rPr>
                      <w:rFonts w:hint="eastAsia"/>
                      <w:color w:val="000000"/>
                      <w:szCs w:val="21"/>
                      <w:lang w:val="en-US" w:eastAsia="zh-CN"/>
                    </w:rPr>
                    <w:t>11.2</w:t>
                  </w:r>
                </w:p>
              </w:tc>
              <w:tc>
                <w:tcPr>
                  <w:tcW w:w="1355" w:type="pct"/>
                  <w:tcBorders>
                    <w:tl2br w:val="nil"/>
                    <w:tr2bl w:val="nil"/>
                  </w:tcBorders>
                  <w:shd w:val="clear" w:color="auto" w:fill="auto"/>
                  <w:noWrap w:val="0"/>
                  <w:vAlign w:val="center"/>
                </w:tcPr>
                <w:p w14:paraId="77257A4A">
                  <w:pPr>
                    <w:adjustRightInd w:val="0"/>
                    <w:snapToGrid w:val="0"/>
                    <w:spacing w:beforeLines="10"/>
                    <w:jc w:val="center"/>
                    <w:rPr>
                      <w:rFonts w:hint="eastAsia" w:ascii="Times New Roman" w:hAnsi="Times New Roman" w:eastAsia="宋体" w:cs="Times New Roman"/>
                      <w:bCs/>
                      <w:color w:val="000000"/>
                      <w:kern w:val="2"/>
                      <w:sz w:val="21"/>
                      <w:szCs w:val="21"/>
                      <w:lang w:val="en-US" w:eastAsia="zh-CN" w:bidi="ar-SA"/>
                    </w:rPr>
                  </w:pPr>
                  <w:r>
                    <w:rPr>
                      <w:rFonts w:hint="eastAsia"/>
                      <w:bCs/>
                      <w:color w:val="000000"/>
                      <w:szCs w:val="21"/>
                      <w:lang w:val="en-US" w:eastAsia="zh-CN"/>
                    </w:rPr>
                    <w:t>收集后用于土地回填</w:t>
                  </w:r>
                </w:p>
              </w:tc>
            </w:tr>
            <w:tr w14:paraId="557F726C">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523" w:hRule="atLeast"/>
                <w:jc w:val="center"/>
              </w:trPr>
              <w:tc>
                <w:tcPr>
                  <w:tcW w:w="419" w:type="pct"/>
                  <w:tcBorders>
                    <w:tl2br w:val="nil"/>
                    <w:tr2bl w:val="nil"/>
                  </w:tcBorders>
                  <w:shd w:val="clear" w:color="auto" w:fill="auto"/>
                  <w:noWrap w:val="0"/>
                  <w:vAlign w:val="center"/>
                </w:tcPr>
                <w:p w14:paraId="09A8D3F3">
                  <w:pPr>
                    <w:adjustRightInd w:val="0"/>
                    <w:snapToGrid w:val="0"/>
                    <w:spacing w:beforeLines="10"/>
                    <w:jc w:val="center"/>
                    <w:rPr>
                      <w:rFonts w:hint="eastAsia" w:ascii="Times New Roman" w:hAnsi="Times New Roman" w:eastAsia="宋体" w:cs="Times New Roman"/>
                      <w:bCs/>
                      <w:color w:val="000000"/>
                      <w:kern w:val="2"/>
                      <w:sz w:val="21"/>
                      <w:szCs w:val="21"/>
                      <w:lang w:val="zh-CN" w:eastAsia="zh-CN" w:bidi="ar-SA"/>
                    </w:rPr>
                  </w:pPr>
                  <w:r>
                    <w:rPr>
                      <w:rFonts w:hint="eastAsia"/>
                      <w:bCs/>
                      <w:color w:val="000000"/>
                      <w:szCs w:val="21"/>
                      <w:lang w:val="en-US" w:eastAsia="zh-CN"/>
                    </w:rPr>
                    <w:t>3</w:t>
                  </w:r>
                </w:p>
              </w:tc>
              <w:tc>
                <w:tcPr>
                  <w:tcW w:w="1020" w:type="pct"/>
                  <w:tcBorders>
                    <w:tl2br w:val="nil"/>
                    <w:tr2bl w:val="nil"/>
                  </w:tcBorders>
                  <w:shd w:val="clear" w:color="auto" w:fill="auto"/>
                  <w:noWrap w:val="0"/>
                  <w:vAlign w:val="center"/>
                </w:tcPr>
                <w:p w14:paraId="4C158D52">
                  <w:pPr>
                    <w:adjustRightInd w:val="0"/>
                    <w:snapToGrid w:val="0"/>
                    <w:spacing w:beforeLines="10"/>
                    <w:jc w:val="center"/>
                    <w:rPr>
                      <w:rFonts w:hint="eastAsia" w:ascii="Times New Roman" w:hAnsi="Times New Roman" w:eastAsia="宋体" w:cs="Times New Roman"/>
                      <w:color w:val="000000"/>
                      <w:kern w:val="2"/>
                      <w:sz w:val="21"/>
                      <w:szCs w:val="21"/>
                      <w:lang w:val="en-US" w:eastAsia="zh-CN" w:bidi="ar-SA"/>
                    </w:rPr>
                  </w:pPr>
                  <w:r>
                    <w:rPr>
                      <w:rFonts w:hint="eastAsia"/>
                      <w:color w:val="000000"/>
                      <w:szCs w:val="21"/>
                      <w:lang w:val="en-US" w:eastAsia="zh-CN"/>
                    </w:rPr>
                    <w:t>絮凝剂</w:t>
                  </w:r>
                </w:p>
              </w:tc>
              <w:tc>
                <w:tcPr>
                  <w:tcW w:w="690" w:type="pct"/>
                  <w:tcBorders>
                    <w:tl2br w:val="nil"/>
                    <w:tr2bl w:val="nil"/>
                  </w:tcBorders>
                  <w:shd w:val="clear" w:color="auto" w:fill="auto"/>
                  <w:noWrap w:val="0"/>
                  <w:vAlign w:val="center"/>
                </w:tcPr>
                <w:p w14:paraId="6157ED1D">
                  <w:pPr>
                    <w:adjustRightInd w:val="0"/>
                    <w:snapToGrid w:val="0"/>
                    <w:spacing w:beforeLines="10"/>
                    <w:jc w:val="center"/>
                    <w:rPr>
                      <w:rFonts w:hint="eastAsia" w:ascii="Times New Roman" w:hAnsi="Times New Roman" w:eastAsia="宋体" w:cs="Times New Roman"/>
                      <w:color w:val="000000"/>
                      <w:kern w:val="2"/>
                      <w:sz w:val="21"/>
                      <w:szCs w:val="21"/>
                      <w:lang w:val="en-US" w:eastAsia="zh-CN" w:bidi="ar-SA"/>
                    </w:rPr>
                  </w:pPr>
                  <w:r>
                    <w:rPr>
                      <w:rFonts w:hint="eastAsia"/>
                      <w:color w:val="000000"/>
                      <w:szCs w:val="21"/>
                      <w:lang w:val="en-US" w:eastAsia="zh-CN"/>
                    </w:rPr>
                    <w:t>废包装袋</w:t>
                  </w:r>
                </w:p>
              </w:tc>
              <w:tc>
                <w:tcPr>
                  <w:tcW w:w="712" w:type="pct"/>
                  <w:tcBorders>
                    <w:tl2br w:val="nil"/>
                    <w:tr2bl w:val="nil"/>
                  </w:tcBorders>
                  <w:shd w:val="clear" w:color="auto" w:fill="auto"/>
                  <w:noWrap w:val="0"/>
                  <w:vAlign w:val="center"/>
                </w:tcPr>
                <w:p w14:paraId="7EC1AB61">
                  <w:pPr>
                    <w:adjustRightInd w:val="0"/>
                    <w:snapToGrid w:val="0"/>
                    <w:spacing w:beforeLines="10"/>
                    <w:jc w:val="center"/>
                    <w:rPr>
                      <w:rFonts w:ascii="Times New Roman" w:hAnsi="Times New Roman" w:eastAsia="宋体" w:cs="Times New Roman"/>
                      <w:bCs/>
                      <w:color w:val="000000"/>
                      <w:kern w:val="2"/>
                      <w:sz w:val="21"/>
                      <w:szCs w:val="21"/>
                      <w:lang w:val="zh-CN" w:eastAsia="zh-CN" w:bidi="ar-SA"/>
                    </w:rPr>
                  </w:pPr>
                  <w:r>
                    <w:rPr>
                      <w:bCs/>
                      <w:color w:val="000000"/>
                      <w:szCs w:val="21"/>
                      <w:lang w:val="zh-CN"/>
                    </w:rPr>
                    <w:t>一般固废</w:t>
                  </w:r>
                </w:p>
              </w:tc>
              <w:tc>
                <w:tcPr>
                  <w:tcW w:w="802" w:type="pct"/>
                  <w:tcBorders>
                    <w:tl2br w:val="nil"/>
                    <w:tr2bl w:val="nil"/>
                  </w:tcBorders>
                  <w:shd w:val="clear" w:color="auto" w:fill="auto"/>
                  <w:noWrap w:val="0"/>
                  <w:vAlign w:val="center"/>
                </w:tcPr>
                <w:p w14:paraId="433B365C">
                  <w:pPr>
                    <w:adjustRightInd w:val="0"/>
                    <w:snapToGrid w:val="0"/>
                    <w:spacing w:beforeLines="10"/>
                    <w:jc w:val="center"/>
                    <w:rPr>
                      <w:rFonts w:hint="eastAsia" w:ascii="Times New Roman" w:hAnsi="Times New Roman" w:eastAsia="宋体" w:cs="Times New Roman"/>
                      <w:color w:val="000000"/>
                      <w:kern w:val="2"/>
                      <w:sz w:val="21"/>
                      <w:szCs w:val="21"/>
                      <w:lang w:val="en-US" w:eastAsia="zh-CN" w:bidi="ar-SA"/>
                    </w:rPr>
                  </w:pPr>
                  <w:r>
                    <w:rPr>
                      <w:rFonts w:hint="eastAsia" w:cs="Times New Roman"/>
                      <w:bCs/>
                      <w:color w:val="auto"/>
                      <w:sz w:val="24"/>
                      <w:szCs w:val="21"/>
                      <w:highlight w:val="none"/>
                      <w:u w:val="none"/>
                      <w:lang w:val="en-US" w:eastAsia="zh-CN"/>
                    </w:rPr>
                    <w:t>100个/年</w:t>
                  </w:r>
                </w:p>
              </w:tc>
              <w:tc>
                <w:tcPr>
                  <w:tcW w:w="1355" w:type="pct"/>
                  <w:tcBorders>
                    <w:tl2br w:val="nil"/>
                    <w:tr2bl w:val="nil"/>
                  </w:tcBorders>
                  <w:shd w:val="clear" w:color="auto" w:fill="auto"/>
                  <w:noWrap w:val="0"/>
                  <w:vAlign w:val="center"/>
                </w:tcPr>
                <w:p w14:paraId="245DE2B4">
                  <w:pPr>
                    <w:adjustRightInd w:val="0"/>
                    <w:snapToGrid w:val="0"/>
                    <w:spacing w:beforeLines="10"/>
                    <w:jc w:val="center"/>
                    <w:rPr>
                      <w:rFonts w:hint="eastAsia" w:ascii="Times New Roman" w:hAnsi="Times New Roman" w:eastAsia="宋体" w:cs="Times New Roman"/>
                      <w:bCs/>
                      <w:color w:val="000000"/>
                      <w:kern w:val="2"/>
                      <w:sz w:val="21"/>
                      <w:szCs w:val="21"/>
                      <w:lang w:val="en-US" w:eastAsia="zh-CN" w:bidi="ar-SA"/>
                    </w:rPr>
                  </w:pPr>
                  <w:r>
                    <w:rPr>
                      <w:color w:val="000000"/>
                      <w:kern w:val="0"/>
                      <w:szCs w:val="21"/>
                      <w:lang w:val="zh-CN"/>
                    </w:rPr>
                    <w:t>由环卫部门</w:t>
                  </w:r>
                  <w:r>
                    <w:rPr>
                      <w:rFonts w:hint="eastAsia"/>
                      <w:color w:val="000000"/>
                      <w:kern w:val="0"/>
                      <w:szCs w:val="21"/>
                      <w:lang w:val="zh-CN"/>
                    </w:rPr>
                    <w:t>统一</w:t>
                  </w:r>
                  <w:r>
                    <w:rPr>
                      <w:color w:val="000000"/>
                      <w:kern w:val="0"/>
                      <w:szCs w:val="21"/>
                      <w:lang w:val="zh-CN"/>
                    </w:rPr>
                    <w:t>清</w:t>
                  </w:r>
                  <w:r>
                    <w:rPr>
                      <w:rFonts w:hint="eastAsia"/>
                      <w:color w:val="000000"/>
                      <w:kern w:val="0"/>
                      <w:szCs w:val="21"/>
                      <w:lang w:val="zh-CN"/>
                    </w:rPr>
                    <w:t>运</w:t>
                  </w:r>
                </w:p>
              </w:tc>
            </w:tr>
            <w:tr w14:paraId="75B88BE7">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53" w:hRule="atLeast"/>
                <w:jc w:val="center"/>
              </w:trPr>
              <w:tc>
                <w:tcPr>
                  <w:tcW w:w="419" w:type="pct"/>
                  <w:tcBorders>
                    <w:tl2br w:val="nil"/>
                    <w:tr2bl w:val="nil"/>
                  </w:tcBorders>
                  <w:shd w:val="clear" w:color="auto" w:fill="auto"/>
                  <w:noWrap w:val="0"/>
                  <w:vAlign w:val="center"/>
                </w:tcPr>
                <w:p w14:paraId="03D911E1">
                  <w:pPr>
                    <w:adjustRightInd w:val="0"/>
                    <w:snapToGrid w:val="0"/>
                    <w:spacing w:beforeLines="10"/>
                    <w:jc w:val="center"/>
                    <w:rPr>
                      <w:rFonts w:hint="eastAsia" w:ascii="Times New Roman" w:hAnsi="Times New Roman" w:eastAsia="宋体" w:cs="Times New Roman"/>
                      <w:bCs/>
                      <w:color w:val="000000"/>
                      <w:kern w:val="2"/>
                      <w:sz w:val="21"/>
                      <w:szCs w:val="21"/>
                      <w:lang w:val="zh-CN" w:eastAsia="zh-CN" w:bidi="ar-SA"/>
                    </w:rPr>
                  </w:pPr>
                  <w:r>
                    <w:rPr>
                      <w:rFonts w:hint="eastAsia"/>
                      <w:bCs/>
                      <w:color w:val="000000"/>
                      <w:szCs w:val="21"/>
                      <w:lang w:val="en-US" w:eastAsia="zh-CN"/>
                    </w:rPr>
                    <w:t>4</w:t>
                  </w:r>
                </w:p>
              </w:tc>
              <w:tc>
                <w:tcPr>
                  <w:tcW w:w="1020" w:type="pct"/>
                  <w:tcBorders>
                    <w:tl2br w:val="nil"/>
                    <w:tr2bl w:val="nil"/>
                  </w:tcBorders>
                  <w:noWrap w:val="0"/>
                  <w:vAlign w:val="center"/>
                </w:tcPr>
                <w:p w14:paraId="4F13E703">
                  <w:pPr>
                    <w:adjustRightInd w:val="0"/>
                    <w:snapToGrid w:val="0"/>
                    <w:spacing w:beforeLines="10"/>
                    <w:jc w:val="center"/>
                    <w:rPr>
                      <w:bCs/>
                      <w:color w:val="000000"/>
                      <w:szCs w:val="21"/>
                      <w:lang w:val="zh-CN"/>
                    </w:rPr>
                  </w:pPr>
                  <w:r>
                    <w:rPr>
                      <w:rFonts w:hint="eastAsia"/>
                      <w:bCs/>
                      <w:color w:val="000000"/>
                      <w:szCs w:val="21"/>
                      <w:lang w:val="zh-CN"/>
                    </w:rPr>
                    <w:t>袋式除尘器</w:t>
                  </w:r>
                </w:p>
              </w:tc>
              <w:tc>
                <w:tcPr>
                  <w:tcW w:w="690" w:type="pct"/>
                  <w:tcBorders>
                    <w:tl2br w:val="nil"/>
                    <w:tr2bl w:val="nil"/>
                  </w:tcBorders>
                  <w:noWrap w:val="0"/>
                  <w:vAlign w:val="center"/>
                </w:tcPr>
                <w:p w14:paraId="5ECE98BE">
                  <w:pPr>
                    <w:adjustRightInd w:val="0"/>
                    <w:snapToGrid w:val="0"/>
                    <w:spacing w:beforeLines="10"/>
                    <w:jc w:val="center"/>
                    <w:rPr>
                      <w:rFonts w:hint="eastAsia" w:eastAsia="宋体"/>
                      <w:bCs/>
                      <w:color w:val="000000"/>
                      <w:szCs w:val="21"/>
                      <w:lang w:val="en-US" w:eastAsia="zh-CN"/>
                    </w:rPr>
                  </w:pPr>
                  <w:r>
                    <w:rPr>
                      <w:rFonts w:hint="eastAsia"/>
                      <w:bCs/>
                      <w:color w:val="000000"/>
                      <w:szCs w:val="21"/>
                      <w:lang w:val="en-US" w:eastAsia="zh-CN"/>
                    </w:rPr>
                    <w:t>颗粒物</w:t>
                  </w:r>
                </w:p>
              </w:tc>
              <w:tc>
                <w:tcPr>
                  <w:tcW w:w="712" w:type="pct"/>
                  <w:tcBorders>
                    <w:tl2br w:val="nil"/>
                    <w:tr2bl w:val="nil"/>
                  </w:tcBorders>
                  <w:noWrap w:val="0"/>
                  <w:vAlign w:val="center"/>
                </w:tcPr>
                <w:p w14:paraId="69F021B3">
                  <w:pPr>
                    <w:adjustRightInd w:val="0"/>
                    <w:snapToGrid w:val="0"/>
                    <w:spacing w:beforeLines="10"/>
                    <w:jc w:val="center"/>
                    <w:rPr>
                      <w:bCs/>
                      <w:color w:val="000000"/>
                      <w:szCs w:val="21"/>
                      <w:lang w:val="zh-CN"/>
                    </w:rPr>
                  </w:pPr>
                  <w:r>
                    <w:rPr>
                      <w:bCs/>
                      <w:color w:val="000000"/>
                      <w:szCs w:val="21"/>
                      <w:lang w:val="zh-CN"/>
                    </w:rPr>
                    <w:t>一般固废</w:t>
                  </w:r>
                </w:p>
              </w:tc>
              <w:tc>
                <w:tcPr>
                  <w:tcW w:w="802" w:type="pct"/>
                  <w:tcBorders>
                    <w:tl2br w:val="nil"/>
                    <w:tr2bl w:val="nil"/>
                  </w:tcBorders>
                  <w:noWrap w:val="0"/>
                  <w:vAlign w:val="center"/>
                </w:tcPr>
                <w:p w14:paraId="4CC64DB6">
                  <w:pPr>
                    <w:adjustRightInd w:val="0"/>
                    <w:snapToGrid w:val="0"/>
                    <w:spacing w:beforeLines="10"/>
                    <w:jc w:val="center"/>
                    <w:rPr>
                      <w:rFonts w:hint="default" w:eastAsia="宋体"/>
                      <w:color w:val="000000"/>
                      <w:szCs w:val="21"/>
                      <w:highlight w:val="none"/>
                      <w:lang w:val="en-US" w:eastAsia="zh-CN"/>
                    </w:rPr>
                  </w:pPr>
                  <w:r>
                    <w:rPr>
                      <w:rFonts w:hint="eastAsia"/>
                      <w:color w:val="000000"/>
                      <w:szCs w:val="21"/>
                      <w:highlight w:val="none"/>
                      <w:lang w:val="en-US" w:eastAsia="zh-CN"/>
                    </w:rPr>
                    <w:t>78.12</w:t>
                  </w:r>
                </w:p>
              </w:tc>
              <w:tc>
                <w:tcPr>
                  <w:tcW w:w="1355" w:type="pct"/>
                  <w:tcBorders>
                    <w:tl2br w:val="nil"/>
                    <w:tr2bl w:val="nil"/>
                  </w:tcBorders>
                  <w:noWrap w:val="0"/>
                  <w:vAlign w:val="center"/>
                </w:tcPr>
                <w:p w14:paraId="347401B7">
                  <w:pPr>
                    <w:adjustRightInd w:val="0"/>
                    <w:snapToGrid w:val="0"/>
                    <w:spacing w:beforeLines="10"/>
                    <w:jc w:val="center"/>
                    <w:rPr>
                      <w:rFonts w:hint="default" w:eastAsia="宋体"/>
                      <w:bCs/>
                      <w:color w:val="000000"/>
                      <w:szCs w:val="21"/>
                      <w:lang w:val="en-US" w:eastAsia="zh-CN"/>
                    </w:rPr>
                  </w:pPr>
                  <w:r>
                    <w:rPr>
                      <w:rFonts w:hint="eastAsia"/>
                      <w:bCs/>
                      <w:color w:val="000000"/>
                      <w:szCs w:val="21"/>
                      <w:lang w:val="en-US" w:eastAsia="zh-CN"/>
                    </w:rPr>
                    <w:t>循环回用</w:t>
                  </w:r>
                </w:p>
              </w:tc>
            </w:tr>
            <w:tr w14:paraId="780C73C8">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53" w:hRule="atLeast"/>
                <w:jc w:val="center"/>
              </w:trPr>
              <w:tc>
                <w:tcPr>
                  <w:tcW w:w="419" w:type="pct"/>
                  <w:tcBorders>
                    <w:tl2br w:val="nil"/>
                    <w:tr2bl w:val="nil"/>
                  </w:tcBorders>
                  <w:noWrap w:val="0"/>
                  <w:vAlign w:val="center"/>
                </w:tcPr>
                <w:p w14:paraId="26F75AC4">
                  <w:pPr>
                    <w:adjustRightInd w:val="0"/>
                    <w:snapToGrid w:val="0"/>
                    <w:spacing w:beforeLines="10"/>
                    <w:jc w:val="center"/>
                    <w:rPr>
                      <w:rFonts w:hint="default" w:eastAsia="宋体"/>
                      <w:bCs/>
                      <w:color w:val="000000"/>
                      <w:szCs w:val="21"/>
                      <w:lang w:val="en-US" w:eastAsia="zh-CN"/>
                    </w:rPr>
                  </w:pPr>
                  <w:r>
                    <w:rPr>
                      <w:rFonts w:hint="eastAsia"/>
                      <w:bCs/>
                      <w:color w:val="000000"/>
                      <w:szCs w:val="21"/>
                      <w:lang w:val="en-US" w:eastAsia="zh-CN"/>
                    </w:rPr>
                    <w:t>5</w:t>
                  </w:r>
                </w:p>
              </w:tc>
              <w:tc>
                <w:tcPr>
                  <w:tcW w:w="1020" w:type="pct"/>
                  <w:tcBorders>
                    <w:tl2br w:val="nil"/>
                    <w:tr2bl w:val="nil"/>
                  </w:tcBorders>
                  <w:noWrap w:val="0"/>
                  <w:vAlign w:val="center"/>
                </w:tcPr>
                <w:p w14:paraId="4DBD7931">
                  <w:pPr>
                    <w:adjustRightInd w:val="0"/>
                    <w:snapToGrid w:val="0"/>
                    <w:spacing w:beforeLines="10"/>
                    <w:jc w:val="center"/>
                    <w:rPr>
                      <w:rFonts w:hint="default" w:eastAsia="宋体"/>
                      <w:bCs/>
                      <w:color w:val="000000"/>
                      <w:szCs w:val="21"/>
                      <w:lang w:val="en-US" w:eastAsia="zh-CN"/>
                    </w:rPr>
                  </w:pPr>
                  <w:r>
                    <w:rPr>
                      <w:rFonts w:hint="eastAsia"/>
                      <w:bCs/>
                      <w:color w:val="000000"/>
                      <w:szCs w:val="21"/>
                      <w:lang w:val="en-US" w:eastAsia="zh-CN"/>
                    </w:rPr>
                    <w:t>更换滤袋</w:t>
                  </w:r>
                </w:p>
              </w:tc>
              <w:tc>
                <w:tcPr>
                  <w:tcW w:w="690" w:type="pct"/>
                  <w:tcBorders>
                    <w:tl2br w:val="nil"/>
                    <w:tr2bl w:val="nil"/>
                  </w:tcBorders>
                  <w:noWrap w:val="0"/>
                  <w:vAlign w:val="center"/>
                </w:tcPr>
                <w:p w14:paraId="42025859">
                  <w:pPr>
                    <w:adjustRightInd w:val="0"/>
                    <w:snapToGrid w:val="0"/>
                    <w:spacing w:beforeLines="10"/>
                    <w:jc w:val="center"/>
                    <w:rPr>
                      <w:rFonts w:hint="default"/>
                      <w:bCs/>
                      <w:color w:val="000000"/>
                      <w:szCs w:val="21"/>
                      <w:lang w:val="en-US" w:eastAsia="zh-CN"/>
                    </w:rPr>
                  </w:pPr>
                  <w:r>
                    <w:rPr>
                      <w:rFonts w:hint="eastAsia"/>
                      <w:bCs/>
                      <w:color w:val="000000"/>
                      <w:szCs w:val="21"/>
                      <w:lang w:val="en-US" w:eastAsia="zh-CN"/>
                    </w:rPr>
                    <w:t>滤袋</w:t>
                  </w:r>
                </w:p>
              </w:tc>
              <w:tc>
                <w:tcPr>
                  <w:tcW w:w="712" w:type="pct"/>
                  <w:tcBorders>
                    <w:tl2br w:val="nil"/>
                    <w:tr2bl w:val="nil"/>
                  </w:tcBorders>
                  <w:noWrap w:val="0"/>
                  <w:vAlign w:val="center"/>
                </w:tcPr>
                <w:p w14:paraId="7B6C156E">
                  <w:pPr>
                    <w:adjustRightInd w:val="0"/>
                    <w:snapToGrid w:val="0"/>
                    <w:spacing w:beforeLines="10"/>
                    <w:jc w:val="center"/>
                    <w:rPr>
                      <w:bCs/>
                      <w:color w:val="000000"/>
                      <w:szCs w:val="21"/>
                      <w:lang w:val="zh-CN"/>
                    </w:rPr>
                  </w:pPr>
                  <w:r>
                    <w:rPr>
                      <w:bCs/>
                      <w:color w:val="000000"/>
                      <w:szCs w:val="21"/>
                      <w:lang w:val="zh-CN"/>
                    </w:rPr>
                    <w:t>一般固废</w:t>
                  </w:r>
                </w:p>
              </w:tc>
              <w:tc>
                <w:tcPr>
                  <w:tcW w:w="802" w:type="pct"/>
                  <w:tcBorders>
                    <w:tl2br w:val="nil"/>
                    <w:tr2bl w:val="nil"/>
                  </w:tcBorders>
                  <w:noWrap w:val="0"/>
                  <w:vAlign w:val="center"/>
                </w:tcPr>
                <w:p w14:paraId="6CE6E24E">
                  <w:pPr>
                    <w:adjustRightInd w:val="0"/>
                    <w:snapToGrid w:val="0"/>
                    <w:spacing w:beforeLines="10"/>
                    <w:jc w:val="center"/>
                    <w:rPr>
                      <w:rFonts w:hint="default"/>
                      <w:color w:val="000000"/>
                      <w:szCs w:val="21"/>
                      <w:highlight w:val="none"/>
                      <w:lang w:val="en-US" w:eastAsia="zh-CN"/>
                    </w:rPr>
                  </w:pPr>
                  <w:r>
                    <w:rPr>
                      <w:rFonts w:hint="eastAsia"/>
                      <w:color w:val="000000"/>
                      <w:sz w:val="21"/>
                      <w:szCs w:val="21"/>
                      <w:u w:val="none"/>
                      <w:lang w:val="en-US" w:eastAsia="zh-CN"/>
                    </w:rPr>
                    <w:t>4个/a</w:t>
                  </w:r>
                </w:p>
              </w:tc>
              <w:tc>
                <w:tcPr>
                  <w:tcW w:w="1355" w:type="pct"/>
                  <w:tcBorders>
                    <w:tl2br w:val="nil"/>
                    <w:tr2bl w:val="nil"/>
                  </w:tcBorders>
                  <w:noWrap w:val="0"/>
                  <w:vAlign w:val="center"/>
                </w:tcPr>
                <w:p w14:paraId="75FFD475">
                  <w:pPr>
                    <w:adjustRightInd w:val="0"/>
                    <w:snapToGrid w:val="0"/>
                    <w:spacing w:beforeLines="10"/>
                    <w:jc w:val="center"/>
                    <w:rPr>
                      <w:rFonts w:hint="eastAsia"/>
                      <w:bCs/>
                      <w:color w:val="000000"/>
                      <w:szCs w:val="21"/>
                      <w:lang w:val="en-US" w:eastAsia="zh-CN"/>
                    </w:rPr>
                  </w:pPr>
                  <w:r>
                    <w:rPr>
                      <w:rFonts w:hint="eastAsia"/>
                      <w:bCs/>
                      <w:color w:val="000000"/>
                      <w:szCs w:val="21"/>
                      <w:lang w:val="en-US" w:eastAsia="zh-CN"/>
                    </w:rPr>
                    <w:t>交由原厂家回收处理</w:t>
                  </w:r>
                </w:p>
              </w:tc>
            </w:tr>
            <w:tr w14:paraId="05151ED4">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67" w:hRule="atLeast"/>
                <w:jc w:val="center"/>
              </w:trPr>
              <w:tc>
                <w:tcPr>
                  <w:tcW w:w="419" w:type="pct"/>
                  <w:tcBorders>
                    <w:tl2br w:val="nil"/>
                    <w:tr2bl w:val="nil"/>
                  </w:tcBorders>
                  <w:noWrap w:val="0"/>
                  <w:vAlign w:val="center"/>
                </w:tcPr>
                <w:p w14:paraId="30E6578D">
                  <w:pPr>
                    <w:adjustRightInd w:val="0"/>
                    <w:snapToGrid w:val="0"/>
                    <w:spacing w:beforeLines="10"/>
                    <w:jc w:val="center"/>
                    <w:rPr>
                      <w:rFonts w:hint="default" w:eastAsia="宋体"/>
                      <w:bCs/>
                      <w:color w:val="000000"/>
                      <w:szCs w:val="21"/>
                      <w:lang w:val="en-US" w:eastAsia="zh-CN"/>
                    </w:rPr>
                  </w:pPr>
                  <w:r>
                    <w:rPr>
                      <w:rFonts w:hint="eastAsia"/>
                      <w:bCs/>
                      <w:color w:val="000000"/>
                      <w:szCs w:val="21"/>
                      <w:lang w:val="en-US" w:eastAsia="zh-CN"/>
                    </w:rPr>
                    <w:t>6</w:t>
                  </w:r>
                </w:p>
              </w:tc>
              <w:tc>
                <w:tcPr>
                  <w:tcW w:w="1020" w:type="pct"/>
                  <w:tcBorders>
                    <w:tl2br w:val="nil"/>
                    <w:tr2bl w:val="nil"/>
                  </w:tcBorders>
                  <w:noWrap w:val="0"/>
                  <w:vAlign w:val="center"/>
                </w:tcPr>
                <w:p w14:paraId="7D63076D">
                  <w:pPr>
                    <w:adjustRightInd w:val="0"/>
                    <w:snapToGrid w:val="0"/>
                    <w:spacing w:beforeLines="10"/>
                    <w:jc w:val="center"/>
                    <w:rPr>
                      <w:bCs/>
                      <w:color w:val="000000"/>
                      <w:szCs w:val="21"/>
                      <w:lang w:val="zh-CN"/>
                    </w:rPr>
                  </w:pPr>
                  <w:r>
                    <w:rPr>
                      <w:bCs/>
                      <w:color w:val="000000"/>
                      <w:szCs w:val="21"/>
                      <w:lang w:val="zh-CN"/>
                    </w:rPr>
                    <w:t>职工</w:t>
                  </w:r>
                </w:p>
              </w:tc>
              <w:tc>
                <w:tcPr>
                  <w:tcW w:w="690" w:type="pct"/>
                  <w:tcBorders>
                    <w:tl2br w:val="nil"/>
                    <w:tr2bl w:val="nil"/>
                  </w:tcBorders>
                  <w:noWrap w:val="0"/>
                  <w:vAlign w:val="center"/>
                </w:tcPr>
                <w:p w14:paraId="4AEF7E30">
                  <w:pPr>
                    <w:adjustRightInd w:val="0"/>
                    <w:snapToGrid w:val="0"/>
                    <w:spacing w:beforeLines="10"/>
                    <w:jc w:val="center"/>
                    <w:rPr>
                      <w:bCs/>
                      <w:color w:val="000000"/>
                      <w:szCs w:val="21"/>
                      <w:lang w:val="zh-CN"/>
                    </w:rPr>
                  </w:pPr>
                  <w:r>
                    <w:rPr>
                      <w:color w:val="000000"/>
                      <w:kern w:val="0"/>
                      <w:szCs w:val="21"/>
                      <w:lang w:val="zh-CN"/>
                    </w:rPr>
                    <w:t>生活垃圾</w:t>
                  </w:r>
                </w:p>
              </w:tc>
              <w:tc>
                <w:tcPr>
                  <w:tcW w:w="712" w:type="pct"/>
                  <w:tcBorders>
                    <w:tl2br w:val="nil"/>
                    <w:tr2bl w:val="nil"/>
                  </w:tcBorders>
                  <w:noWrap w:val="0"/>
                  <w:vAlign w:val="center"/>
                </w:tcPr>
                <w:p w14:paraId="58FBA36B">
                  <w:pPr>
                    <w:adjustRightInd w:val="0"/>
                    <w:snapToGrid w:val="0"/>
                    <w:spacing w:beforeLines="10"/>
                    <w:jc w:val="center"/>
                    <w:rPr>
                      <w:bCs/>
                      <w:color w:val="000000"/>
                      <w:szCs w:val="21"/>
                      <w:lang w:val="zh-CN"/>
                    </w:rPr>
                  </w:pPr>
                  <w:r>
                    <w:rPr>
                      <w:bCs/>
                      <w:color w:val="000000"/>
                      <w:szCs w:val="21"/>
                      <w:lang w:val="zh-CN"/>
                    </w:rPr>
                    <w:t>一般固废</w:t>
                  </w:r>
                </w:p>
              </w:tc>
              <w:tc>
                <w:tcPr>
                  <w:tcW w:w="802" w:type="pct"/>
                  <w:tcBorders>
                    <w:tl2br w:val="nil"/>
                    <w:tr2bl w:val="nil"/>
                  </w:tcBorders>
                  <w:noWrap w:val="0"/>
                  <w:vAlign w:val="center"/>
                </w:tcPr>
                <w:p w14:paraId="491D3DB6">
                  <w:pPr>
                    <w:adjustRightInd w:val="0"/>
                    <w:snapToGrid w:val="0"/>
                    <w:spacing w:beforeLines="10"/>
                    <w:jc w:val="center"/>
                    <w:rPr>
                      <w:rFonts w:hint="default" w:eastAsia="宋体"/>
                      <w:color w:val="000000"/>
                      <w:szCs w:val="21"/>
                      <w:highlight w:val="none"/>
                      <w:lang w:val="en-US" w:eastAsia="zh-CN"/>
                    </w:rPr>
                  </w:pPr>
                  <w:r>
                    <w:rPr>
                      <w:rFonts w:hint="eastAsia"/>
                      <w:color w:val="000000"/>
                      <w:szCs w:val="21"/>
                      <w:highlight w:val="none"/>
                      <w:lang w:val="en-US" w:eastAsia="zh-CN"/>
                    </w:rPr>
                    <w:t>2.25</w:t>
                  </w:r>
                </w:p>
              </w:tc>
              <w:tc>
                <w:tcPr>
                  <w:tcW w:w="1355" w:type="pct"/>
                  <w:tcBorders>
                    <w:tl2br w:val="nil"/>
                    <w:tr2bl w:val="nil"/>
                  </w:tcBorders>
                  <w:noWrap w:val="0"/>
                  <w:vAlign w:val="center"/>
                </w:tcPr>
                <w:p w14:paraId="1B09E8BC">
                  <w:pPr>
                    <w:adjustRightInd w:val="0"/>
                    <w:snapToGrid w:val="0"/>
                    <w:spacing w:beforeLines="10"/>
                    <w:jc w:val="center"/>
                    <w:rPr>
                      <w:bCs/>
                      <w:color w:val="000000"/>
                      <w:szCs w:val="21"/>
                      <w:lang w:val="zh-CN"/>
                    </w:rPr>
                  </w:pPr>
                  <w:r>
                    <w:rPr>
                      <w:color w:val="000000"/>
                      <w:kern w:val="0"/>
                      <w:szCs w:val="21"/>
                      <w:lang w:val="zh-CN"/>
                    </w:rPr>
                    <w:t>由环卫部门</w:t>
                  </w:r>
                  <w:r>
                    <w:rPr>
                      <w:rFonts w:hint="eastAsia"/>
                      <w:color w:val="000000"/>
                      <w:kern w:val="0"/>
                      <w:szCs w:val="21"/>
                      <w:lang w:val="zh-CN"/>
                    </w:rPr>
                    <w:t>统一</w:t>
                  </w:r>
                  <w:r>
                    <w:rPr>
                      <w:color w:val="000000"/>
                      <w:kern w:val="0"/>
                      <w:szCs w:val="21"/>
                      <w:lang w:val="zh-CN"/>
                    </w:rPr>
                    <w:t>清</w:t>
                  </w:r>
                  <w:r>
                    <w:rPr>
                      <w:rFonts w:hint="eastAsia"/>
                      <w:color w:val="000000"/>
                      <w:kern w:val="0"/>
                      <w:szCs w:val="21"/>
                      <w:lang w:val="zh-CN"/>
                    </w:rPr>
                    <w:t>运</w:t>
                  </w:r>
                </w:p>
              </w:tc>
            </w:tr>
          </w:tbl>
          <w:p w14:paraId="2914A5CA">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eastAsia="黑体"/>
                <w:color w:val="000000"/>
                <w:sz w:val="24"/>
              </w:rPr>
            </w:pPr>
            <w:r>
              <w:rPr>
                <w:rFonts w:eastAsia="黑体"/>
                <w:color w:val="000000"/>
                <w:sz w:val="24"/>
              </w:rPr>
              <w:t>表</w:t>
            </w:r>
            <w:r>
              <w:rPr>
                <w:rFonts w:hint="eastAsia" w:eastAsia="黑体"/>
                <w:color w:val="000000"/>
                <w:sz w:val="24"/>
              </w:rPr>
              <w:t>4-</w:t>
            </w:r>
            <w:r>
              <w:rPr>
                <w:rFonts w:hint="eastAsia" w:eastAsia="黑体"/>
                <w:color w:val="000000"/>
                <w:sz w:val="24"/>
                <w:lang w:val="en-US" w:eastAsia="zh-CN"/>
              </w:rPr>
              <w:t xml:space="preserve">16 </w:t>
            </w:r>
            <w:r>
              <w:rPr>
                <w:rFonts w:eastAsia="黑体"/>
                <w:color w:val="000000"/>
                <w:sz w:val="24"/>
              </w:rPr>
              <w:t>项目</w:t>
            </w:r>
            <w:r>
              <w:rPr>
                <w:rFonts w:hint="eastAsia" w:eastAsia="黑体"/>
                <w:color w:val="000000"/>
                <w:sz w:val="24"/>
              </w:rPr>
              <w:t>危险</w:t>
            </w:r>
            <w:r>
              <w:rPr>
                <w:rFonts w:eastAsia="黑体"/>
                <w:color w:val="000000"/>
                <w:sz w:val="24"/>
              </w:rPr>
              <w:t>废物产排情况一览表</w:t>
            </w:r>
          </w:p>
          <w:tbl>
            <w:tblPr>
              <w:tblStyle w:val="23"/>
              <w:tblW w:w="8057"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633"/>
              <w:gridCol w:w="1047"/>
              <w:gridCol w:w="1311"/>
              <w:gridCol w:w="1001"/>
              <w:gridCol w:w="1264"/>
              <w:gridCol w:w="871"/>
              <w:gridCol w:w="1930"/>
            </w:tblGrid>
            <w:tr w14:paraId="0E4B5E2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563" w:hRule="atLeast"/>
                <w:jc w:val="center"/>
              </w:trPr>
              <w:tc>
                <w:tcPr>
                  <w:tcW w:w="392" w:type="pct"/>
                  <w:tcBorders>
                    <w:tl2br w:val="nil"/>
                    <w:tr2bl w:val="nil"/>
                  </w:tcBorders>
                  <w:noWrap w:val="0"/>
                  <w:vAlign w:val="center"/>
                </w:tcPr>
                <w:p w14:paraId="70816951">
                  <w:pPr>
                    <w:adjustRightInd w:val="0"/>
                    <w:snapToGrid w:val="0"/>
                    <w:spacing w:beforeLines="10"/>
                    <w:jc w:val="center"/>
                    <w:rPr>
                      <w:bCs/>
                      <w:color w:val="000000"/>
                      <w:szCs w:val="21"/>
                      <w:lang w:val="zh-CN"/>
                    </w:rPr>
                  </w:pPr>
                  <w:r>
                    <w:rPr>
                      <w:bCs/>
                      <w:color w:val="000000"/>
                      <w:szCs w:val="21"/>
                      <w:lang w:val="zh-CN"/>
                    </w:rPr>
                    <w:t>序号</w:t>
                  </w:r>
                </w:p>
              </w:tc>
              <w:tc>
                <w:tcPr>
                  <w:tcW w:w="649" w:type="pct"/>
                  <w:tcBorders>
                    <w:tl2br w:val="nil"/>
                    <w:tr2bl w:val="nil"/>
                  </w:tcBorders>
                  <w:noWrap w:val="0"/>
                  <w:vAlign w:val="center"/>
                </w:tcPr>
                <w:p w14:paraId="0B911CFB">
                  <w:pPr>
                    <w:adjustRightInd w:val="0"/>
                    <w:snapToGrid w:val="0"/>
                    <w:spacing w:beforeLines="10"/>
                    <w:jc w:val="center"/>
                    <w:rPr>
                      <w:bCs/>
                      <w:color w:val="000000"/>
                      <w:szCs w:val="21"/>
                      <w:lang w:val="zh-CN"/>
                    </w:rPr>
                  </w:pPr>
                  <w:r>
                    <w:rPr>
                      <w:bCs/>
                      <w:color w:val="000000"/>
                      <w:szCs w:val="21"/>
                      <w:lang w:val="zh-CN"/>
                    </w:rPr>
                    <w:t>产污</w:t>
                  </w:r>
                </w:p>
                <w:p w14:paraId="0C82B14F">
                  <w:pPr>
                    <w:adjustRightInd w:val="0"/>
                    <w:snapToGrid w:val="0"/>
                    <w:spacing w:beforeLines="10"/>
                    <w:jc w:val="center"/>
                    <w:rPr>
                      <w:bCs/>
                      <w:color w:val="000000"/>
                      <w:szCs w:val="21"/>
                      <w:lang w:val="zh-CN"/>
                    </w:rPr>
                  </w:pPr>
                  <w:r>
                    <w:rPr>
                      <w:bCs/>
                      <w:color w:val="000000"/>
                      <w:szCs w:val="21"/>
                      <w:lang w:val="zh-CN"/>
                    </w:rPr>
                    <w:t>环节</w:t>
                  </w:r>
                </w:p>
              </w:tc>
              <w:tc>
                <w:tcPr>
                  <w:tcW w:w="813" w:type="pct"/>
                  <w:tcBorders>
                    <w:tl2br w:val="nil"/>
                    <w:tr2bl w:val="nil"/>
                  </w:tcBorders>
                  <w:noWrap w:val="0"/>
                  <w:vAlign w:val="center"/>
                </w:tcPr>
                <w:p w14:paraId="3E03674A">
                  <w:pPr>
                    <w:adjustRightInd w:val="0"/>
                    <w:snapToGrid w:val="0"/>
                    <w:spacing w:beforeLines="10"/>
                    <w:jc w:val="center"/>
                    <w:rPr>
                      <w:bCs/>
                      <w:color w:val="000000"/>
                      <w:szCs w:val="21"/>
                      <w:lang w:val="zh-CN"/>
                    </w:rPr>
                  </w:pPr>
                  <w:r>
                    <w:rPr>
                      <w:bCs/>
                      <w:color w:val="000000"/>
                      <w:szCs w:val="21"/>
                      <w:lang w:val="zh-CN"/>
                    </w:rPr>
                    <w:t>固废</w:t>
                  </w:r>
                </w:p>
                <w:p w14:paraId="69C82B09">
                  <w:pPr>
                    <w:adjustRightInd w:val="0"/>
                    <w:snapToGrid w:val="0"/>
                    <w:spacing w:beforeLines="10"/>
                    <w:jc w:val="center"/>
                    <w:rPr>
                      <w:bCs/>
                      <w:color w:val="000000"/>
                      <w:szCs w:val="21"/>
                      <w:lang w:val="zh-CN"/>
                    </w:rPr>
                  </w:pPr>
                  <w:r>
                    <w:rPr>
                      <w:bCs/>
                      <w:color w:val="000000"/>
                      <w:szCs w:val="21"/>
                      <w:lang w:val="zh-CN"/>
                    </w:rPr>
                    <w:t>名称</w:t>
                  </w:r>
                </w:p>
              </w:tc>
              <w:tc>
                <w:tcPr>
                  <w:tcW w:w="621" w:type="pct"/>
                  <w:tcBorders>
                    <w:tl2br w:val="nil"/>
                    <w:tr2bl w:val="nil"/>
                  </w:tcBorders>
                  <w:noWrap w:val="0"/>
                  <w:vAlign w:val="center"/>
                </w:tcPr>
                <w:p w14:paraId="358F6246">
                  <w:pPr>
                    <w:adjustRightInd w:val="0"/>
                    <w:snapToGrid w:val="0"/>
                    <w:spacing w:beforeLines="10"/>
                    <w:jc w:val="center"/>
                    <w:rPr>
                      <w:bCs/>
                      <w:color w:val="000000"/>
                      <w:szCs w:val="21"/>
                      <w:lang w:val="zh-CN"/>
                    </w:rPr>
                  </w:pPr>
                  <w:r>
                    <w:rPr>
                      <w:bCs/>
                      <w:color w:val="000000"/>
                      <w:szCs w:val="21"/>
                      <w:lang w:val="zh-CN"/>
                    </w:rPr>
                    <w:t>固废</w:t>
                  </w:r>
                </w:p>
                <w:p w14:paraId="55BF5E15">
                  <w:pPr>
                    <w:adjustRightInd w:val="0"/>
                    <w:snapToGrid w:val="0"/>
                    <w:spacing w:beforeLines="10"/>
                    <w:jc w:val="center"/>
                    <w:rPr>
                      <w:bCs/>
                      <w:color w:val="000000"/>
                      <w:szCs w:val="21"/>
                      <w:lang w:val="zh-CN"/>
                    </w:rPr>
                  </w:pPr>
                  <w:r>
                    <w:rPr>
                      <w:bCs/>
                      <w:color w:val="000000"/>
                      <w:szCs w:val="21"/>
                      <w:lang w:val="zh-CN"/>
                    </w:rPr>
                    <w:t>属性</w:t>
                  </w:r>
                </w:p>
              </w:tc>
              <w:tc>
                <w:tcPr>
                  <w:tcW w:w="784" w:type="pct"/>
                  <w:tcBorders>
                    <w:tl2br w:val="nil"/>
                    <w:tr2bl w:val="nil"/>
                  </w:tcBorders>
                  <w:noWrap w:val="0"/>
                  <w:vAlign w:val="center"/>
                </w:tcPr>
                <w:p w14:paraId="353BE7E5">
                  <w:pPr>
                    <w:adjustRightInd w:val="0"/>
                    <w:snapToGrid w:val="0"/>
                    <w:spacing w:beforeLines="10"/>
                    <w:jc w:val="center"/>
                    <w:rPr>
                      <w:bCs/>
                      <w:color w:val="000000"/>
                      <w:szCs w:val="21"/>
                      <w:lang w:val="zh-CN"/>
                    </w:rPr>
                  </w:pPr>
                  <w:r>
                    <w:rPr>
                      <w:bCs/>
                      <w:color w:val="000000"/>
                      <w:szCs w:val="21"/>
                      <w:lang w:val="zh-CN"/>
                    </w:rPr>
                    <w:t>固废代码</w:t>
                  </w:r>
                </w:p>
              </w:tc>
              <w:tc>
                <w:tcPr>
                  <w:tcW w:w="540" w:type="pct"/>
                  <w:tcBorders>
                    <w:tl2br w:val="nil"/>
                    <w:tr2bl w:val="nil"/>
                  </w:tcBorders>
                  <w:noWrap w:val="0"/>
                  <w:vAlign w:val="center"/>
                </w:tcPr>
                <w:p w14:paraId="162CCC39">
                  <w:pPr>
                    <w:adjustRightInd w:val="0"/>
                    <w:snapToGrid w:val="0"/>
                    <w:spacing w:beforeLines="10"/>
                    <w:jc w:val="center"/>
                    <w:rPr>
                      <w:bCs/>
                      <w:color w:val="000000"/>
                      <w:szCs w:val="21"/>
                      <w:lang w:val="zh-CN"/>
                    </w:rPr>
                  </w:pPr>
                  <w:r>
                    <w:rPr>
                      <w:bCs/>
                      <w:color w:val="000000"/>
                      <w:szCs w:val="21"/>
                      <w:lang w:val="zh-CN"/>
                    </w:rPr>
                    <w:t>产生量（t/a）</w:t>
                  </w:r>
                </w:p>
              </w:tc>
              <w:tc>
                <w:tcPr>
                  <w:tcW w:w="1197" w:type="pct"/>
                  <w:tcBorders>
                    <w:tl2br w:val="nil"/>
                    <w:tr2bl w:val="nil"/>
                  </w:tcBorders>
                  <w:noWrap w:val="0"/>
                  <w:vAlign w:val="center"/>
                </w:tcPr>
                <w:p w14:paraId="72AD44D9">
                  <w:pPr>
                    <w:adjustRightInd w:val="0"/>
                    <w:snapToGrid w:val="0"/>
                    <w:spacing w:beforeLines="10"/>
                    <w:jc w:val="center"/>
                    <w:rPr>
                      <w:bCs/>
                      <w:color w:val="000000"/>
                      <w:szCs w:val="21"/>
                      <w:lang w:val="zh-CN"/>
                    </w:rPr>
                  </w:pPr>
                  <w:r>
                    <w:rPr>
                      <w:bCs/>
                      <w:color w:val="000000"/>
                      <w:szCs w:val="21"/>
                      <w:lang w:val="zh-CN"/>
                    </w:rPr>
                    <w:t>拟采取的处理方式</w:t>
                  </w:r>
                </w:p>
              </w:tc>
            </w:tr>
            <w:tr w14:paraId="5ECF30E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47" w:hRule="atLeast"/>
                <w:jc w:val="center"/>
              </w:trPr>
              <w:tc>
                <w:tcPr>
                  <w:tcW w:w="392" w:type="pct"/>
                  <w:tcBorders>
                    <w:tl2br w:val="nil"/>
                    <w:tr2bl w:val="nil"/>
                  </w:tcBorders>
                  <w:noWrap w:val="0"/>
                  <w:vAlign w:val="center"/>
                </w:tcPr>
                <w:p w14:paraId="40FBE063">
                  <w:pPr>
                    <w:adjustRightInd w:val="0"/>
                    <w:snapToGrid w:val="0"/>
                    <w:spacing w:beforeLines="10"/>
                    <w:jc w:val="center"/>
                    <w:rPr>
                      <w:bCs/>
                      <w:color w:val="000000"/>
                      <w:szCs w:val="21"/>
                      <w:lang w:val="zh-CN"/>
                    </w:rPr>
                  </w:pPr>
                  <w:r>
                    <w:rPr>
                      <w:rFonts w:hint="eastAsia"/>
                      <w:bCs/>
                      <w:color w:val="000000"/>
                      <w:szCs w:val="21"/>
                      <w:lang w:val="zh-CN"/>
                    </w:rPr>
                    <w:t>1</w:t>
                  </w:r>
                </w:p>
              </w:tc>
              <w:tc>
                <w:tcPr>
                  <w:tcW w:w="649" w:type="pct"/>
                  <w:vMerge w:val="restart"/>
                  <w:tcBorders>
                    <w:tl2br w:val="nil"/>
                    <w:tr2bl w:val="nil"/>
                  </w:tcBorders>
                  <w:noWrap w:val="0"/>
                  <w:vAlign w:val="center"/>
                </w:tcPr>
                <w:p w14:paraId="2502F2F0">
                  <w:pPr>
                    <w:adjustRightInd w:val="0"/>
                    <w:snapToGrid w:val="0"/>
                    <w:spacing w:beforeLines="10"/>
                    <w:jc w:val="center"/>
                    <w:rPr>
                      <w:rFonts w:hint="eastAsia"/>
                      <w:bCs/>
                      <w:color w:val="000000"/>
                      <w:szCs w:val="21"/>
                      <w:lang w:val="zh-CN"/>
                    </w:rPr>
                  </w:pPr>
                  <w:r>
                    <w:rPr>
                      <w:rFonts w:hint="eastAsia"/>
                      <w:bCs/>
                      <w:color w:val="000000"/>
                      <w:szCs w:val="21"/>
                      <w:lang w:val="zh-CN"/>
                    </w:rPr>
                    <w:t>设备</w:t>
                  </w:r>
                </w:p>
                <w:p w14:paraId="4EE2A328">
                  <w:pPr>
                    <w:adjustRightInd w:val="0"/>
                    <w:snapToGrid w:val="0"/>
                    <w:spacing w:beforeLines="10"/>
                    <w:jc w:val="center"/>
                    <w:rPr>
                      <w:bCs/>
                      <w:color w:val="000000"/>
                      <w:szCs w:val="21"/>
                      <w:lang w:val="zh-CN"/>
                    </w:rPr>
                  </w:pPr>
                  <w:r>
                    <w:rPr>
                      <w:rFonts w:hint="eastAsia"/>
                      <w:bCs/>
                      <w:color w:val="000000"/>
                      <w:szCs w:val="21"/>
                      <w:lang w:val="zh-CN"/>
                    </w:rPr>
                    <w:t>保养</w:t>
                  </w:r>
                </w:p>
              </w:tc>
              <w:tc>
                <w:tcPr>
                  <w:tcW w:w="813" w:type="pct"/>
                  <w:tcBorders>
                    <w:tl2br w:val="nil"/>
                    <w:tr2bl w:val="nil"/>
                  </w:tcBorders>
                  <w:noWrap w:val="0"/>
                  <w:vAlign w:val="center"/>
                </w:tcPr>
                <w:p w14:paraId="165E4541">
                  <w:pPr>
                    <w:adjustRightInd w:val="0"/>
                    <w:snapToGrid w:val="0"/>
                    <w:spacing w:beforeLines="10"/>
                    <w:jc w:val="center"/>
                    <w:rPr>
                      <w:rFonts w:hint="eastAsia" w:eastAsia="宋体"/>
                      <w:color w:val="000000"/>
                      <w:szCs w:val="21"/>
                      <w:lang w:val="en-US" w:eastAsia="zh-CN"/>
                    </w:rPr>
                  </w:pPr>
                  <w:r>
                    <w:rPr>
                      <w:rFonts w:hint="eastAsia"/>
                      <w:color w:val="000000"/>
                      <w:kern w:val="0"/>
                      <w:szCs w:val="21"/>
                    </w:rPr>
                    <w:t>废</w:t>
                  </w:r>
                  <w:r>
                    <w:rPr>
                      <w:rFonts w:hint="eastAsia"/>
                      <w:color w:val="000000"/>
                      <w:kern w:val="0"/>
                      <w:szCs w:val="21"/>
                      <w:lang w:val="en-US" w:eastAsia="zh-CN"/>
                    </w:rPr>
                    <w:t>润滑油</w:t>
                  </w:r>
                </w:p>
              </w:tc>
              <w:tc>
                <w:tcPr>
                  <w:tcW w:w="621" w:type="pct"/>
                  <w:vMerge w:val="restart"/>
                  <w:tcBorders>
                    <w:tl2br w:val="nil"/>
                    <w:tr2bl w:val="nil"/>
                  </w:tcBorders>
                  <w:noWrap w:val="0"/>
                  <w:vAlign w:val="center"/>
                </w:tcPr>
                <w:p w14:paraId="54CB1E25">
                  <w:pPr>
                    <w:adjustRightInd w:val="0"/>
                    <w:snapToGrid w:val="0"/>
                    <w:spacing w:beforeLines="10"/>
                    <w:jc w:val="center"/>
                    <w:rPr>
                      <w:bCs/>
                      <w:color w:val="000000"/>
                      <w:szCs w:val="21"/>
                      <w:lang w:val="zh-CN"/>
                    </w:rPr>
                  </w:pPr>
                  <w:r>
                    <w:rPr>
                      <w:bCs/>
                      <w:color w:val="000000"/>
                      <w:szCs w:val="21"/>
                      <w:lang w:val="zh-CN"/>
                    </w:rPr>
                    <w:t>危险</w:t>
                  </w:r>
                </w:p>
                <w:p w14:paraId="25B2B29B">
                  <w:pPr>
                    <w:adjustRightInd w:val="0"/>
                    <w:snapToGrid w:val="0"/>
                    <w:spacing w:beforeLines="10"/>
                    <w:jc w:val="center"/>
                    <w:rPr>
                      <w:bCs/>
                      <w:color w:val="000000"/>
                      <w:szCs w:val="21"/>
                      <w:lang w:val="zh-CN"/>
                    </w:rPr>
                  </w:pPr>
                  <w:r>
                    <w:rPr>
                      <w:bCs/>
                      <w:color w:val="000000"/>
                      <w:szCs w:val="21"/>
                      <w:lang w:val="zh-CN"/>
                    </w:rPr>
                    <w:t>废物</w:t>
                  </w:r>
                </w:p>
              </w:tc>
              <w:tc>
                <w:tcPr>
                  <w:tcW w:w="784" w:type="pct"/>
                  <w:tcBorders>
                    <w:tl2br w:val="nil"/>
                    <w:tr2bl w:val="nil"/>
                  </w:tcBorders>
                  <w:noWrap w:val="0"/>
                  <w:vAlign w:val="center"/>
                </w:tcPr>
                <w:p w14:paraId="5E603EDE">
                  <w:pPr>
                    <w:adjustRightInd w:val="0"/>
                    <w:snapToGrid w:val="0"/>
                    <w:spacing w:beforeLines="10"/>
                    <w:jc w:val="center"/>
                    <w:rPr>
                      <w:bCs/>
                      <w:color w:val="000000"/>
                      <w:szCs w:val="21"/>
                      <w:highlight w:val="none"/>
                      <w:lang w:val="zh-CN"/>
                    </w:rPr>
                  </w:pPr>
                  <w:r>
                    <w:rPr>
                      <w:color w:val="000000"/>
                      <w:szCs w:val="21"/>
                      <w:highlight w:val="none"/>
                    </w:rPr>
                    <w:t>HW</w:t>
                  </w:r>
                  <w:r>
                    <w:rPr>
                      <w:rFonts w:hint="eastAsia"/>
                      <w:color w:val="000000"/>
                      <w:szCs w:val="21"/>
                      <w:highlight w:val="none"/>
                    </w:rPr>
                    <w:t>08</w:t>
                  </w:r>
                  <w:r>
                    <w:rPr>
                      <w:color w:val="000000"/>
                      <w:szCs w:val="21"/>
                      <w:highlight w:val="none"/>
                    </w:rPr>
                    <w:t xml:space="preserve"> 900-</w:t>
                  </w:r>
                  <w:r>
                    <w:rPr>
                      <w:rFonts w:hint="eastAsia"/>
                      <w:color w:val="000000"/>
                      <w:szCs w:val="21"/>
                      <w:highlight w:val="none"/>
                    </w:rPr>
                    <w:t>2</w:t>
                  </w:r>
                  <w:r>
                    <w:rPr>
                      <w:rFonts w:hint="eastAsia"/>
                      <w:color w:val="000000"/>
                      <w:szCs w:val="21"/>
                      <w:highlight w:val="none"/>
                      <w:lang w:val="en-US" w:eastAsia="zh-CN"/>
                    </w:rPr>
                    <w:t>17</w:t>
                  </w:r>
                  <w:r>
                    <w:rPr>
                      <w:color w:val="000000"/>
                      <w:szCs w:val="21"/>
                      <w:highlight w:val="none"/>
                    </w:rPr>
                    <w:t>-</w:t>
                  </w:r>
                  <w:r>
                    <w:rPr>
                      <w:rFonts w:hint="eastAsia"/>
                      <w:color w:val="000000"/>
                      <w:szCs w:val="21"/>
                      <w:highlight w:val="none"/>
                    </w:rPr>
                    <w:t>08</w:t>
                  </w:r>
                </w:p>
              </w:tc>
              <w:tc>
                <w:tcPr>
                  <w:tcW w:w="540" w:type="pct"/>
                  <w:tcBorders>
                    <w:tl2br w:val="nil"/>
                    <w:tr2bl w:val="nil"/>
                  </w:tcBorders>
                  <w:noWrap w:val="0"/>
                  <w:vAlign w:val="center"/>
                </w:tcPr>
                <w:p w14:paraId="5BB853CA">
                  <w:pPr>
                    <w:adjustRightInd w:val="0"/>
                    <w:snapToGrid w:val="0"/>
                    <w:spacing w:beforeLines="10"/>
                    <w:jc w:val="center"/>
                    <w:rPr>
                      <w:rFonts w:hint="default" w:eastAsia="宋体"/>
                      <w:bCs/>
                      <w:color w:val="000000"/>
                      <w:szCs w:val="21"/>
                      <w:lang w:val="en-US" w:eastAsia="zh-CN"/>
                    </w:rPr>
                  </w:pPr>
                  <w:r>
                    <w:rPr>
                      <w:rFonts w:hint="eastAsia"/>
                      <w:bCs/>
                      <w:color w:val="000000"/>
                      <w:szCs w:val="21"/>
                      <w:lang w:val="zh-CN"/>
                    </w:rPr>
                    <w:t>0.</w:t>
                  </w:r>
                  <w:r>
                    <w:rPr>
                      <w:rFonts w:hint="eastAsia"/>
                      <w:bCs/>
                      <w:color w:val="000000"/>
                      <w:szCs w:val="21"/>
                      <w:lang w:val="en-US" w:eastAsia="zh-CN"/>
                    </w:rPr>
                    <w:t>02</w:t>
                  </w:r>
                </w:p>
              </w:tc>
              <w:tc>
                <w:tcPr>
                  <w:tcW w:w="1197" w:type="pct"/>
                  <w:vMerge w:val="restart"/>
                  <w:tcBorders>
                    <w:tl2br w:val="nil"/>
                    <w:tr2bl w:val="nil"/>
                  </w:tcBorders>
                  <w:noWrap w:val="0"/>
                  <w:vAlign w:val="center"/>
                </w:tcPr>
                <w:p w14:paraId="4AFEAC73">
                  <w:pPr>
                    <w:adjustRightInd w:val="0"/>
                    <w:snapToGrid w:val="0"/>
                    <w:spacing w:beforeLines="10"/>
                    <w:jc w:val="center"/>
                    <w:rPr>
                      <w:bCs/>
                      <w:color w:val="000000"/>
                      <w:szCs w:val="21"/>
                      <w:lang w:val="zh-CN"/>
                    </w:rPr>
                  </w:pPr>
                  <w:r>
                    <w:rPr>
                      <w:rFonts w:hint="eastAsia" w:ascii="Times New Roman" w:hAnsi="Times New Roman" w:eastAsia="宋体" w:cs="宋体"/>
                      <w:color w:val="auto"/>
                      <w:kern w:val="2"/>
                      <w:sz w:val="21"/>
                      <w:szCs w:val="21"/>
                      <w:lang w:val="en-US" w:eastAsia="zh-CN" w:bidi="ar-SA"/>
                    </w:rPr>
                    <w:t>危废间暂存后交由有资质单位</w:t>
                  </w:r>
                  <w:r>
                    <w:rPr>
                      <w:rFonts w:hint="eastAsia" w:cs="宋体"/>
                      <w:color w:val="auto"/>
                      <w:kern w:val="2"/>
                      <w:sz w:val="21"/>
                      <w:szCs w:val="21"/>
                      <w:lang w:val="en-US" w:eastAsia="zh-CN" w:bidi="ar-SA"/>
                    </w:rPr>
                    <w:t>进行安全</w:t>
                  </w:r>
                  <w:r>
                    <w:rPr>
                      <w:rFonts w:hint="eastAsia" w:ascii="Times New Roman" w:hAnsi="Times New Roman" w:eastAsia="宋体" w:cs="宋体"/>
                      <w:color w:val="auto"/>
                      <w:kern w:val="2"/>
                      <w:sz w:val="21"/>
                      <w:szCs w:val="21"/>
                      <w:lang w:val="en-US" w:eastAsia="zh-CN" w:bidi="ar-SA"/>
                    </w:rPr>
                    <w:t>处理</w:t>
                  </w:r>
                </w:p>
              </w:tc>
            </w:tr>
            <w:tr w14:paraId="7641203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566" w:hRule="atLeast"/>
                <w:jc w:val="center"/>
              </w:trPr>
              <w:tc>
                <w:tcPr>
                  <w:tcW w:w="392" w:type="pct"/>
                  <w:tcBorders>
                    <w:tl2br w:val="nil"/>
                    <w:tr2bl w:val="nil"/>
                  </w:tcBorders>
                  <w:noWrap w:val="0"/>
                  <w:vAlign w:val="center"/>
                </w:tcPr>
                <w:p w14:paraId="0D7E9C10">
                  <w:pPr>
                    <w:adjustRightInd w:val="0"/>
                    <w:snapToGrid w:val="0"/>
                    <w:spacing w:beforeLines="10"/>
                    <w:jc w:val="center"/>
                    <w:rPr>
                      <w:rFonts w:hint="eastAsia" w:eastAsia="宋体"/>
                      <w:bCs/>
                      <w:color w:val="000000"/>
                      <w:szCs w:val="21"/>
                      <w:lang w:val="en-US" w:eastAsia="zh-CN"/>
                    </w:rPr>
                  </w:pPr>
                  <w:r>
                    <w:rPr>
                      <w:rFonts w:hint="eastAsia"/>
                      <w:bCs/>
                      <w:color w:val="000000"/>
                      <w:szCs w:val="21"/>
                      <w:lang w:val="en-US" w:eastAsia="zh-CN"/>
                    </w:rPr>
                    <w:t>2</w:t>
                  </w:r>
                </w:p>
              </w:tc>
              <w:tc>
                <w:tcPr>
                  <w:tcW w:w="649" w:type="pct"/>
                  <w:vMerge w:val="continue"/>
                  <w:tcBorders>
                    <w:tl2br w:val="nil"/>
                    <w:tr2bl w:val="nil"/>
                  </w:tcBorders>
                  <w:noWrap w:val="0"/>
                  <w:vAlign w:val="center"/>
                </w:tcPr>
                <w:p w14:paraId="16F6B40A">
                  <w:pPr>
                    <w:adjustRightInd w:val="0"/>
                    <w:snapToGrid w:val="0"/>
                    <w:spacing w:beforeLines="10"/>
                    <w:jc w:val="center"/>
                    <w:rPr>
                      <w:rFonts w:hint="eastAsia"/>
                      <w:bCs/>
                      <w:color w:val="000000"/>
                      <w:szCs w:val="21"/>
                      <w:lang w:val="zh-CN"/>
                    </w:rPr>
                  </w:pPr>
                </w:p>
              </w:tc>
              <w:tc>
                <w:tcPr>
                  <w:tcW w:w="813" w:type="pct"/>
                  <w:tcBorders>
                    <w:tl2br w:val="nil"/>
                    <w:tr2bl w:val="nil"/>
                  </w:tcBorders>
                  <w:noWrap w:val="0"/>
                  <w:vAlign w:val="center"/>
                </w:tcPr>
                <w:p w14:paraId="69D59F05">
                  <w:pPr>
                    <w:adjustRightInd w:val="0"/>
                    <w:snapToGrid w:val="0"/>
                    <w:spacing w:beforeLines="10"/>
                    <w:jc w:val="center"/>
                    <w:rPr>
                      <w:rFonts w:hint="default"/>
                      <w:color w:val="000000"/>
                      <w:kern w:val="0"/>
                      <w:szCs w:val="21"/>
                      <w:lang w:val="en-US"/>
                    </w:rPr>
                  </w:pPr>
                  <w:r>
                    <w:rPr>
                      <w:rFonts w:hint="eastAsia"/>
                      <w:color w:val="000000"/>
                      <w:kern w:val="0"/>
                      <w:szCs w:val="21"/>
                    </w:rPr>
                    <w:t>废</w:t>
                  </w:r>
                  <w:r>
                    <w:rPr>
                      <w:rFonts w:hint="eastAsia"/>
                      <w:color w:val="000000"/>
                      <w:kern w:val="0"/>
                      <w:szCs w:val="21"/>
                      <w:lang w:val="en-US" w:eastAsia="zh-CN"/>
                    </w:rPr>
                    <w:t>润滑油桶</w:t>
                  </w:r>
                </w:p>
              </w:tc>
              <w:tc>
                <w:tcPr>
                  <w:tcW w:w="621" w:type="pct"/>
                  <w:vMerge w:val="continue"/>
                  <w:tcBorders>
                    <w:tl2br w:val="nil"/>
                    <w:tr2bl w:val="nil"/>
                  </w:tcBorders>
                  <w:noWrap w:val="0"/>
                  <w:vAlign w:val="center"/>
                </w:tcPr>
                <w:p w14:paraId="231EFC0F">
                  <w:pPr>
                    <w:adjustRightInd w:val="0"/>
                    <w:snapToGrid w:val="0"/>
                    <w:spacing w:beforeLines="10"/>
                    <w:jc w:val="center"/>
                    <w:rPr>
                      <w:bCs/>
                      <w:color w:val="000000"/>
                      <w:szCs w:val="21"/>
                      <w:lang w:val="zh-CN"/>
                    </w:rPr>
                  </w:pPr>
                </w:p>
              </w:tc>
              <w:tc>
                <w:tcPr>
                  <w:tcW w:w="784" w:type="pct"/>
                  <w:tcBorders>
                    <w:tl2br w:val="nil"/>
                    <w:tr2bl w:val="nil"/>
                  </w:tcBorders>
                  <w:noWrap w:val="0"/>
                  <w:vAlign w:val="center"/>
                </w:tcPr>
                <w:p w14:paraId="482D2DF6">
                  <w:pPr>
                    <w:adjustRightInd w:val="0"/>
                    <w:snapToGrid w:val="0"/>
                    <w:spacing w:beforeLines="10"/>
                    <w:jc w:val="center"/>
                    <w:rPr>
                      <w:color w:val="000000"/>
                      <w:szCs w:val="21"/>
                      <w:highlight w:val="none"/>
                    </w:rPr>
                  </w:pPr>
                  <w:r>
                    <w:rPr>
                      <w:color w:val="000000"/>
                      <w:szCs w:val="21"/>
                      <w:highlight w:val="none"/>
                    </w:rPr>
                    <w:t>HW</w:t>
                  </w:r>
                  <w:r>
                    <w:rPr>
                      <w:rFonts w:hint="eastAsia"/>
                      <w:color w:val="000000"/>
                      <w:szCs w:val="21"/>
                      <w:highlight w:val="none"/>
                    </w:rPr>
                    <w:t>08</w:t>
                  </w:r>
                  <w:r>
                    <w:rPr>
                      <w:color w:val="000000"/>
                      <w:szCs w:val="21"/>
                      <w:highlight w:val="none"/>
                    </w:rPr>
                    <w:t xml:space="preserve"> 900-</w:t>
                  </w:r>
                  <w:r>
                    <w:rPr>
                      <w:rFonts w:hint="eastAsia"/>
                      <w:color w:val="000000"/>
                      <w:szCs w:val="21"/>
                      <w:highlight w:val="none"/>
                    </w:rPr>
                    <w:t>2</w:t>
                  </w:r>
                  <w:r>
                    <w:rPr>
                      <w:rFonts w:hint="eastAsia"/>
                      <w:color w:val="000000"/>
                      <w:szCs w:val="21"/>
                      <w:highlight w:val="none"/>
                      <w:lang w:val="en-US" w:eastAsia="zh-CN"/>
                    </w:rPr>
                    <w:t>49</w:t>
                  </w:r>
                  <w:r>
                    <w:rPr>
                      <w:color w:val="000000"/>
                      <w:szCs w:val="21"/>
                      <w:highlight w:val="none"/>
                    </w:rPr>
                    <w:t>-</w:t>
                  </w:r>
                  <w:r>
                    <w:rPr>
                      <w:rFonts w:hint="eastAsia"/>
                      <w:color w:val="000000"/>
                      <w:szCs w:val="21"/>
                      <w:highlight w:val="none"/>
                    </w:rPr>
                    <w:t>08</w:t>
                  </w:r>
                </w:p>
              </w:tc>
              <w:tc>
                <w:tcPr>
                  <w:tcW w:w="540" w:type="pct"/>
                  <w:tcBorders>
                    <w:tl2br w:val="nil"/>
                    <w:tr2bl w:val="nil"/>
                  </w:tcBorders>
                  <w:noWrap w:val="0"/>
                  <w:vAlign w:val="center"/>
                </w:tcPr>
                <w:p w14:paraId="31BB41B1">
                  <w:pPr>
                    <w:adjustRightInd w:val="0"/>
                    <w:snapToGrid w:val="0"/>
                    <w:spacing w:beforeLines="10"/>
                    <w:jc w:val="center"/>
                    <w:rPr>
                      <w:rFonts w:hint="default" w:eastAsia="宋体"/>
                      <w:bCs/>
                      <w:color w:val="000000"/>
                      <w:szCs w:val="21"/>
                      <w:lang w:val="en-US" w:eastAsia="zh-CN"/>
                    </w:rPr>
                  </w:pPr>
                  <w:r>
                    <w:rPr>
                      <w:rFonts w:hint="eastAsia"/>
                      <w:bCs/>
                      <w:color w:val="000000"/>
                      <w:szCs w:val="21"/>
                      <w:lang w:val="en-US" w:eastAsia="zh-CN"/>
                    </w:rPr>
                    <w:t>0.02</w:t>
                  </w:r>
                </w:p>
              </w:tc>
              <w:tc>
                <w:tcPr>
                  <w:tcW w:w="1197" w:type="pct"/>
                  <w:vMerge w:val="continue"/>
                  <w:tcBorders>
                    <w:tl2br w:val="nil"/>
                    <w:tr2bl w:val="nil"/>
                  </w:tcBorders>
                  <w:noWrap w:val="0"/>
                  <w:vAlign w:val="center"/>
                </w:tcPr>
                <w:p w14:paraId="11CDB9DA">
                  <w:pPr>
                    <w:adjustRightInd w:val="0"/>
                    <w:snapToGrid w:val="0"/>
                    <w:spacing w:beforeLines="10"/>
                    <w:jc w:val="center"/>
                    <w:rPr>
                      <w:color w:val="000000"/>
                      <w:szCs w:val="21"/>
                    </w:rPr>
                  </w:pPr>
                </w:p>
              </w:tc>
            </w:tr>
          </w:tbl>
          <w:p w14:paraId="4D09CBF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firstLine="500" w:firstLineChars="200"/>
              <w:textAlignment w:val="auto"/>
              <w:rPr>
                <w:rFonts w:hint="default" w:ascii="Times New Roman" w:hAnsi="Times New Roman" w:cs="Times New Roman"/>
                <w:b/>
                <w:bCs/>
                <w:color w:val="000000"/>
                <w:spacing w:val="5"/>
                <w:sz w:val="24"/>
                <w:highlight w:val="none"/>
              </w:rPr>
            </w:pPr>
            <w:r>
              <w:rPr>
                <w:rFonts w:hint="eastAsia" w:cs="Times New Roman"/>
                <w:b w:val="0"/>
                <w:bCs w:val="0"/>
                <w:color w:val="000000"/>
                <w:spacing w:val="5"/>
                <w:sz w:val="24"/>
                <w:highlight w:val="none"/>
                <w:lang w:val="en-US" w:eastAsia="zh-CN"/>
              </w:rPr>
              <w:t>4.2</w:t>
            </w:r>
            <w:r>
              <w:rPr>
                <w:rFonts w:hint="default" w:ascii="Times New Roman" w:hAnsi="Times New Roman" w:cs="Times New Roman"/>
                <w:b w:val="0"/>
                <w:bCs w:val="0"/>
                <w:color w:val="000000"/>
                <w:spacing w:val="5"/>
                <w:sz w:val="24"/>
                <w:highlight w:val="none"/>
              </w:rPr>
              <w:t>贮存、利用、处置方式和去向情况</w:t>
            </w:r>
          </w:p>
          <w:p w14:paraId="5FB094D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firstLine="500" w:firstLineChars="200"/>
              <w:textAlignment w:val="auto"/>
              <w:rPr>
                <w:rFonts w:hint="default" w:ascii="Times New Roman" w:hAnsi="Times New Roman" w:cs="Times New Roman"/>
                <w:b w:val="0"/>
                <w:bCs w:val="0"/>
                <w:sz w:val="24"/>
                <w:szCs w:val="24"/>
                <w:highlight w:val="yellow"/>
                <w:u w:val="none"/>
              </w:rPr>
            </w:pPr>
            <w:r>
              <w:rPr>
                <w:rFonts w:hint="default" w:ascii="Times New Roman" w:hAnsi="Times New Roman" w:cs="Times New Roman"/>
                <w:color w:val="000000"/>
                <w:spacing w:val="5"/>
                <w:sz w:val="24"/>
                <w:highlight w:val="none"/>
              </w:rPr>
              <w:t>项目生产过程中产生的</w:t>
            </w:r>
            <w:r>
              <w:rPr>
                <w:rFonts w:hint="eastAsia" w:ascii="Times New Roman" w:hAnsi="Times New Roman" w:cs="Times New Roman"/>
                <w:color w:val="000000"/>
                <w:spacing w:val="5"/>
                <w:sz w:val="24"/>
                <w:highlight w:val="none"/>
                <w:lang w:val="en-US" w:eastAsia="zh-CN"/>
              </w:rPr>
              <w:t>危险废物由</w:t>
            </w:r>
            <w:r>
              <w:rPr>
                <w:rFonts w:hint="eastAsia" w:cs="Times New Roman"/>
                <w:color w:val="000000"/>
                <w:spacing w:val="5"/>
                <w:sz w:val="24"/>
                <w:highlight w:val="none"/>
                <w:lang w:val="en-US" w:eastAsia="zh-CN"/>
              </w:rPr>
              <w:t>拟新建</w:t>
            </w:r>
            <w:r>
              <w:rPr>
                <w:rFonts w:hint="eastAsia" w:ascii="Times New Roman" w:hAnsi="Times New Roman" w:cs="Times New Roman"/>
                <w:color w:val="000000"/>
                <w:spacing w:val="5"/>
                <w:sz w:val="24"/>
                <w:highlight w:val="none"/>
                <w:lang w:val="en-US" w:eastAsia="zh-CN"/>
              </w:rPr>
              <w:t>危废间暂存后交由有</w:t>
            </w:r>
            <w:r>
              <w:rPr>
                <w:rFonts w:hint="eastAsia" w:cs="Times New Roman"/>
                <w:color w:val="000000"/>
                <w:spacing w:val="5"/>
                <w:sz w:val="24"/>
                <w:highlight w:val="none"/>
                <w:lang w:val="en-US" w:eastAsia="zh-CN"/>
              </w:rPr>
              <w:t>危废处理</w:t>
            </w:r>
            <w:r>
              <w:rPr>
                <w:rFonts w:hint="eastAsia" w:ascii="Times New Roman" w:hAnsi="Times New Roman" w:cs="Times New Roman"/>
                <w:color w:val="000000"/>
                <w:spacing w:val="5"/>
                <w:sz w:val="24"/>
                <w:highlight w:val="none"/>
                <w:lang w:val="en-US" w:eastAsia="zh-CN"/>
              </w:rPr>
              <w:t>资质单位回收处理</w:t>
            </w:r>
            <w:r>
              <w:rPr>
                <w:rFonts w:hint="eastAsia" w:cs="Times New Roman"/>
                <w:color w:val="000000"/>
                <w:spacing w:val="5"/>
                <w:sz w:val="24"/>
                <w:highlight w:val="none"/>
                <w:lang w:val="en-US" w:eastAsia="zh-CN"/>
              </w:rPr>
              <w:t>，</w:t>
            </w:r>
            <w:r>
              <w:rPr>
                <w:rFonts w:hint="default" w:ascii="Times New Roman" w:hAnsi="Times New Roman" w:cs="Times New Roman"/>
                <w:b w:val="0"/>
                <w:bCs w:val="0"/>
                <w:sz w:val="24"/>
                <w:szCs w:val="24"/>
                <w:highlight w:val="none"/>
                <w:u w:val="none"/>
              </w:rPr>
              <w:t>项目危废特性汇总见下表。</w:t>
            </w:r>
          </w:p>
          <w:p w14:paraId="5D159707">
            <w:pPr>
              <w:pStyle w:val="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right="0"/>
              <w:jc w:val="center"/>
              <w:textAlignment w:val="auto"/>
              <w:rPr>
                <w:rFonts w:hint="default" w:ascii="Times New Roman" w:hAnsi="Times New Roman" w:eastAsia="黑体" w:cs="Times New Roman"/>
                <w:b w:val="0"/>
                <w:bCs w:val="0"/>
                <w:sz w:val="24"/>
                <w:szCs w:val="24"/>
                <w:u w:val="none"/>
                <w:lang w:val="en-US" w:eastAsia="zh-CN"/>
              </w:rPr>
            </w:pPr>
            <w:r>
              <w:rPr>
                <w:rFonts w:hint="default" w:ascii="Times New Roman" w:hAnsi="Times New Roman" w:eastAsia="黑体" w:cs="Times New Roman"/>
                <w:b w:val="0"/>
                <w:bCs w:val="0"/>
                <w:sz w:val="24"/>
                <w:szCs w:val="24"/>
                <w:u w:val="none"/>
                <w:lang w:val="en-US" w:eastAsia="zh-CN"/>
              </w:rPr>
              <w:t>表</w:t>
            </w:r>
            <w:r>
              <w:rPr>
                <w:rFonts w:hint="eastAsia" w:eastAsia="黑体" w:cs="Times New Roman"/>
                <w:b w:val="0"/>
                <w:bCs w:val="0"/>
                <w:sz w:val="24"/>
                <w:szCs w:val="24"/>
                <w:u w:val="none"/>
                <w:lang w:val="en-US" w:eastAsia="zh-CN"/>
              </w:rPr>
              <w:t>4-17</w:t>
            </w:r>
            <w:r>
              <w:rPr>
                <w:rFonts w:hint="default" w:ascii="Times New Roman" w:hAnsi="Times New Roman" w:eastAsia="黑体" w:cs="Times New Roman"/>
                <w:b w:val="0"/>
                <w:bCs w:val="0"/>
                <w:sz w:val="24"/>
                <w:szCs w:val="24"/>
                <w:u w:val="none"/>
                <w:lang w:val="en-US" w:eastAsia="zh-CN"/>
              </w:rPr>
              <w:t xml:space="preserve"> </w:t>
            </w:r>
            <w:r>
              <w:rPr>
                <w:rFonts w:hint="eastAsia" w:ascii="Times New Roman" w:hAnsi="Times New Roman" w:eastAsia="黑体" w:cs="Times New Roman"/>
                <w:b w:val="0"/>
                <w:bCs w:val="0"/>
                <w:sz w:val="24"/>
                <w:szCs w:val="24"/>
                <w:u w:val="none"/>
                <w:lang w:val="en-US" w:eastAsia="zh-CN"/>
              </w:rPr>
              <w:t>本</w:t>
            </w:r>
            <w:r>
              <w:rPr>
                <w:rFonts w:hint="default" w:ascii="Times New Roman" w:hAnsi="Times New Roman" w:eastAsia="黑体" w:cs="Times New Roman"/>
                <w:b w:val="0"/>
                <w:bCs w:val="0"/>
                <w:sz w:val="24"/>
                <w:szCs w:val="24"/>
                <w:u w:val="none"/>
                <w:lang w:val="en-US" w:eastAsia="zh-CN"/>
              </w:rPr>
              <w:t>项目危险废物汇总表</w:t>
            </w:r>
          </w:p>
          <w:tbl>
            <w:tblPr>
              <w:tblStyle w:val="23"/>
              <w:tblW w:w="8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670"/>
              <w:gridCol w:w="775"/>
              <w:gridCol w:w="753"/>
              <w:gridCol w:w="693"/>
              <w:gridCol w:w="668"/>
              <w:gridCol w:w="448"/>
              <w:gridCol w:w="804"/>
              <w:gridCol w:w="708"/>
              <w:gridCol w:w="696"/>
              <w:gridCol w:w="579"/>
              <w:gridCol w:w="875"/>
            </w:tblGrid>
            <w:tr w14:paraId="645BF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2" w:hRule="atLeast"/>
                <w:jc w:val="center"/>
              </w:trPr>
              <w:tc>
                <w:tcPr>
                  <w:tcW w:w="406" w:type="dxa"/>
                  <w:tcBorders>
                    <w:tl2br w:val="nil"/>
                    <w:tr2bl w:val="nil"/>
                  </w:tcBorders>
                  <w:noWrap w:val="0"/>
                  <w:vAlign w:val="center"/>
                </w:tcPr>
                <w:p w14:paraId="212287D7">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序号</w:t>
                  </w:r>
                </w:p>
              </w:tc>
              <w:tc>
                <w:tcPr>
                  <w:tcW w:w="670" w:type="dxa"/>
                  <w:tcBorders>
                    <w:tl2br w:val="nil"/>
                    <w:tr2bl w:val="nil"/>
                  </w:tcBorders>
                  <w:noWrap w:val="0"/>
                  <w:vAlign w:val="center"/>
                </w:tcPr>
                <w:p w14:paraId="7850BA5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危险废物名称</w:t>
                  </w:r>
                </w:p>
              </w:tc>
              <w:tc>
                <w:tcPr>
                  <w:tcW w:w="775" w:type="dxa"/>
                  <w:tcBorders>
                    <w:tl2br w:val="nil"/>
                    <w:tr2bl w:val="nil"/>
                  </w:tcBorders>
                  <w:noWrap w:val="0"/>
                  <w:vAlign w:val="center"/>
                </w:tcPr>
                <w:p w14:paraId="0DF7E771">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危险废物类别</w:t>
                  </w:r>
                </w:p>
              </w:tc>
              <w:tc>
                <w:tcPr>
                  <w:tcW w:w="753" w:type="dxa"/>
                  <w:tcBorders>
                    <w:tl2br w:val="nil"/>
                    <w:tr2bl w:val="nil"/>
                  </w:tcBorders>
                  <w:noWrap w:val="0"/>
                  <w:vAlign w:val="center"/>
                </w:tcPr>
                <w:p w14:paraId="595E256E">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危险废物代码</w:t>
                  </w:r>
                </w:p>
              </w:tc>
              <w:tc>
                <w:tcPr>
                  <w:tcW w:w="693" w:type="dxa"/>
                  <w:tcBorders>
                    <w:tl2br w:val="nil"/>
                    <w:tr2bl w:val="nil"/>
                  </w:tcBorders>
                  <w:noWrap w:val="0"/>
                  <w:vAlign w:val="center"/>
                </w:tcPr>
                <w:p w14:paraId="5F9817D9">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产生量（</w:t>
                  </w:r>
                  <w:r>
                    <w:rPr>
                      <w:rFonts w:hint="default" w:ascii="Times New Roman" w:hAnsi="Times New Roman" w:cs="Times New Roman"/>
                      <w:b/>
                      <w:bCs/>
                      <w:kern w:val="0"/>
                      <w:sz w:val="21"/>
                      <w:szCs w:val="21"/>
                      <w:u w:val="none"/>
                      <w:lang w:val="en-US" w:eastAsia="zh-CN"/>
                    </w:rPr>
                    <w:t>t/a</w:t>
                  </w:r>
                  <w:r>
                    <w:rPr>
                      <w:rFonts w:hint="default" w:ascii="Times New Roman" w:hAnsi="Times New Roman" w:cs="Times New Roman"/>
                      <w:b/>
                      <w:bCs/>
                      <w:kern w:val="0"/>
                      <w:sz w:val="21"/>
                      <w:szCs w:val="21"/>
                      <w:u w:val="none"/>
                    </w:rPr>
                    <w:t>）</w:t>
                  </w:r>
                </w:p>
              </w:tc>
              <w:tc>
                <w:tcPr>
                  <w:tcW w:w="668" w:type="dxa"/>
                  <w:tcBorders>
                    <w:tl2br w:val="nil"/>
                    <w:tr2bl w:val="nil"/>
                  </w:tcBorders>
                  <w:noWrap w:val="0"/>
                  <w:vAlign w:val="center"/>
                </w:tcPr>
                <w:p w14:paraId="4F9AFAEA">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产生工序</w:t>
                  </w:r>
                </w:p>
              </w:tc>
              <w:tc>
                <w:tcPr>
                  <w:tcW w:w="448" w:type="dxa"/>
                  <w:tcBorders>
                    <w:tl2br w:val="nil"/>
                    <w:tr2bl w:val="nil"/>
                  </w:tcBorders>
                  <w:noWrap w:val="0"/>
                  <w:vAlign w:val="center"/>
                </w:tcPr>
                <w:p w14:paraId="0336868E">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形态</w:t>
                  </w:r>
                </w:p>
              </w:tc>
              <w:tc>
                <w:tcPr>
                  <w:tcW w:w="804" w:type="dxa"/>
                  <w:tcBorders>
                    <w:tl2br w:val="nil"/>
                    <w:tr2bl w:val="nil"/>
                  </w:tcBorders>
                  <w:noWrap w:val="0"/>
                  <w:vAlign w:val="center"/>
                </w:tcPr>
                <w:p w14:paraId="1AD5B0CD">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主要成分</w:t>
                  </w:r>
                </w:p>
              </w:tc>
              <w:tc>
                <w:tcPr>
                  <w:tcW w:w="708" w:type="dxa"/>
                  <w:tcBorders>
                    <w:tl2br w:val="nil"/>
                    <w:tr2bl w:val="nil"/>
                  </w:tcBorders>
                  <w:noWrap w:val="0"/>
                  <w:vAlign w:val="center"/>
                </w:tcPr>
                <w:p w14:paraId="0B73D533">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有害</w:t>
                  </w:r>
                </w:p>
                <w:p w14:paraId="621155D5">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成分</w:t>
                  </w:r>
                </w:p>
              </w:tc>
              <w:tc>
                <w:tcPr>
                  <w:tcW w:w="696" w:type="dxa"/>
                  <w:tcBorders>
                    <w:tl2br w:val="nil"/>
                    <w:tr2bl w:val="nil"/>
                  </w:tcBorders>
                  <w:noWrap w:val="0"/>
                  <w:vAlign w:val="center"/>
                </w:tcPr>
                <w:p w14:paraId="2D69650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产废周期</w:t>
                  </w:r>
                </w:p>
              </w:tc>
              <w:tc>
                <w:tcPr>
                  <w:tcW w:w="579" w:type="dxa"/>
                  <w:tcBorders>
                    <w:tl2br w:val="nil"/>
                    <w:tr2bl w:val="nil"/>
                  </w:tcBorders>
                  <w:noWrap w:val="0"/>
                  <w:vAlign w:val="center"/>
                </w:tcPr>
                <w:p w14:paraId="7033C292">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危险</w:t>
                  </w:r>
                </w:p>
                <w:p w14:paraId="4772CF65">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特性</w:t>
                  </w:r>
                </w:p>
              </w:tc>
              <w:tc>
                <w:tcPr>
                  <w:tcW w:w="875" w:type="dxa"/>
                  <w:tcBorders>
                    <w:tl2br w:val="nil"/>
                    <w:tr2bl w:val="nil"/>
                  </w:tcBorders>
                  <w:noWrap w:val="0"/>
                  <w:vAlign w:val="center"/>
                </w:tcPr>
                <w:p w14:paraId="5933E914">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kern w:val="0"/>
                      <w:sz w:val="21"/>
                      <w:szCs w:val="21"/>
                      <w:u w:val="none"/>
                    </w:rPr>
                  </w:pPr>
                  <w:r>
                    <w:rPr>
                      <w:rFonts w:hint="default" w:ascii="Times New Roman" w:hAnsi="Times New Roman" w:cs="Times New Roman"/>
                      <w:b/>
                      <w:bCs/>
                      <w:kern w:val="0"/>
                      <w:sz w:val="21"/>
                      <w:szCs w:val="21"/>
                      <w:u w:val="none"/>
                    </w:rPr>
                    <w:t>污染防治措施</w:t>
                  </w:r>
                </w:p>
              </w:tc>
            </w:tr>
            <w:tr w14:paraId="2B513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406" w:type="dxa"/>
                  <w:tcBorders>
                    <w:tl2br w:val="nil"/>
                    <w:tr2bl w:val="nil"/>
                  </w:tcBorders>
                  <w:noWrap w:val="0"/>
                  <w:vAlign w:val="center"/>
                </w:tcPr>
                <w:p w14:paraId="1C3112D9">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cs="Times New Roman"/>
                      <w:b w:val="0"/>
                      <w:bCs w:val="0"/>
                      <w:kern w:val="0"/>
                      <w:sz w:val="21"/>
                      <w:szCs w:val="21"/>
                      <w:u w:val="none"/>
                      <w:lang w:val="en-US" w:eastAsia="zh-CN"/>
                    </w:rPr>
                  </w:pPr>
                  <w:r>
                    <w:rPr>
                      <w:rFonts w:hint="eastAsia" w:cs="Times New Roman"/>
                      <w:b w:val="0"/>
                      <w:bCs w:val="0"/>
                      <w:kern w:val="0"/>
                      <w:sz w:val="21"/>
                      <w:szCs w:val="21"/>
                      <w:u w:val="none"/>
                      <w:lang w:val="en-US" w:eastAsia="zh-CN"/>
                    </w:rPr>
                    <w:t>1</w:t>
                  </w:r>
                </w:p>
              </w:tc>
              <w:tc>
                <w:tcPr>
                  <w:tcW w:w="670" w:type="dxa"/>
                  <w:tcBorders>
                    <w:tl2br w:val="nil"/>
                    <w:tr2bl w:val="nil"/>
                  </w:tcBorders>
                  <w:noWrap w:val="0"/>
                  <w:vAlign w:val="center"/>
                </w:tcPr>
                <w:p w14:paraId="09EE844C">
                  <w:pPr>
                    <w:adjustRightInd w:val="0"/>
                    <w:snapToGrid w:val="0"/>
                    <w:ind w:left="-105" w:leftChars="-50" w:right="-105" w:rightChars="-50"/>
                    <w:jc w:val="center"/>
                    <w:rPr>
                      <w:rFonts w:hint="eastAsia"/>
                      <w:color w:val="000000"/>
                      <w:szCs w:val="21"/>
                      <w:lang w:val="en-US" w:eastAsia="zh-CN"/>
                    </w:rPr>
                  </w:pPr>
                  <w:r>
                    <w:rPr>
                      <w:rFonts w:hint="eastAsia"/>
                      <w:color w:val="000000"/>
                      <w:szCs w:val="21"/>
                    </w:rPr>
                    <w:t>废</w:t>
                  </w:r>
                  <w:r>
                    <w:rPr>
                      <w:rFonts w:hint="eastAsia"/>
                      <w:color w:val="000000"/>
                      <w:szCs w:val="21"/>
                      <w:lang w:val="en-US" w:eastAsia="zh-CN"/>
                    </w:rPr>
                    <w:t>润</w:t>
                  </w:r>
                </w:p>
                <w:p w14:paraId="004FAC7D">
                  <w:pPr>
                    <w:adjustRightInd w:val="0"/>
                    <w:snapToGrid w:val="0"/>
                    <w:ind w:left="-105" w:leftChars="-50" w:right="-105" w:rightChars="-50"/>
                    <w:jc w:val="center"/>
                    <w:rPr>
                      <w:rFonts w:hint="eastAsia" w:ascii="Times New Roman" w:hAnsi="Times New Roman" w:eastAsia="宋体" w:cs="Times New Roman"/>
                      <w:color w:val="000000"/>
                      <w:kern w:val="2"/>
                      <w:sz w:val="21"/>
                      <w:szCs w:val="21"/>
                      <w:lang w:val="en-US" w:eastAsia="zh-CN" w:bidi="ar-SA"/>
                    </w:rPr>
                  </w:pPr>
                  <w:r>
                    <w:rPr>
                      <w:rFonts w:hint="eastAsia"/>
                      <w:color w:val="000000"/>
                      <w:szCs w:val="21"/>
                      <w:lang w:val="en-US" w:eastAsia="zh-CN"/>
                    </w:rPr>
                    <w:t>滑油</w:t>
                  </w:r>
                </w:p>
              </w:tc>
              <w:tc>
                <w:tcPr>
                  <w:tcW w:w="775" w:type="dxa"/>
                  <w:tcBorders>
                    <w:tl2br w:val="nil"/>
                    <w:tr2bl w:val="nil"/>
                  </w:tcBorders>
                  <w:noWrap w:val="0"/>
                  <w:vAlign w:val="center"/>
                </w:tcPr>
                <w:p w14:paraId="2208B2EE">
                  <w:pPr>
                    <w:widowControl/>
                    <w:adjustRightInd w:val="0"/>
                    <w:snapToGrid w:val="0"/>
                    <w:ind w:left="-105" w:leftChars="-50" w:right="-105" w:rightChars="-50"/>
                    <w:jc w:val="center"/>
                    <w:rPr>
                      <w:rFonts w:hint="default" w:ascii="Times New Roman" w:hAnsi="Times New Roman" w:eastAsia="宋体" w:cs="Times New Roman"/>
                      <w:color w:val="000000"/>
                      <w:kern w:val="2"/>
                      <w:sz w:val="21"/>
                      <w:szCs w:val="21"/>
                      <w:lang w:val="en-US" w:eastAsia="zh-CN" w:bidi="ar-SA"/>
                    </w:rPr>
                  </w:pPr>
                  <w:r>
                    <w:rPr>
                      <w:bCs/>
                      <w:color w:val="000000"/>
                      <w:spacing w:val="-4"/>
                      <w:szCs w:val="21"/>
                    </w:rPr>
                    <w:t>HW</w:t>
                  </w:r>
                  <w:r>
                    <w:rPr>
                      <w:rFonts w:hint="eastAsia"/>
                      <w:bCs/>
                      <w:color w:val="000000"/>
                      <w:spacing w:val="-4"/>
                      <w:szCs w:val="21"/>
                    </w:rPr>
                    <w:t>08</w:t>
                  </w:r>
                </w:p>
              </w:tc>
              <w:tc>
                <w:tcPr>
                  <w:tcW w:w="753" w:type="dxa"/>
                  <w:tcBorders>
                    <w:tl2br w:val="nil"/>
                    <w:tr2bl w:val="nil"/>
                  </w:tcBorders>
                  <w:noWrap w:val="0"/>
                  <w:vAlign w:val="center"/>
                </w:tcPr>
                <w:p w14:paraId="63D45D9D">
                  <w:pPr>
                    <w:widowControl/>
                    <w:adjustRightInd w:val="0"/>
                    <w:snapToGrid w:val="0"/>
                    <w:ind w:left="-105" w:leftChars="-50" w:right="-105" w:rightChars="-50"/>
                    <w:jc w:val="center"/>
                    <w:rPr>
                      <w:rFonts w:hint="eastAsia" w:ascii="Times New Roman" w:hAnsi="Times New Roman" w:eastAsia="宋体" w:cs="Times New Roman"/>
                      <w:color w:val="000000"/>
                      <w:kern w:val="2"/>
                      <w:sz w:val="21"/>
                      <w:szCs w:val="21"/>
                      <w:lang w:val="en-US" w:eastAsia="zh-CN" w:bidi="ar-SA"/>
                    </w:rPr>
                  </w:pPr>
                  <w:r>
                    <w:rPr>
                      <w:color w:val="000000"/>
                      <w:szCs w:val="21"/>
                    </w:rPr>
                    <w:t>900-</w:t>
                  </w:r>
                  <w:r>
                    <w:rPr>
                      <w:rFonts w:hint="eastAsia"/>
                      <w:color w:val="000000"/>
                      <w:szCs w:val="21"/>
                    </w:rPr>
                    <w:t>2</w:t>
                  </w:r>
                  <w:r>
                    <w:rPr>
                      <w:rFonts w:hint="eastAsia"/>
                      <w:color w:val="000000"/>
                      <w:szCs w:val="21"/>
                      <w:lang w:val="en-US" w:eastAsia="zh-CN"/>
                    </w:rPr>
                    <w:t>17</w:t>
                  </w:r>
                  <w:r>
                    <w:rPr>
                      <w:color w:val="000000"/>
                      <w:szCs w:val="21"/>
                    </w:rPr>
                    <w:t>-</w:t>
                  </w:r>
                  <w:r>
                    <w:rPr>
                      <w:rFonts w:hint="eastAsia"/>
                      <w:color w:val="000000"/>
                      <w:szCs w:val="21"/>
                    </w:rPr>
                    <w:t>08</w:t>
                  </w:r>
                </w:p>
              </w:tc>
              <w:tc>
                <w:tcPr>
                  <w:tcW w:w="693" w:type="dxa"/>
                  <w:tcBorders>
                    <w:tl2br w:val="nil"/>
                    <w:tr2bl w:val="nil"/>
                  </w:tcBorders>
                  <w:noWrap w:val="0"/>
                  <w:vAlign w:val="center"/>
                </w:tcPr>
                <w:p w14:paraId="582C2688">
                  <w:pPr>
                    <w:adjustRightInd w:val="0"/>
                    <w:snapToGrid w:val="0"/>
                    <w:spacing w:beforeLines="10"/>
                    <w:jc w:val="center"/>
                    <w:rPr>
                      <w:rFonts w:hint="default" w:ascii="Times New Roman" w:hAnsi="Times New Roman" w:eastAsia="宋体" w:cs="Times New Roman"/>
                      <w:bCs/>
                      <w:color w:val="000000"/>
                      <w:kern w:val="2"/>
                      <w:sz w:val="21"/>
                      <w:szCs w:val="21"/>
                      <w:lang w:val="en-US" w:eastAsia="zh-CN" w:bidi="ar-SA"/>
                    </w:rPr>
                  </w:pPr>
                  <w:r>
                    <w:rPr>
                      <w:rFonts w:hint="eastAsia"/>
                      <w:bCs/>
                      <w:color w:val="000000"/>
                      <w:szCs w:val="21"/>
                      <w:lang w:val="zh-CN"/>
                    </w:rPr>
                    <w:t>0.</w:t>
                  </w:r>
                  <w:r>
                    <w:rPr>
                      <w:rFonts w:hint="eastAsia"/>
                      <w:bCs/>
                      <w:color w:val="000000"/>
                      <w:szCs w:val="21"/>
                      <w:lang w:val="en-US" w:eastAsia="zh-CN"/>
                    </w:rPr>
                    <w:t>02</w:t>
                  </w:r>
                </w:p>
              </w:tc>
              <w:tc>
                <w:tcPr>
                  <w:tcW w:w="668" w:type="dxa"/>
                  <w:vMerge w:val="restart"/>
                  <w:tcBorders>
                    <w:tl2br w:val="nil"/>
                    <w:tr2bl w:val="nil"/>
                  </w:tcBorders>
                  <w:noWrap w:val="0"/>
                  <w:vAlign w:val="center"/>
                </w:tcPr>
                <w:p w14:paraId="3CBBF880">
                  <w:pPr>
                    <w:pStyle w:val="5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contextualSpacing/>
                    <w:jc w:val="center"/>
                    <w:textAlignment w:val="auto"/>
                    <w:rPr>
                      <w:rFonts w:hint="default" w:cs="Times New Roman"/>
                      <w:b w:val="0"/>
                      <w:bCs w:val="0"/>
                      <w:kern w:val="0"/>
                      <w:sz w:val="21"/>
                      <w:szCs w:val="21"/>
                      <w:u w:val="none"/>
                      <w:lang w:val="en-US" w:eastAsia="zh-CN"/>
                    </w:rPr>
                  </w:pPr>
                  <w:r>
                    <w:rPr>
                      <w:rFonts w:hint="eastAsia" w:cs="Times New Roman"/>
                      <w:b w:val="0"/>
                      <w:bCs w:val="0"/>
                      <w:kern w:val="0"/>
                      <w:sz w:val="21"/>
                      <w:szCs w:val="21"/>
                      <w:u w:val="none"/>
                      <w:lang w:val="en-US" w:eastAsia="zh-CN"/>
                    </w:rPr>
                    <w:t>生产设备保养</w:t>
                  </w:r>
                </w:p>
              </w:tc>
              <w:tc>
                <w:tcPr>
                  <w:tcW w:w="448" w:type="dxa"/>
                  <w:tcBorders>
                    <w:tl2br w:val="nil"/>
                    <w:tr2bl w:val="nil"/>
                  </w:tcBorders>
                  <w:noWrap w:val="0"/>
                  <w:vAlign w:val="center"/>
                </w:tcPr>
                <w:p w14:paraId="06192F4D">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cs="Times New Roman"/>
                      <w:b w:val="0"/>
                      <w:bCs w:val="0"/>
                      <w:kern w:val="0"/>
                      <w:sz w:val="21"/>
                      <w:szCs w:val="21"/>
                      <w:u w:val="none"/>
                      <w:lang w:val="en-US" w:eastAsia="zh-CN"/>
                    </w:rPr>
                  </w:pPr>
                  <w:r>
                    <w:rPr>
                      <w:rFonts w:hint="eastAsia" w:cs="Times New Roman"/>
                      <w:b w:val="0"/>
                      <w:bCs w:val="0"/>
                      <w:kern w:val="0"/>
                      <w:sz w:val="21"/>
                      <w:szCs w:val="21"/>
                      <w:u w:val="none"/>
                      <w:lang w:val="en-US" w:eastAsia="zh-CN"/>
                    </w:rPr>
                    <w:t>液态</w:t>
                  </w:r>
                </w:p>
              </w:tc>
              <w:tc>
                <w:tcPr>
                  <w:tcW w:w="804" w:type="dxa"/>
                  <w:tcBorders>
                    <w:tl2br w:val="nil"/>
                    <w:tr2bl w:val="nil"/>
                  </w:tcBorders>
                  <w:noWrap w:val="0"/>
                  <w:vAlign w:val="center"/>
                </w:tcPr>
                <w:p w14:paraId="299DA892">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润滑油</w:t>
                  </w:r>
                </w:p>
              </w:tc>
              <w:tc>
                <w:tcPr>
                  <w:tcW w:w="708" w:type="dxa"/>
                  <w:tcBorders>
                    <w:tl2br w:val="nil"/>
                    <w:tr2bl w:val="nil"/>
                  </w:tcBorders>
                  <w:noWrap w:val="0"/>
                  <w:vAlign w:val="center"/>
                </w:tcPr>
                <w:p w14:paraId="72541047">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b w:val="0"/>
                      <w:bCs w:val="0"/>
                      <w:sz w:val="21"/>
                      <w:szCs w:val="21"/>
                      <w:u w:val="none"/>
                      <w:lang w:val="en-US" w:eastAsia="zh-CN"/>
                    </w:rPr>
                  </w:pPr>
                  <w:r>
                    <w:rPr>
                      <w:rFonts w:hint="eastAsia" w:cs="Times New Roman"/>
                      <w:b w:val="0"/>
                      <w:bCs w:val="0"/>
                      <w:sz w:val="21"/>
                      <w:szCs w:val="21"/>
                      <w:u w:val="none"/>
                      <w:lang w:val="en-US" w:eastAsia="zh-CN"/>
                    </w:rPr>
                    <w:t>废润</w:t>
                  </w:r>
                </w:p>
                <w:p w14:paraId="323C55D1">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cs="Times New Roman"/>
                      <w:b w:val="0"/>
                      <w:bCs w:val="0"/>
                      <w:sz w:val="21"/>
                      <w:szCs w:val="21"/>
                      <w:u w:val="none"/>
                      <w:lang w:val="en-US" w:eastAsia="zh-CN"/>
                    </w:rPr>
                  </w:pPr>
                  <w:r>
                    <w:rPr>
                      <w:rFonts w:hint="eastAsia" w:cs="Times New Roman"/>
                      <w:b w:val="0"/>
                      <w:bCs w:val="0"/>
                      <w:sz w:val="21"/>
                      <w:szCs w:val="21"/>
                      <w:u w:val="none"/>
                      <w:lang w:val="en-US" w:eastAsia="zh-CN"/>
                    </w:rPr>
                    <w:t>滑油</w:t>
                  </w:r>
                </w:p>
              </w:tc>
              <w:tc>
                <w:tcPr>
                  <w:tcW w:w="696" w:type="dxa"/>
                  <w:tcBorders>
                    <w:tl2br w:val="nil"/>
                    <w:tr2bl w:val="nil"/>
                  </w:tcBorders>
                  <w:noWrap w:val="0"/>
                  <w:vAlign w:val="center"/>
                </w:tcPr>
                <w:p w14:paraId="156F09D1">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cs="Times New Roman"/>
                      <w:b w:val="0"/>
                      <w:bCs w:val="0"/>
                      <w:color w:val="auto"/>
                      <w:kern w:val="0"/>
                      <w:sz w:val="21"/>
                      <w:szCs w:val="21"/>
                      <w:u w:val="none"/>
                      <w:lang w:val="en-US" w:eastAsia="zh-CN"/>
                    </w:rPr>
                  </w:pPr>
                  <w:r>
                    <w:rPr>
                      <w:rFonts w:hint="eastAsia" w:cs="Times New Roman"/>
                      <w:b w:val="0"/>
                      <w:bCs w:val="0"/>
                      <w:color w:val="auto"/>
                      <w:kern w:val="0"/>
                      <w:sz w:val="21"/>
                      <w:szCs w:val="21"/>
                      <w:u w:val="none"/>
                      <w:lang w:val="en-US" w:eastAsia="zh-CN"/>
                    </w:rPr>
                    <w:t>3个月</w:t>
                  </w:r>
                </w:p>
              </w:tc>
              <w:tc>
                <w:tcPr>
                  <w:tcW w:w="579" w:type="dxa"/>
                  <w:tcBorders>
                    <w:tl2br w:val="nil"/>
                    <w:tr2bl w:val="nil"/>
                  </w:tcBorders>
                  <w:noWrap w:val="0"/>
                  <w:vAlign w:val="center"/>
                </w:tcPr>
                <w:p w14:paraId="0AD8F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olor w:val="auto"/>
                      <w:kern w:val="0"/>
                      <w:sz w:val="21"/>
                      <w:szCs w:val="21"/>
                      <w:lang w:val="en-US" w:eastAsia="zh-CN"/>
                    </w:rPr>
                  </w:pPr>
                  <w:r>
                    <w:rPr>
                      <w:rFonts w:hint="eastAsia" w:ascii="Times New Roman" w:hAnsi="Times New Roman"/>
                      <w:color w:val="auto"/>
                      <w:kern w:val="0"/>
                      <w:sz w:val="21"/>
                      <w:szCs w:val="21"/>
                      <w:lang w:val="en-US" w:eastAsia="zh-CN"/>
                    </w:rPr>
                    <w:t>T，I</w:t>
                  </w:r>
                </w:p>
              </w:tc>
              <w:tc>
                <w:tcPr>
                  <w:tcW w:w="875" w:type="dxa"/>
                  <w:vMerge w:val="restart"/>
                  <w:tcBorders>
                    <w:tl2br w:val="nil"/>
                    <w:tr2bl w:val="nil"/>
                  </w:tcBorders>
                  <w:noWrap w:val="0"/>
                  <w:vAlign w:val="center"/>
                </w:tcPr>
                <w:p w14:paraId="656E4566">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b w:val="0"/>
                      <w:bCs w:val="0"/>
                      <w:sz w:val="21"/>
                      <w:szCs w:val="21"/>
                      <w:u w:val="none"/>
                      <w:lang w:val="en-US" w:eastAsia="zh-CN"/>
                    </w:rPr>
                  </w:pPr>
                  <w:r>
                    <w:rPr>
                      <w:rFonts w:hint="eastAsia" w:cs="Times New Roman"/>
                      <w:b w:val="0"/>
                      <w:bCs w:val="0"/>
                      <w:sz w:val="21"/>
                      <w:szCs w:val="21"/>
                      <w:u w:val="none"/>
                      <w:lang w:val="en-US" w:eastAsia="zh-CN"/>
                    </w:rPr>
                    <w:t>危废间（</w:t>
                  </w:r>
                  <w:r>
                    <w:rPr>
                      <w:rFonts w:hint="default" w:ascii="Times New Roman" w:hAnsi="Times New Roman" w:cs="Times New Roman"/>
                      <w:color w:val="000000"/>
                      <w:sz w:val="21"/>
                      <w:szCs w:val="21"/>
                      <w:u w:val="none"/>
                    </w:rPr>
                    <w:t>面积</w:t>
                  </w:r>
                  <w:r>
                    <w:rPr>
                      <w:rFonts w:hint="eastAsia" w:ascii="Times New Roman" w:hAnsi="Times New Roman" w:cs="Times New Roman"/>
                      <w:color w:val="000000"/>
                      <w:sz w:val="21"/>
                      <w:szCs w:val="21"/>
                      <w:u w:val="none"/>
                      <w:lang w:val="en-US" w:eastAsia="zh-CN"/>
                    </w:rPr>
                    <w:t>4</w:t>
                  </w:r>
                  <w:r>
                    <w:rPr>
                      <w:rFonts w:hint="default" w:ascii="Times New Roman" w:hAnsi="Times New Roman" w:cs="Times New Roman"/>
                      <w:color w:val="000000"/>
                      <w:sz w:val="21"/>
                      <w:szCs w:val="21"/>
                      <w:u w:val="none"/>
                    </w:rPr>
                    <w:t>m</w:t>
                  </w:r>
                  <w:r>
                    <w:rPr>
                      <w:rFonts w:hint="default" w:ascii="Times New Roman" w:hAnsi="Times New Roman" w:cs="Times New Roman"/>
                      <w:color w:val="000000"/>
                      <w:sz w:val="21"/>
                      <w:szCs w:val="21"/>
                      <w:u w:val="none"/>
                      <w:vertAlign w:val="superscript"/>
                    </w:rPr>
                    <w:t>2</w:t>
                  </w:r>
                  <w:r>
                    <w:rPr>
                      <w:rFonts w:hint="eastAsia" w:cs="Times New Roman"/>
                      <w:b w:val="0"/>
                      <w:bCs w:val="0"/>
                      <w:sz w:val="21"/>
                      <w:szCs w:val="21"/>
                      <w:u w:val="none"/>
                      <w:lang w:val="en-US" w:eastAsia="zh-CN"/>
                    </w:rPr>
                    <w:t>）暂存后交由有资质单位回收处理</w:t>
                  </w:r>
                </w:p>
              </w:tc>
            </w:tr>
            <w:tr w14:paraId="216BF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406" w:type="dxa"/>
                  <w:tcBorders>
                    <w:tl2br w:val="nil"/>
                    <w:tr2bl w:val="nil"/>
                  </w:tcBorders>
                  <w:noWrap w:val="0"/>
                  <w:vAlign w:val="center"/>
                </w:tcPr>
                <w:p w14:paraId="0EC18D6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b w:val="0"/>
                      <w:bCs w:val="0"/>
                      <w:kern w:val="0"/>
                      <w:sz w:val="21"/>
                      <w:szCs w:val="21"/>
                      <w:u w:val="none"/>
                      <w:lang w:val="en-US" w:eastAsia="zh-CN"/>
                    </w:rPr>
                  </w:pPr>
                  <w:r>
                    <w:rPr>
                      <w:rFonts w:hint="eastAsia" w:cs="Times New Roman"/>
                      <w:b w:val="0"/>
                      <w:bCs w:val="0"/>
                      <w:kern w:val="0"/>
                      <w:sz w:val="21"/>
                      <w:szCs w:val="21"/>
                      <w:u w:val="none"/>
                      <w:lang w:val="en-US" w:eastAsia="zh-CN"/>
                    </w:rPr>
                    <w:t>2</w:t>
                  </w:r>
                </w:p>
              </w:tc>
              <w:tc>
                <w:tcPr>
                  <w:tcW w:w="670" w:type="dxa"/>
                  <w:tcBorders>
                    <w:tl2br w:val="nil"/>
                    <w:tr2bl w:val="nil"/>
                  </w:tcBorders>
                  <w:noWrap w:val="0"/>
                  <w:vAlign w:val="center"/>
                </w:tcPr>
                <w:p w14:paraId="0633EC0D">
                  <w:pPr>
                    <w:adjustRightInd w:val="0"/>
                    <w:snapToGrid w:val="0"/>
                    <w:ind w:left="-105" w:leftChars="-50" w:right="-105" w:rightChars="-50"/>
                    <w:jc w:val="center"/>
                    <w:rPr>
                      <w:rFonts w:hint="eastAsia"/>
                      <w:color w:val="000000"/>
                      <w:szCs w:val="21"/>
                      <w:lang w:val="en-US" w:eastAsia="zh-CN"/>
                    </w:rPr>
                  </w:pPr>
                  <w:r>
                    <w:rPr>
                      <w:rFonts w:hint="eastAsia"/>
                      <w:color w:val="000000"/>
                      <w:szCs w:val="21"/>
                      <w:lang w:val="en-US" w:eastAsia="zh-CN"/>
                    </w:rPr>
                    <w:t>废润滑</w:t>
                  </w:r>
                </w:p>
                <w:p w14:paraId="568F8810">
                  <w:pPr>
                    <w:adjustRightInd w:val="0"/>
                    <w:snapToGrid w:val="0"/>
                    <w:ind w:left="-105" w:leftChars="-50" w:right="-105" w:rightChars="-50"/>
                    <w:jc w:val="center"/>
                    <w:rPr>
                      <w:rFonts w:hint="eastAsia" w:ascii="Times New Roman" w:hAnsi="Times New Roman" w:eastAsia="宋体" w:cs="Times New Roman"/>
                      <w:color w:val="000000"/>
                      <w:kern w:val="2"/>
                      <w:sz w:val="21"/>
                      <w:szCs w:val="21"/>
                      <w:lang w:val="en-US" w:eastAsia="zh-CN" w:bidi="ar-SA"/>
                    </w:rPr>
                  </w:pPr>
                  <w:r>
                    <w:rPr>
                      <w:rFonts w:hint="eastAsia"/>
                      <w:color w:val="000000"/>
                      <w:szCs w:val="21"/>
                      <w:lang w:val="en-US" w:eastAsia="zh-CN"/>
                    </w:rPr>
                    <w:t>油桶</w:t>
                  </w:r>
                </w:p>
              </w:tc>
              <w:tc>
                <w:tcPr>
                  <w:tcW w:w="775" w:type="dxa"/>
                  <w:tcBorders>
                    <w:tl2br w:val="nil"/>
                    <w:tr2bl w:val="nil"/>
                  </w:tcBorders>
                  <w:noWrap w:val="0"/>
                  <w:vAlign w:val="center"/>
                </w:tcPr>
                <w:p w14:paraId="5BD5E369">
                  <w:pPr>
                    <w:widowControl/>
                    <w:adjustRightInd w:val="0"/>
                    <w:snapToGrid w:val="0"/>
                    <w:ind w:left="-105" w:leftChars="-50" w:right="-105" w:rightChars="-50"/>
                    <w:jc w:val="center"/>
                    <w:rPr>
                      <w:rFonts w:hint="default" w:ascii="Times New Roman" w:hAnsi="Times New Roman" w:eastAsia="宋体" w:cs="Times New Roman"/>
                      <w:color w:val="000000"/>
                      <w:kern w:val="2"/>
                      <w:sz w:val="21"/>
                      <w:szCs w:val="21"/>
                      <w:lang w:val="en-US" w:eastAsia="zh-CN" w:bidi="ar-SA"/>
                    </w:rPr>
                  </w:pPr>
                  <w:r>
                    <w:rPr>
                      <w:bCs/>
                      <w:color w:val="000000"/>
                      <w:spacing w:val="-4"/>
                      <w:szCs w:val="21"/>
                    </w:rPr>
                    <w:t>HW</w:t>
                  </w:r>
                  <w:r>
                    <w:rPr>
                      <w:rFonts w:hint="eastAsia"/>
                      <w:bCs/>
                      <w:color w:val="000000"/>
                      <w:spacing w:val="-4"/>
                      <w:szCs w:val="21"/>
                    </w:rPr>
                    <w:t>08</w:t>
                  </w:r>
                </w:p>
              </w:tc>
              <w:tc>
                <w:tcPr>
                  <w:tcW w:w="753" w:type="dxa"/>
                  <w:tcBorders>
                    <w:tl2br w:val="nil"/>
                    <w:tr2bl w:val="nil"/>
                  </w:tcBorders>
                  <w:noWrap w:val="0"/>
                  <w:vAlign w:val="center"/>
                </w:tcPr>
                <w:p w14:paraId="506AD19E">
                  <w:pPr>
                    <w:widowControl/>
                    <w:adjustRightInd w:val="0"/>
                    <w:snapToGrid w:val="0"/>
                    <w:ind w:left="-105" w:leftChars="-50" w:right="-105" w:rightChars="-50"/>
                    <w:jc w:val="center"/>
                    <w:rPr>
                      <w:rFonts w:hint="eastAsia" w:ascii="Times New Roman" w:hAnsi="Times New Roman" w:eastAsia="宋体" w:cs="Times New Roman"/>
                      <w:color w:val="000000"/>
                      <w:kern w:val="2"/>
                      <w:sz w:val="21"/>
                      <w:szCs w:val="21"/>
                      <w:lang w:val="en-US" w:eastAsia="zh-CN" w:bidi="ar-SA"/>
                    </w:rPr>
                  </w:pPr>
                  <w:r>
                    <w:rPr>
                      <w:color w:val="000000"/>
                      <w:szCs w:val="21"/>
                    </w:rPr>
                    <w:t>900-</w:t>
                  </w:r>
                  <w:r>
                    <w:rPr>
                      <w:rFonts w:hint="eastAsia"/>
                      <w:color w:val="000000"/>
                      <w:szCs w:val="21"/>
                    </w:rPr>
                    <w:t>249</w:t>
                  </w:r>
                  <w:r>
                    <w:rPr>
                      <w:color w:val="000000"/>
                      <w:szCs w:val="21"/>
                    </w:rPr>
                    <w:t>-</w:t>
                  </w:r>
                  <w:r>
                    <w:rPr>
                      <w:rFonts w:hint="eastAsia"/>
                      <w:color w:val="000000"/>
                      <w:szCs w:val="21"/>
                    </w:rPr>
                    <w:t>08</w:t>
                  </w:r>
                </w:p>
              </w:tc>
              <w:tc>
                <w:tcPr>
                  <w:tcW w:w="693" w:type="dxa"/>
                  <w:tcBorders>
                    <w:tl2br w:val="nil"/>
                    <w:tr2bl w:val="nil"/>
                  </w:tcBorders>
                  <w:noWrap w:val="0"/>
                  <w:vAlign w:val="center"/>
                </w:tcPr>
                <w:p w14:paraId="43E58563">
                  <w:pPr>
                    <w:adjustRightInd w:val="0"/>
                    <w:snapToGrid w:val="0"/>
                    <w:spacing w:beforeLines="10"/>
                    <w:jc w:val="center"/>
                    <w:rPr>
                      <w:rFonts w:hint="default" w:ascii="Times New Roman" w:hAnsi="Times New Roman" w:eastAsia="宋体" w:cs="Times New Roman"/>
                      <w:bCs/>
                      <w:color w:val="000000"/>
                      <w:kern w:val="2"/>
                      <w:sz w:val="21"/>
                      <w:szCs w:val="21"/>
                      <w:lang w:val="en-US" w:eastAsia="zh-CN" w:bidi="ar-SA"/>
                    </w:rPr>
                  </w:pPr>
                  <w:r>
                    <w:rPr>
                      <w:rFonts w:hint="eastAsia"/>
                      <w:bCs/>
                      <w:color w:val="000000"/>
                      <w:szCs w:val="21"/>
                      <w:lang w:val="en-US" w:eastAsia="zh-CN"/>
                    </w:rPr>
                    <w:t>0.02</w:t>
                  </w:r>
                </w:p>
              </w:tc>
              <w:tc>
                <w:tcPr>
                  <w:tcW w:w="668" w:type="dxa"/>
                  <w:vMerge w:val="continue"/>
                  <w:tcBorders>
                    <w:tl2br w:val="nil"/>
                    <w:tr2bl w:val="nil"/>
                  </w:tcBorders>
                  <w:noWrap w:val="0"/>
                  <w:vAlign w:val="center"/>
                </w:tcPr>
                <w:p w14:paraId="3EA644A3">
                  <w:pPr>
                    <w:pStyle w:val="56"/>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contextualSpacing/>
                    <w:jc w:val="center"/>
                    <w:textAlignment w:val="auto"/>
                    <w:rPr>
                      <w:rFonts w:hint="eastAsia" w:cs="Times New Roman"/>
                      <w:b w:val="0"/>
                      <w:bCs w:val="0"/>
                      <w:kern w:val="0"/>
                      <w:sz w:val="21"/>
                      <w:szCs w:val="21"/>
                      <w:u w:val="none"/>
                      <w:lang w:val="en-US" w:eastAsia="zh-CN"/>
                    </w:rPr>
                  </w:pPr>
                </w:p>
              </w:tc>
              <w:tc>
                <w:tcPr>
                  <w:tcW w:w="448" w:type="dxa"/>
                  <w:tcBorders>
                    <w:tl2br w:val="nil"/>
                    <w:tr2bl w:val="nil"/>
                  </w:tcBorders>
                  <w:noWrap w:val="0"/>
                  <w:vAlign w:val="center"/>
                </w:tcPr>
                <w:p w14:paraId="2F49CFC6">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cs="Times New Roman"/>
                      <w:b w:val="0"/>
                      <w:bCs w:val="0"/>
                      <w:kern w:val="0"/>
                      <w:sz w:val="21"/>
                      <w:szCs w:val="21"/>
                      <w:u w:val="none"/>
                      <w:lang w:val="en-US" w:eastAsia="zh-CN"/>
                    </w:rPr>
                  </w:pPr>
                  <w:r>
                    <w:rPr>
                      <w:rFonts w:hint="eastAsia" w:cs="Times New Roman"/>
                      <w:b w:val="0"/>
                      <w:bCs w:val="0"/>
                      <w:kern w:val="0"/>
                      <w:sz w:val="21"/>
                      <w:szCs w:val="21"/>
                      <w:u w:val="none"/>
                      <w:lang w:val="en-US" w:eastAsia="zh-CN"/>
                    </w:rPr>
                    <w:t>固态</w:t>
                  </w:r>
                </w:p>
              </w:tc>
              <w:tc>
                <w:tcPr>
                  <w:tcW w:w="804" w:type="dxa"/>
                  <w:tcBorders>
                    <w:tl2br w:val="nil"/>
                    <w:tr2bl w:val="nil"/>
                  </w:tcBorders>
                  <w:noWrap w:val="0"/>
                  <w:vAlign w:val="center"/>
                </w:tcPr>
                <w:p w14:paraId="7657651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少量润滑油和铁桶</w:t>
                  </w:r>
                </w:p>
              </w:tc>
              <w:tc>
                <w:tcPr>
                  <w:tcW w:w="708" w:type="dxa"/>
                  <w:tcBorders>
                    <w:tl2br w:val="nil"/>
                    <w:tr2bl w:val="nil"/>
                  </w:tcBorders>
                  <w:noWrap w:val="0"/>
                  <w:vAlign w:val="center"/>
                </w:tcPr>
                <w:p w14:paraId="2A45601F">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b w:val="0"/>
                      <w:bCs w:val="0"/>
                      <w:sz w:val="21"/>
                      <w:szCs w:val="21"/>
                      <w:u w:val="none"/>
                      <w:lang w:val="en-US" w:eastAsia="zh-CN"/>
                    </w:rPr>
                  </w:pPr>
                  <w:r>
                    <w:rPr>
                      <w:rFonts w:hint="eastAsia" w:cs="Times New Roman"/>
                      <w:b w:val="0"/>
                      <w:bCs w:val="0"/>
                      <w:sz w:val="21"/>
                      <w:szCs w:val="21"/>
                      <w:u w:val="none"/>
                      <w:lang w:val="en-US" w:eastAsia="zh-CN"/>
                    </w:rPr>
                    <w:t>包装</w:t>
                  </w:r>
                </w:p>
                <w:p w14:paraId="15497664">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cs="Times New Roman"/>
                      <w:b w:val="0"/>
                      <w:bCs w:val="0"/>
                      <w:sz w:val="21"/>
                      <w:szCs w:val="21"/>
                      <w:u w:val="none"/>
                      <w:lang w:val="en-US" w:eastAsia="zh-CN"/>
                    </w:rPr>
                  </w:pPr>
                  <w:r>
                    <w:rPr>
                      <w:rFonts w:hint="eastAsia" w:cs="Times New Roman"/>
                      <w:b w:val="0"/>
                      <w:bCs w:val="0"/>
                      <w:sz w:val="21"/>
                      <w:szCs w:val="21"/>
                      <w:u w:val="none"/>
                      <w:lang w:val="en-US" w:eastAsia="zh-CN"/>
                    </w:rPr>
                    <w:t>材料</w:t>
                  </w:r>
                </w:p>
              </w:tc>
              <w:tc>
                <w:tcPr>
                  <w:tcW w:w="696" w:type="dxa"/>
                  <w:tcBorders>
                    <w:tl2br w:val="nil"/>
                    <w:tr2bl w:val="nil"/>
                  </w:tcBorders>
                  <w:noWrap w:val="0"/>
                  <w:vAlign w:val="center"/>
                </w:tcPr>
                <w:p w14:paraId="5732E6F3">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b w:val="0"/>
                      <w:bCs w:val="0"/>
                      <w:color w:val="auto"/>
                      <w:kern w:val="0"/>
                      <w:sz w:val="21"/>
                      <w:szCs w:val="21"/>
                      <w:u w:val="none"/>
                      <w:lang w:val="en-US" w:eastAsia="zh-CN"/>
                    </w:rPr>
                  </w:pPr>
                  <w:r>
                    <w:rPr>
                      <w:rFonts w:hint="eastAsia" w:cs="Times New Roman"/>
                      <w:b w:val="0"/>
                      <w:bCs w:val="0"/>
                      <w:color w:val="auto"/>
                      <w:kern w:val="0"/>
                      <w:sz w:val="21"/>
                      <w:szCs w:val="21"/>
                      <w:u w:val="none"/>
                      <w:lang w:val="en-US" w:eastAsia="zh-CN"/>
                    </w:rPr>
                    <w:t>3个月</w:t>
                  </w:r>
                </w:p>
              </w:tc>
              <w:tc>
                <w:tcPr>
                  <w:tcW w:w="579" w:type="dxa"/>
                  <w:tcBorders>
                    <w:tl2br w:val="nil"/>
                    <w:tr2bl w:val="nil"/>
                  </w:tcBorders>
                  <w:noWrap w:val="0"/>
                  <w:vAlign w:val="center"/>
                </w:tcPr>
                <w:p w14:paraId="6BF804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olor w:val="auto"/>
                      <w:kern w:val="0"/>
                      <w:sz w:val="21"/>
                      <w:szCs w:val="21"/>
                      <w:lang w:val="en-US" w:eastAsia="zh-CN"/>
                    </w:rPr>
                  </w:pPr>
                  <w:r>
                    <w:rPr>
                      <w:rFonts w:hint="eastAsia" w:ascii="Times New Roman" w:hAnsi="Times New Roman"/>
                      <w:color w:val="auto"/>
                      <w:kern w:val="0"/>
                      <w:sz w:val="21"/>
                      <w:szCs w:val="21"/>
                      <w:lang w:val="en-US" w:eastAsia="zh-CN"/>
                    </w:rPr>
                    <w:t>T，I</w:t>
                  </w:r>
                </w:p>
              </w:tc>
              <w:tc>
                <w:tcPr>
                  <w:tcW w:w="875" w:type="dxa"/>
                  <w:vMerge w:val="continue"/>
                  <w:tcBorders>
                    <w:tl2br w:val="nil"/>
                    <w:tr2bl w:val="nil"/>
                  </w:tcBorders>
                  <w:noWrap w:val="0"/>
                  <w:vAlign w:val="center"/>
                </w:tcPr>
                <w:p w14:paraId="270E5B9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b w:val="0"/>
                      <w:bCs w:val="0"/>
                      <w:sz w:val="21"/>
                      <w:szCs w:val="21"/>
                      <w:u w:val="none"/>
                      <w:lang w:val="en-US" w:eastAsia="zh-CN"/>
                    </w:rPr>
                  </w:pPr>
                </w:p>
              </w:tc>
            </w:tr>
          </w:tbl>
          <w:p w14:paraId="5C4407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firstLineChars="200"/>
              <w:textAlignment w:val="auto"/>
              <w:rPr>
                <w:rFonts w:hint="default" w:ascii="Times New Roman" w:hAnsi="Times New Roman" w:cs="Times New Roman"/>
                <w:sz w:val="24"/>
                <w:szCs w:val="20"/>
                <w:u w:val="none"/>
              </w:rPr>
            </w:pPr>
            <w:r>
              <w:rPr>
                <w:rFonts w:hint="default" w:ascii="Times New Roman" w:hAnsi="Times New Roman" w:cs="Times New Roman"/>
                <w:sz w:val="24"/>
                <w:szCs w:val="20"/>
                <w:u w:val="none"/>
              </w:rPr>
              <w:t>项目危废贮存场所基本情况一览表见下表。</w:t>
            </w:r>
          </w:p>
          <w:p w14:paraId="1476E211">
            <w:pPr>
              <w:keepNext w:val="0"/>
              <w:keepLines w:val="0"/>
              <w:pageBreakBefore w:val="0"/>
              <w:widowControl w:val="0"/>
              <w:kinsoku/>
              <w:wordWrap/>
              <w:overflowPunct/>
              <w:topLinePunct w:val="0"/>
              <w:autoSpaceDE/>
              <w:autoSpaceDN/>
              <w:bidi w:val="0"/>
              <w:spacing w:line="500" w:lineRule="exact"/>
              <w:ind w:firstLine="480" w:firstLineChars="200"/>
              <w:jc w:val="center"/>
              <w:textAlignment w:val="auto"/>
              <w:rPr>
                <w:rFonts w:eastAsia="黑体"/>
                <w:color w:val="000000"/>
                <w:sz w:val="24"/>
              </w:rPr>
            </w:pPr>
            <w:r>
              <w:rPr>
                <w:rFonts w:eastAsia="黑体"/>
                <w:color w:val="000000"/>
                <w:sz w:val="24"/>
              </w:rPr>
              <w:t>表</w:t>
            </w:r>
            <w:r>
              <w:rPr>
                <w:rFonts w:hint="eastAsia" w:eastAsia="黑体"/>
                <w:color w:val="000000"/>
                <w:sz w:val="24"/>
              </w:rPr>
              <w:t>4-</w:t>
            </w:r>
            <w:r>
              <w:rPr>
                <w:rFonts w:hint="eastAsia" w:eastAsia="黑体"/>
                <w:color w:val="000000"/>
                <w:sz w:val="24"/>
                <w:lang w:val="en-US" w:eastAsia="zh-CN"/>
              </w:rPr>
              <w:t>18</w:t>
            </w:r>
            <w:r>
              <w:rPr>
                <w:rFonts w:hint="eastAsia" w:eastAsia="黑体"/>
                <w:color w:val="000000"/>
                <w:sz w:val="24"/>
              </w:rPr>
              <w:t xml:space="preserve"> </w:t>
            </w:r>
            <w:r>
              <w:rPr>
                <w:rFonts w:eastAsia="黑体"/>
                <w:color w:val="000000"/>
                <w:sz w:val="24"/>
              </w:rPr>
              <w:t>项目危险废物贮存场所基本情况表</w:t>
            </w:r>
          </w:p>
          <w:tbl>
            <w:tblPr>
              <w:tblStyle w:val="23"/>
              <w:tblW w:w="7885"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550"/>
              <w:gridCol w:w="966"/>
              <w:gridCol w:w="901"/>
              <w:gridCol w:w="818"/>
              <w:gridCol w:w="1171"/>
              <w:gridCol w:w="695"/>
              <w:gridCol w:w="804"/>
              <w:gridCol w:w="1140"/>
              <w:gridCol w:w="840"/>
            </w:tblGrid>
            <w:tr w14:paraId="456D3EE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91" w:hRule="atLeast"/>
                <w:jc w:val="center"/>
              </w:trPr>
              <w:tc>
                <w:tcPr>
                  <w:tcW w:w="550" w:type="dxa"/>
                  <w:vMerge w:val="restart"/>
                  <w:tcBorders>
                    <w:tl2br w:val="nil"/>
                    <w:tr2bl w:val="nil"/>
                  </w:tcBorders>
                  <w:noWrap w:val="0"/>
                  <w:vAlign w:val="center"/>
                </w:tcPr>
                <w:p w14:paraId="0FD27DE6">
                  <w:pPr>
                    <w:widowControl/>
                    <w:adjustRightInd w:val="0"/>
                    <w:snapToGrid w:val="0"/>
                    <w:jc w:val="center"/>
                    <w:rPr>
                      <w:color w:val="000000"/>
                      <w:szCs w:val="21"/>
                    </w:rPr>
                  </w:pPr>
                  <w:r>
                    <w:rPr>
                      <w:color w:val="000000"/>
                      <w:szCs w:val="21"/>
                    </w:rPr>
                    <w:t>序号</w:t>
                  </w:r>
                </w:p>
              </w:tc>
              <w:tc>
                <w:tcPr>
                  <w:tcW w:w="966" w:type="dxa"/>
                  <w:vMerge w:val="restart"/>
                  <w:tcBorders>
                    <w:tl2br w:val="nil"/>
                    <w:tr2bl w:val="nil"/>
                  </w:tcBorders>
                  <w:noWrap w:val="0"/>
                  <w:vAlign w:val="center"/>
                </w:tcPr>
                <w:p w14:paraId="1CBB3C68">
                  <w:pPr>
                    <w:topLinePunct/>
                    <w:jc w:val="center"/>
                    <w:rPr>
                      <w:color w:val="000000"/>
                      <w:szCs w:val="21"/>
                    </w:rPr>
                  </w:pPr>
                  <w:r>
                    <w:rPr>
                      <w:color w:val="000000"/>
                      <w:szCs w:val="21"/>
                    </w:rPr>
                    <w:t>贮存场所</w:t>
                  </w:r>
                  <w:r>
                    <w:rPr>
                      <w:color w:val="000000"/>
                      <w:spacing w:val="-6"/>
                      <w:szCs w:val="21"/>
                    </w:rPr>
                    <w:t>（设施）名称</w:t>
                  </w:r>
                </w:p>
              </w:tc>
              <w:tc>
                <w:tcPr>
                  <w:tcW w:w="901" w:type="dxa"/>
                  <w:vMerge w:val="restart"/>
                  <w:tcBorders>
                    <w:tl2br w:val="nil"/>
                    <w:tr2bl w:val="nil"/>
                  </w:tcBorders>
                  <w:noWrap w:val="0"/>
                  <w:vAlign w:val="center"/>
                </w:tcPr>
                <w:p w14:paraId="4BA028CF">
                  <w:pPr>
                    <w:topLinePunct/>
                    <w:jc w:val="center"/>
                    <w:rPr>
                      <w:color w:val="000000"/>
                      <w:szCs w:val="21"/>
                    </w:rPr>
                  </w:pPr>
                  <w:r>
                    <w:rPr>
                      <w:color w:val="000000"/>
                      <w:szCs w:val="21"/>
                    </w:rPr>
                    <w:t>危险废物名称</w:t>
                  </w:r>
                </w:p>
              </w:tc>
              <w:tc>
                <w:tcPr>
                  <w:tcW w:w="818" w:type="dxa"/>
                  <w:vMerge w:val="restart"/>
                  <w:tcBorders>
                    <w:tl2br w:val="nil"/>
                    <w:tr2bl w:val="nil"/>
                  </w:tcBorders>
                  <w:noWrap w:val="0"/>
                  <w:vAlign w:val="center"/>
                </w:tcPr>
                <w:p w14:paraId="5ABABD3C">
                  <w:pPr>
                    <w:topLinePunct/>
                    <w:jc w:val="center"/>
                    <w:rPr>
                      <w:color w:val="000000"/>
                      <w:szCs w:val="21"/>
                    </w:rPr>
                  </w:pPr>
                  <w:r>
                    <w:rPr>
                      <w:color w:val="000000"/>
                      <w:szCs w:val="21"/>
                    </w:rPr>
                    <w:t>危险废物类别</w:t>
                  </w:r>
                </w:p>
              </w:tc>
              <w:tc>
                <w:tcPr>
                  <w:tcW w:w="1171" w:type="dxa"/>
                  <w:vMerge w:val="restart"/>
                  <w:tcBorders>
                    <w:tl2br w:val="nil"/>
                    <w:tr2bl w:val="nil"/>
                  </w:tcBorders>
                  <w:noWrap w:val="0"/>
                  <w:vAlign w:val="center"/>
                </w:tcPr>
                <w:p w14:paraId="2344960E">
                  <w:pPr>
                    <w:topLinePunct/>
                    <w:jc w:val="center"/>
                    <w:rPr>
                      <w:color w:val="000000"/>
                      <w:szCs w:val="21"/>
                    </w:rPr>
                  </w:pPr>
                  <w:r>
                    <w:rPr>
                      <w:color w:val="000000"/>
                      <w:szCs w:val="21"/>
                    </w:rPr>
                    <w:t>危险废物代码</w:t>
                  </w:r>
                </w:p>
              </w:tc>
              <w:tc>
                <w:tcPr>
                  <w:tcW w:w="695" w:type="dxa"/>
                  <w:vMerge w:val="restart"/>
                  <w:tcBorders>
                    <w:tl2br w:val="nil"/>
                    <w:tr2bl w:val="nil"/>
                  </w:tcBorders>
                  <w:noWrap w:val="0"/>
                  <w:vAlign w:val="center"/>
                </w:tcPr>
                <w:p w14:paraId="04C46D08">
                  <w:pPr>
                    <w:topLinePunct/>
                    <w:jc w:val="center"/>
                    <w:rPr>
                      <w:color w:val="000000"/>
                      <w:szCs w:val="21"/>
                    </w:rPr>
                  </w:pPr>
                  <w:r>
                    <w:rPr>
                      <w:color w:val="000000"/>
                      <w:szCs w:val="21"/>
                    </w:rPr>
                    <w:t>位置</w:t>
                  </w:r>
                </w:p>
              </w:tc>
              <w:tc>
                <w:tcPr>
                  <w:tcW w:w="804" w:type="dxa"/>
                  <w:vMerge w:val="restart"/>
                  <w:tcBorders>
                    <w:tl2br w:val="nil"/>
                    <w:tr2bl w:val="nil"/>
                  </w:tcBorders>
                  <w:noWrap w:val="0"/>
                  <w:vAlign w:val="center"/>
                </w:tcPr>
                <w:p w14:paraId="2B4FB5FF">
                  <w:pPr>
                    <w:topLinePunct/>
                    <w:jc w:val="center"/>
                    <w:rPr>
                      <w:color w:val="000000"/>
                      <w:szCs w:val="21"/>
                    </w:rPr>
                  </w:pPr>
                  <w:r>
                    <w:rPr>
                      <w:color w:val="000000"/>
                      <w:szCs w:val="21"/>
                    </w:rPr>
                    <w:t>占地</w:t>
                  </w:r>
                </w:p>
                <w:p w14:paraId="06BCD788">
                  <w:pPr>
                    <w:topLinePunct/>
                    <w:jc w:val="center"/>
                    <w:rPr>
                      <w:color w:val="000000"/>
                      <w:szCs w:val="21"/>
                    </w:rPr>
                  </w:pPr>
                  <w:r>
                    <w:rPr>
                      <w:color w:val="000000"/>
                      <w:szCs w:val="21"/>
                    </w:rPr>
                    <w:t>面积</w:t>
                  </w:r>
                </w:p>
              </w:tc>
              <w:tc>
                <w:tcPr>
                  <w:tcW w:w="1140" w:type="dxa"/>
                  <w:vMerge w:val="restart"/>
                  <w:tcBorders>
                    <w:tl2br w:val="nil"/>
                    <w:tr2bl w:val="nil"/>
                  </w:tcBorders>
                  <w:noWrap w:val="0"/>
                  <w:vAlign w:val="center"/>
                </w:tcPr>
                <w:p w14:paraId="1120E551">
                  <w:pPr>
                    <w:topLinePunct/>
                    <w:jc w:val="center"/>
                    <w:rPr>
                      <w:color w:val="000000"/>
                      <w:szCs w:val="21"/>
                    </w:rPr>
                  </w:pPr>
                  <w:r>
                    <w:rPr>
                      <w:color w:val="000000"/>
                      <w:szCs w:val="21"/>
                    </w:rPr>
                    <w:t>贮存方式</w:t>
                  </w:r>
                </w:p>
              </w:tc>
              <w:tc>
                <w:tcPr>
                  <w:tcW w:w="840" w:type="dxa"/>
                  <w:vMerge w:val="restart"/>
                  <w:tcBorders>
                    <w:tl2br w:val="nil"/>
                    <w:tr2bl w:val="nil"/>
                  </w:tcBorders>
                  <w:noWrap w:val="0"/>
                  <w:vAlign w:val="center"/>
                </w:tcPr>
                <w:p w14:paraId="07E18627">
                  <w:pPr>
                    <w:topLinePunct/>
                    <w:jc w:val="center"/>
                    <w:rPr>
                      <w:color w:val="000000"/>
                      <w:szCs w:val="21"/>
                    </w:rPr>
                  </w:pPr>
                  <w:r>
                    <w:rPr>
                      <w:color w:val="000000"/>
                      <w:szCs w:val="21"/>
                    </w:rPr>
                    <w:t>贮存</w:t>
                  </w:r>
                </w:p>
                <w:p w14:paraId="6EE2F97C">
                  <w:pPr>
                    <w:topLinePunct/>
                    <w:jc w:val="center"/>
                    <w:rPr>
                      <w:color w:val="000000"/>
                      <w:szCs w:val="21"/>
                    </w:rPr>
                  </w:pPr>
                  <w:r>
                    <w:rPr>
                      <w:color w:val="000000"/>
                      <w:szCs w:val="21"/>
                    </w:rPr>
                    <w:t>周期</w:t>
                  </w:r>
                </w:p>
              </w:tc>
            </w:tr>
            <w:tr w14:paraId="560412D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09" w:hRule="atLeast"/>
                <w:jc w:val="center"/>
              </w:trPr>
              <w:tc>
                <w:tcPr>
                  <w:tcW w:w="550" w:type="dxa"/>
                  <w:vMerge w:val="continue"/>
                  <w:tcBorders>
                    <w:tl2br w:val="nil"/>
                    <w:tr2bl w:val="nil"/>
                  </w:tcBorders>
                  <w:noWrap w:val="0"/>
                  <w:vAlign w:val="center"/>
                </w:tcPr>
                <w:p w14:paraId="5D918700">
                  <w:pPr>
                    <w:widowControl/>
                    <w:adjustRightInd w:val="0"/>
                    <w:snapToGrid w:val="0"/>
                    <w:jc w:val="center"/>
                    <w:rPr>
                      <w:color w:val="000000"/>
                      <w:szCs w:val="21"/>
                    </w:rPr>
                  </w:pPr>
                </w:p>
              </w:tc>
              <w:tc>
                <w:tcPr>
                  <w:tcW w:w="966" w:type="dxa"/>
                  <w:vMerge w:val="continue"/>
                  <w:tcBorders>
                    <w:tl2br w:val="nil"/>
                    <w:tr2bl w:val="nil"/>
                  </w:tcBorders>
                  <w:noWrap w:val="0"/>
                  <w:vAlign w:val="center"/>
                </w:tcPr>
                <w:p w14:paraId="384851A7">
                  <w:pPr>
                    <w:widowControl/>
                    <w:adjustRightInd w:val="0"/>
                    <w:snapToGrid w:val="0"/>
                    <w:jc w:val="center"/>
                    <w:rPr>
                      <w:color w:val="000000"/>
                      <w:szCs w:val="21"/>
                    </w:rPr>
                  </w:pPr>
                </w:p>
              </w:tc>
              <w:tc>
                <w:tcPr>
                  <w:tcW w:w="901" w:type="dxa"/>
                  <w:vMerge w:val="continue"/>
                  <w:tcBorders>
                    <w:tl2br w:val="nil"/>
                    <w:tr2bl w:val="nil"/>
                  </w:tcBorders>
                  <w:noWrap w:val="0"/>
                  <w:vAlign w:val="center"/>
                </w:tcPr>
                <w:p w14:paraId="7EEC611F">
                  <w:pPr>
                    <w:widowControl/>
                    <w:adjustRightInd w:val="0"/>
                    <w:snapToGrid w:val="0"/>
                    <w:jc w:val="center"/>
                    <w:rPr>
                      <w:color w:val="000000"/>
                      <w:szCs w:val="21"/>
                    </w:rPr>
                  </w:pPr>
                </w:p>
              </w:tc>
              <w:tc>
                <w:tcPr>
                  <w:tcW w:w="818" w:type="dxa"/>
                  <w:vMerge w:val="continue"/>
                  <w:tcBorders>
                    <w:tl2br w:val="nil"/>
                    <w:tr2bl w:val="nil"/>
                  </w:tcBorders>
                  <w:noWrap w:val="0"/>
                  <w:vAlign w:val="center"/>
                </w:tcPr>
                <w:p w14:paraId="2B2DF389">
                  <w:pPr>
                    <w:widowControl/>
                    <w:adjustRightInd w:val="0"/>
                    <w:snapToGrid w:val="0"/>
                    <w:jc w:val="center"/>
                    <w:rPr>
                      <w:color w:val="000000"/>
                      <w:szCs w:val="21"/>
                    </w:rPr>
                  </w:pPr>
                </w:p>
              </w:tc>
              <w:tc>
                <w:tcPr>
                  <w:tcW w:w="1171" w:type="dxa"/>
                  <w:vMerge w:val="continue"/>
                  <w:tcBorders>
                    <w:tl2br w:val="nil"/>
                    <w:tr2bl w:val="nil"/>
                  </w:tcBorders>
                  <w:noWrap w:val="0"/>
                  <w:vAlign w:val="center"/>
                </w:tcPr>
                <w:p w14:paraId="063DE77E">
                  <w:pPr>
                    <w:widowControl/>
                    <w:adjustRightInd w:val="0"/>
                    <w:snapToGrid w:val="0"/>
                    <w:jc w:val="center"/>
                    <w:rPr>
                      <w:color w:val="000000"/>
                      <w:szCs w:val="21"/>
                    </w:rPr>
                  </w:pPr>
                </w:p>
              </w:tc>
              <w:tc>
                <w:tcPr>
                  <w:tcW w:w="695" w:type="dxa"/>
                  <w:vMerge w:val="continue"/>
                  <w:tcBorders>
                    <w:tl2br w:val="nil"/>
                    <w:tr2bl w:val="nil"/>
                  </w:tcBorders>
                  <w:noWrap w:val="0"/>
                  <w:vAlign w:val="center"/>
                </w:tcPr>
                <w:p w14:paraId="36499E4A">
                  <w:pPr>
                    <w:widowControl/>
                    <w:adjustRightInd w:val="0"/>
                    <w:snapToGrid w:val="0"/>
                    <w:jc w:val="center"/>
                    <w:rPr>
                      <w:color w:val="000000"/>
                      <w:szCs w:val="21"/>
                    </w:rPr>
                  </w:pPr>
                </w:p>
              </w:tc>
              <w:tc>
                <w:tcPr>
                  <w:tcW w:w="804" w:type="dxa"/>
                  <w:vMerge w:val="continue"/>
                  <w:tcBorders>
                    <w:tl2br w:val="nil"/>
                    <w:tr2bl w:val="nil"/>
                  </w:tcBorders>
                  <w:noWrap w:val="0"/>
                  <w:vAlign w:val="center"/>
                </w:tcPr>
                <w:p w14:paraId="5EDB3817">
                  <w:pPr>
                    <w:widowControl/>
                    <w:adjustRightInd w:val="0"/>
                    <w:snapToGrid w:val="0"/>
                    <w:jc w:val="center"/>
                    <w:rPr>
                      <w:color w:val="000000"/>
                      <w:szCs w:val="21"/>
                    </w:rPr>
                  </w:pPr>
                </w:p>
              </w:tc>
              <w:tc>
                <w:tcPr>
                  <w:tcW w:w="1140" w:type="dxa"/>
                  <w:vMerge w:val="continue"/>
                  <w:tcBorders>
                    <w:tl2br w:val="nil"/>
                    <w:tr2bl w:val="nil"/>
                  </w:tcBorders>
                  <w:noWrap w:val="0"/>
                  <w:vAlign w:val="center"/>
                </w:tcPr>
                <w:p w14:paraId="36075D6F">
                  <w:pPr>
                    <w:widowControl/>
                    <w:adjustRightInd w:val="0"/>
                    <w:snapToGrid w:val="0"/>
                    <w:jc w:val="center"/>
                    <w:rPr>
                      <w:color w:val="000000"/>
                      <w:szCs w:val="21"/>
                    </w:rPr>
                  </w:pPr>
                </w:p>
              </w:tc>
              <w:tc>
                <w:tcPr>
                  <w:tcW w:w="840" w:type="dxa"/>
                  <w:vMerge w:val="continue"/>
                  <w:tcBorders>
                    <w:tl2br w:val="nil"/>
                    <w:tr2bl w:val="nil"/>
                  </w:tcBorders>
                  <w:noWrap w:val="0"/>
                  <w:vAlign w:val="center"/>
                </w:tcPr>
                <w:p w14:paraId="0234F1A8">
                  <w:pPr>
                    <w:widowControl/>
                    <w:adjustRightInd w:val="0"/>
                    <w:snapToGrid w:val="0"/>
                    <w:jc w:val="center"/>
                    <w:rPr>
                      <w:color w:val="000000"/>
                      <w:szCs w:val="21"/>
                    </w:rPr>
                  </w:pPr>
                </w:p>
              </w:tc>
            </w:tr>
            <w:tr w14:paraId="3F6193A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642" w:hRule="atLeast"/>
                <w:jc w:val="center"/>
              </w:trPr>
              <w:tc>
                <w:tcPr>
                  <w:tcW w:w="550" w:type="dxa"/>
                  <w:tcBorders>
                    <w:tl2br w:val="nil"/>
                    <w:tr2bl w:val="nil"/>
                  </w:tcBorders>
                  <w:noWrap w:val="0"/>
                  <w:vAlign w:val="center"/>
                </w:tcPr>
                <w:p w14:paraId="7D849F5F">
                  <w:pPr>
                    <w:widowControl/>
                    <w:adjustRightInd w:val="0"/>
                    <w:snapToGrid w:val="0"/>
                    <w:jc w:val="center"/>
                    <w:rPr>
                      <w:color w:val="000000"/>
                      <w:szCs w:val="21"/>
                    </w:rPr>
                  </w:pPr>
                  <w:r>
                    <w:rPr>
                      <w:color w:val="000000"/>
                      <w:szCs w:val="21"/>
                    </w:rPr>
                    <w:t>1</w:t>
                  </w:r>
                </w:p>
              </w:tc>
              <w:tc>
                <w:tcPr>
                  <w:tcW w:w="966" w:type="dxa"/>
                  <w:vMerge w:val="restart"/>
                  <w:tcBorders>
                    <w:tl2br w:val="nil"/>
                    <w:tr2bl w:val="nil"/>
                  </w:tcBorders>
                  <w:noWrap w:val="0"/>
                  <w:vAlign w:val="center"/>
                </w:tcPr>
                <w:p w14:paraId="624AC49A">
                  <w:pPr>
                    <w:widowControl/>
                    <w:adjustRightInd w:val="0"/>
                    <w:snapToGrid w:val="0"/>
                    <w:jc w:val="center"/>
                    <w:rPr>
                      <w:rFonts w:hint="eastAsia" w:eastAsia="宋体"/>
                      <w:color w:val="000000"/>
                      <w:szCs w:val="21"/>
                      <w:lang w:val="en-US" w:eastAsia="zh-CN"/>
                    </w:rPr>
                  </w:pPr>
                  <w:r>
                    <w:rPr>
                      <w:rFonts w:hint="eastAsia"/>
                      <w:color w:val="000000"/>
                      <w:szCs w:val="21"/>
                      <w:lang w:val="en-US" w:eastAsia="zh-CN"/>
                    </w:rPr>
                    <w:t>危废间</w:t>
                  </w:r>
                </w:p>
              </w:tc>
              <w:tc>
                <w:tcPr>
                  <w:tcW w:w="901" w:type="dxa"/>
                  <w:tcBorders>
                    <w:tl2br w:val="nil"/>
                    <w:tr2bl w:val="nil"/>
                  </w:tcBorders>
                  <w:noWrap w:val="0"/>
                  <w:vAlign w:val="center"/>
                </w:tcPr>
                <w:p w14:paraId="0BA83923">
                  <w:pPr>
                    <w:adjustRightInd w:val="0"/>
                    <w:snapToGrid w:val="0"/>
                    <w:ind w:left="-105" w:leftChars="-50" w:right="-105" w:rightChars="-50"/>
                    <w:jc w:val="center"/>
                    <w:rPr>
                      <w:rFonts w:hint="eastAsia" w:eastAsia="宋体"/>
                      <w:color w:val="000000"/>
                      <w:szCs w:val="21"/>
                      <w:lang w:val="en-US" w:eastAsia="zh-CN"/>
                    </w:rPr>
                  </w:pPr>
                  <w:r>
                    <w:rPr>
                      <w:rFonts w:hint="eastAsia"/>
                      <w:color w:val="000000"/>
                      <w:szCs w:val="21"/>
                    </w:rPr>
                    <w:t>废</w:t>
                  </w:r>
                  <w:r>
                    <w:rPr>
                      <w:rFonts w:hint="eastAsia"/>
                      <w:color w:val="000000"/>
                      <w:szCs w:val="21"/>
                      <w:lang w:val="en-US" w:eastAsia="zh-CN"/>
                    </w:rPr>
                    <w:t>润滑油</w:t>
                  </w:r>
                </w:p>
              </w:tc>
              <w:tc>
                <w:tcPr>
                  <w:tcW w:w="818" w:type="dxa"/>
                  <w:tcBorders>
                    <w:tl2br w:val="nil"/>
                    <w:tr2bl w:val="nil"/>
                  </w:tcBorders>
                  <w:noWrap w:val="0"/>
                  <w:vAlign w:val="center"/>
                </w:tcPr>
                <w:p w14:paraId="7DDC6BF7">
                  <w:pPr>
                    <w:widowControl/>
                    <w:adjustRightInd w:val="0"/>
                    <w:snapToGrid w:val="0"/>
                    <w:ind w:left="-105" w:leftChars="-50" w:right="-105" w:rightChars="-50"/>
                    <w:jc w:val="center"/>
                    <w:rPr>
                      <w:color w:val="000000"/>
                      <w:szCs w:val="21"/>
                    </w:rPr>
                  </w:pPr>
                  <w:r>
                    <w:rPr>
                      <w:bCs/>
                      <w:color w:val="000000"/>
                      <w:spacing w:val="-4"/>
                      <w:szCs w:val="21"/>
                    </w:rPr>
                    <w:t>HW</w:t>
                  </w:r>
                  <w:r>
                    <w:rPr>
                      <w:rFonts w:hint="eastAsia"/>
                      <w:bCs/>
                      <w:color w:val="000000"/>
                      <w:spacing w:val="-4"/>
                      <w:szCs w:val="21"/>
                    </w:rPr>
                    <w:t>08</w:t>
                  </w:r>
                </w:p>
              </w:tc>
              <w:tc>
                <w:tcPr>
                  <w:tcW w:w="1171" w:type="dxa"/>
                  <w:tcBorders>
                    <w:tl2br w:val="nil"/>
                    <w:tr2bl w:val="nil"/>
                  </w:tcBorders>
                  <w:noWrap w:val="0"/>
                  <w:vAlign w:val="center"/>
                </w:tcPr>
                <w:p w14:paraId="0F5DFEAF">
                  <w:pPr>
                    <w:widowControl/>
                    <w:adjustRightInd w:val="0"/>
                    <w:snapToGrid w:val="0"/>
                    <w:ind w:left="-105" w:leftChars="-50" w:right="-105" w:rightChars="-50"/>
                    <w:jc w:val="center"/>
                    <w:rPr>
                      <w:color w:val="000000"/>
                      <w:szCs w:val="21"/>
                    </w:rPr>
                  </w:pPr>
                  <w:r>
                    <w:rPr>
                      <w:color w:val="000000"/>
                      <w:szCs w:val="21"/>
                    </w:rPr>
                    <w:t>900-</w:t>
                  </w:r>
                  <w:r>
                    <w:rPr>
                      <w:rFonts w:hint="eastAsia"/>
                      <w:color w:val="000000"/>
                      <w:szCs w:val="21"/>
                    </w:rPr>
                    <w:t>2</w:t>
                  </w:r>
                  <w:r>
                    <w:rPr>
                      <w:rFonts w:hint="eastAsia"/>
                      <w:color w:val="000000"/>
                      <w:szCs w:val="21"/>
                      <w:lang w:val="en-US" w:eastAsia="zh-CN"/>
                    </w:rPr>
                    <w:t>17</w:t>
                  </w:r>
                  <w:r>
                    <w:rPr>
                      <w:color w:val="000000"/>
                      <w:szCs w:val="21"/>
                    </w:rPr>
                    <w:t>-</w:t>
                  </w:r>
                  <w:r>
                    <w:rPr>
                      <w:rFonts w:hint="eastAsia"/>
                      <w:color w:val="000000"/>
                      <w:szCs w:val="21"/>
                    </w:rPr>
                    <w:t>08</w:t>
                  </w:r>
                </w:p>
              </w:tc>
              <w:tc>
                <w:tcPr>
                  <w:tcW w:w="695" w:type="dxa"/>
                  <w:vMerge w:val="restart"/>
                  <w:tcBorders>
                    <w:tl2br w:val="nil"/>
                    <w:tr2bl w:val="nil"/>
                  </w:tcBorders>
                  <w:noWrap w:val="0"/>
                  <w:vAlign w:val="center"/>
                </w:tcPr>
                <w:p w14:paraId="044EFE02">
                  <w:pPr>
                    <w:adjustRightInd w:val="0"/>
                    <w:snapToGrid w:val="0"/>
                    <w:jc w:val="center"/>
                    <w:rPr>
                      <w:rFonts w:hint="default" w:eastAsia="宋体"/>
                      <w:color w:val="000000"/>
                      <w:spacing w:val="-6"/>
                      <w:szCs w:val="21"/>
                      <w:lang w:val="en-US" w:eastAsia="zh-CN"/>
                    </w:rPr>
                  </w:pPr>
                  <w:r>
                    <w:rPr>
                      <w:color w:val="000000"/>
                      <w:szCs w:val="21"/>
                      <w:highlight w:val="none"/>
                    </w:rPr>
                    <w:t>厂</w:t>
                  </w:r>
                  <w:r>
                    <w:rPr>
                      <w:rFonts w:hint="eastAsia"/>
                      <w:color w:val="000000"/>
                      <w:szCs w:val="21"/>
                      <w:highlight w:val="none"/>
                      <w:lang w:val="en-US" w:eastAsia="zh-CN"/>
                    </w:rPr>
                    <w:t>房内部北侧</w:t>
                  </w:r>
                </w:p>
              </w:tc>
              <w:tc>
                <w:tcPr>
                  <w:tcW w:w="804" w:type="dxa"/>
                  <w:tcBorders>
                    <w:tl2br w:val="nil"/>
                    <w:tr2bl w:val="nil"/>
                  </w:tcBorders>
                  <w:noWrap w:val="0"/>
                  <w:vAlign w:val="center"/>
                </w:tcPr>
                <w:p w14:paraId="35245E87">
                  <w:pPr>
                    <w:adjustRightInd w:val="0"/>
                    <w:snapToGrid w:val="0"/>
                    <w:jc w:val="center"/>
                    <w:rPr>
                      <w:color w:val="000000"/>
                      <w:szCs w:val="21"/>
                    </w:rPr>
                  </w:pPr>
                  <w:r>
                    <w:rPr>
                      <w:rFonts w:hint="eastAsia"/>
                      <w:color w:val="000000"/>
                      <w:szCs w:val="21"/>
                      <w:lang w:val="en-US" w:eastAsia="zh-CN"/>
                    </w:rPr>
                    <w:t>2</w:t>
                  </w:r>
                  <w:r>
                    <w:rPr>
                      <w:color w:val="000000"/>
                      <w:szCs w:val="21"/>
                    </w:rPr>
                    <w:t>m</w:t>
                  </w:r>
                  <w:r>
                    <w:rPr>
                      <w:color w:val="000000"/>
                      <w:szCs w:val="21"/>
                      <w:vertAlign w:val="superscript"/>
                    </w:rPr>
                    <w:t>2</w:t>
                  </w:r>
                </w:p>
              </w:tc>
              <w:tc>
                <w:tcPr>
                  <w:tcW w:w="1140" w:type="dxa"/>
                  <w:tcBorders>
                    <w:tl2br w:val="nil"/>
                    <w:tr2bl w:val="nil"/>
                  </w:tcBorders>
                  <w:noWrap w:val="0"/>
                  <w:vAlign w:val="center"/>
                </w:tcPr>
                <w:p w14:paraId="6E336510">
                  <w:pPr>
                    <w:adjustRightInd w:val="0"/>
                    <w:snapToGrid w:val="0"/>
                    <w:jc w:val="center"/>
                    <w:rPr>
                      <w:color w:val="000000"/>
                      <w:szCs w:val="21"/>
                    </w:rPr>
                  </w:pPr>
                  <w:r>
                    <w:rPr>
                      <w:color w:val="000000"/>
                      <w:szCs w:val="21"/>
                    </w:rPr>
                    <w:t>由密闭容器收集</w:t>
                  </w:r>
                </w:p>
              </w:tc>
              <w:tc>
                <w:tcPr>
                  <w:tcW w:w="840" w:type="dxa"/>
                  <w:tcBorders>
                    <w:tl2br w:val="nil"/>
                    <w:tr2bl w:val="nil"/>
                  </w:tcBorders>
                  <w:noWrap w:val="0"/>
                  <w:vAlign w:val="center"/>
                </w:tcPr>
                <w:p w14:paraId="7D43D915">
                  <w:pPr>
                    <w:adjustRightInd w:val="0"/>
                    <w:snapToGrid w:val="0"/>
                    <w:ind w:leftChars="-51" w:right="-149" w:rightChars="-71" w:hanging="106" w:hangingChars="54"/>
                    <w:jc w:val="center"/>
                    <w:rPr>
                      <w:color w:val="000000"/>
                      <w:spacing w:val="-6"/>
                      <w:szCs w:val="21"/>
                    </w:rPr>
                  </w:pPr>
                  <w:r>
                    <w:rPr>
                      <w:rFonts w:hint="eastAsia"/>
                      <w:color w:val="000000"/>
                      <w:spacing w:val="-6"/>
                      <w:szCs w:val="21"/>
                      <w:lang w:val="en-US" w:eastAsia="zh-CN"/>
                    </w:rPr>
                    <w:t>1</w:t>
                  </w:r>
                  <w:r>
                    <w:rPr>
                      <w:color w:val="000000"/>
                      <w:spacing w:val="-6"/>
                      <w:szCs w:val="21"/>
                    </w:rPr>
                    <w:t>个月</w:t>
                  </w:r>
                </w:p>
              </w:tc>
            </w:tr>
            <w:tr w14:paraId="631C578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659" w:hRule="atLeast"/>
                <w:jc w:val="center"/>
              </w:trPr>
              <w:tc>
                <w:tcPr>
                  <w:tcW w:w="550" w:type="dxa"/>
                  <w:tcBorders>
                    <w:tl2br w:val="nil"/>
                    <w:tr2bl w:val="nil"/>
                  </w:tcBorders>
                  <w:noWrap w:val="0"/>
                  <w:vAlign w:val="center"/>
                </w:tcPr>
                <w:p w14:paraId="47D7DF1F">
                  <w:pPr>
                    <w:widowControl/>
                    <w:adjustRightInd w:val="0"/>
                    <w:snapToGrid w:val="0"/>
                    <w:jc w:val="center"/>
                    <w:rPr>
                      <w:rFonts w:hint="eastAsia" w:eastAsia="宋体"/>
                      <w:color w:val="000000"/>
                      <w:szCs w:val="21"/>
                      <w:lang w:val="en-US" w:eastAsia="zh-CN"/>
                    </w:rPr>
                  </w:pPr>
                  <w:r>
                    <w:rPr>
                      <w:rFonts w:hint="eastAsia"/>
                      <w:color w:val="000000"/>
                      <w:szCs w:val="21"/>
                      <w:lang w:val="en-US" w:eastAsia="zh-CN"/>
                    </w:rPr>
                    <w:t>2</w:t>
                  </w:r>
                </w:p>
              </w:tc>
              <w:tc>
                <w:tcPr>
                  <w:tcW w:w="966" w:type="dxa"/>
                  <w:vMerge w:val="continue"/>
                  <w:tcBorders>
                    <w:tl2br w:val="nil"/>
                    <w:tr2bl w:val="nil"/>
                  </w:tcBorders>
                  <w:noWrap w:val="0"/>
                  <w:vAlign w:val="center"/>
                </w:tcPr>
                <w:p w14:paraId="0595D7C3">
                  <w:pPr>
                    <w:adjustRightInd w:val="0"/>
                    <w:snapToGrid w:val="0"/>
                    <w:jc w:val="center"/>
                    <w:rPr>
                      <w:color w:val="000000"/>
                      <w:szCs w:val="21"/>
                    </w:rPr>
                  </w:pPr>
                </w:p>
              </w:tc>
              <w:tc>
                <w:tcPr>
                  <w:tcW w:w="901" w:type="dxa"/>
                  <w:tcBorders>
                    <w:tl2br w:val="nil"/>
                    <w:tr2bl w:val="nil"/>
                  </w:tcBorders>
                  <w:noWrap w:val="0"/>
                  <w:vAlign w:val="center"/>
                </w:tcPr>
                <w:p w14:paraId="270613E8">
                  <w:pPr>
                    <w:adjustRightInd w:val="0"/>
                    <w:snapToGrid w:val="0"/>
                    <w:ind w:left="-105" w:leftChars="-50" w:right="-105" w:rightChars="-50"/>
                    <w:jc w:val="center"/>
                    <w:rPr>
                      <w:rFonts w:hint="eastAsia"/>
                      <w:color w:val="000000"/>
                      <w:szCs w:val="21"/>
                      <w:lang w:val="en-US" w:eastAsia="zh-CN"/>
                    </w:rPr>
                  </w:pPr>
                  <w:r>
                    <w:rPr>
                      <w:rFonts w:hint="eastAsia"/>
                      <w:color w:val="000000"/>
                      <w:szCs w:val="21"/>
                      <w:lang w:val="en-US" w:eastAsia="zh-CN"/>
                    </w:rPr>
                    <w:t>废润滑</w:t>
                  </w:r>
                </w:p>
                <w:p w14:paraId="2FA0C81C">
                  <w:pPr>
                    <w:adjustRightInd w:val="0"/>
                    <w:snapToGrid w:val="0"/>
                    <w:ind w:left="-105" w:leftChars="-50" w:right="-105" w:rightChars="-50"/>
                    <w:jc w:val="center"/>
                    <w:rPr>
                      <w:rFonts w:hint="default" w:eastAsia="宋体"/>
                      <w:color w:val="000000"/>
                      <w:szCs w:val="21"/>
                      <w:lang w:val="en-US" w:eastAsia="zh-CN"/>
                    </w:rPr>
                  </w:pPr>
                  <w:r>
                    <w:rPr>
                      <w:rFonts w:hint="eastAsia"/>
                      <w:color w:val="000000"/>
                      <w:szCs w:val="21"/>
                      <w:lang w:val="en-US" w:eastAsia="zh-CN"/>
                    </w:rPr>
                    <w:t>油桶</w:t>
                  </w:r>
                </w:p>
              </w:tc>
              <w:tc>
                <w:tcPr>
                  <w:tcW w:w="818" w:type="dxa"/>
                  <w:tcBorders>
                    <w:tl2br w:val="nil"/>
                    <w:tr2bl w:val="nil"/>
                  </w:tcBorders>
                  <w:noWrap w:val="0"/>
                  <w:vAlign w:val="center"/>
                </w:tcPr>
                <w:p w14:paraId="4162A5BC">
                  <w:pPr>
                    <w:widowControl/>
                    <w:adjustRightInd w:val="0"/>
                    <w:snapToGrid w:val="0"/>
                    <w:ind w:left="-105" w:leftChars="-50" w:right="-105" w:rightChars="-50"/>
                    <w:jc w:val="center"/>
                    <w:rPr>
                      <w:rFonts w:ascii="Times New Roman" w:hAnsi="Times New Roman" w:eastAsia="宋体" w:cs="Times New Roman"/>
                      <w:color w:val="000000"/>
                      <w:kern w:val="2"/>
                      <w:sz w:val="21"/>
                      <w:szCs w:val="21"/>
                      <w:lang w:val="en-US" w:eastAsia="zh-CN" w:bidi="ar-SA"/>
                    </w:rPr>
                  </w:pPr>
                  <w:r>
                    <w:rPr>
                      <w:bCs/>
                      <w:color w:val="000000"/>
                      <w:spacing w:val="-4"/>
                      <w:szCs w:val="21"/>
                    </w:rPr>
                    <w:t>HW</w:t>
                  </w:r>
                  <w:r>
                    <w:rPr>
                      <w:rFonts w:hint="eastAsia"/>
                      <w:bCs/>
                      <w:color w:val="000000"/>
                      <w:spacing w:val="-4"/>
                      <w:szCs w:val="21"/>
                    </w:rPr>
                    <w:t>08</w:t>
                  </w:r>
                </w:p>
              </w:tc>
              <w:tc>
                <w:tcPr>
                  <w:tcW w:w="1171" w:type="dxa"/>
                  <w:tcBorders>
                    <w:tl2br w:val="nil"/>
                    <w:tr2bl w:val="nil"/>
                  </w:tcBorders>
                  <w:noWrap w:val="0"/>
                  <w:vAlign w:val="center"/>
                </w:tcPr>
                <w:p w14:paraId="289BDB63">
                  <w:pPr>
                    <w:widowControl/>
                    <w:adjustRightInd w:val="0"/>
                    <w:snapToGrid w:val="0"/>
                    <w:ind w:left="-105" w:leftChars="-50" w:right="-105" w:rightChars="-50"/>
                    <w:jc w:val="center"/>
                    <w:rPr>
                      <w:rFonts w:ascii="Times New Roman" w:hAnsi="Times New Roman" w:eastAsia="宋体" w:cs="Times New Roman"/>
                      <w:color w:val="000000"/>
                      <w:kern w:val="2"/>
                      <w:sz w:val="21"/>
                      <w:szCs w:val="21"/>
                      <w:lang w:val="en-US" w:eastAsia="zh-CN" w:bidi="ar-SA"/>
                    </w:rPr>
                  </w:pPr>
                  <w:r>
                    <w:rPr>
                      <w:color w:val="000000"/>
                      <w:szCs w:val="21"/>
                    </w:rPr>
                    <w:t>900-</w:t>
                  </w:r>
                  <w:r>
                    <w:rPr>
                      <w:rFonts w:hint="eastAsia"/>
                      <w:color w:val="000000"/>
                      <w:szCs w:val="21"/>
                    </w:rPr>
                    <w:t>249</w:t>
                  </w:r>
                  <w:r>
                    <w:rPr>
                      <w:color w:val="000000"/>
                      <w:szCs w:val="21"/>
                    </w:rPr>
                    <w:t>-</w:t>
                  </w:r>
                  <w:r>
                    <w:rPr>
                      <w:rFonts w:hint="eastAsia"/>
                      <w:color w:val="000000"/>
                      <w:szCs w:val="21"/>
                    </w:rPr>
                    <w:t>08</w:t>
                  </w:r>
                </w:p>
              </w:tc>
              <w:tc>
                <w:tcPr>
                  <w:tcW w:w="695" w:type="dxa"/>
                  <w:vMerge w:val="continue"/>
                  <w:tcBorders>
                    <w:tl2br w:val="nil"/>
                    <w:tr2bl w:val="nil"/>
                  </w:tcBorders>
                  <w:noWrap w:val="0"/>
                  <w:vAlign w:val="center"/>
                </w:tcPr>
                <w:p w14:paraId="1D95DD43">
                  <w:pPr>
                    <w:adjustRightInd w:val="0"/>
                    <w:snapToGrid w:val="0"/>
                    <w:jc w:val="center"/>
                    <w:rPr>
                      <w:color w:val="000000"/>
                      <w:szCs w:val="21"/>
                    </w:rPr>
                  </w:pPr>
                </w:p>
              </w:tc>
              <w:tc>
                <w:tcPr>
                  <w:tcW w:w="804" w:type="dxa"/>
                  <w:tcBorders>
                    <w:tl2br w:val="nil"/>
                    <w:tr2bl w:val="nil"/>
                  </w:tcBorders>
                  <w:noWrap w:val="0"/>
                  <w:vAlign w:val="center"/>
                </w:tcPr>
                <w:p w14:paraId="5A36B147">
                  <w:pPr>
                    <w:adjustRightInd w:val="0"/>
                    <w:snapToGrid w:val="0"/>
                    <w:jc w:val="center"/>
                    <w:rPr>
                      <w:color w:val="000000"/>
                      <w:szCs w:val="21"/>
                    </w:rPr>
                  </w:pPr>
                  <w:r>
                    <w:rPr>
                      <w:rFonts w:hint="eastAsia"/>
                      <w:color w:val="000000"/>
                      <w:szCs w:val="21"/>
                      <w:lang w:val="en-US" w:eastAsia="zh-CN"/>
                    </w:rPr>
                    <w:t>2</w:t>
                  </w:r>
                  <w:r>
                    <w:rPr>
                      <w:color w:val="000000"/>
                      <w:szCs w:val="21"/>
                    </w:rPr>
                    <w:t>m</w:t>
                  </w:r>
                  <w:r>
                    <w:rPr>
                      <w:color w:val="000000"/>
                      <w:szCs w:val="21"/>
                      <w:vertAlign w:val="superscript"/>
                    </w:rPr>
                    <w:t>2</w:t>
                  </w:r>
                </w:p>
              </w:tc>
              <w:tc>
                <w:tcPr>
                  <w:tcW w:w="1140" w:type="dxa"/>
                  <w:tcBorders>
                    <w:tl2br w:val="nil"/>
                    <w:tr2bl w:val="nil"/>
                  </w:tcBorders>
                  <w:noWrap w:val="0"/>
                  <w:vAlign w:val="center"/>
                </w:tcPr>
                <w:p w14:paraId="2F7C1B21">
                  <w:pPr>
                    <w:adjustRightInd w:val="0"/>
                    <w:snapToGrid w:val="0"/>
                    <w:jc w:val="center"/>
                    <w:rPr>
                      <w:color w:val="000000"/>
                      <w:szCs w:val="21"/>
                    </w:rPr>
                  </w:pPr>
                  <w:r>
                    <w:rPr>
                      <w:color w:val="000000"/>
                      <w:szCs w:val="21"/>
                    </w:rPr>
                    <w:t>由密闭容器收集</w:t>
                  </w:r>
                </w:p>
              </w:tc>
              <w:tc>
                <w:tcPr>
                  <w:tcW w:w="840" w:type="dxa"/>
                  <w:tcBorders>
                    <w:tl2br w:val="nil"/>
                    <w:tr2bl w:val="nil"/>
                  </w:tcBorders>
                  <w:noWrap w:val="0"/>
                  <w:vAlign w:val="center"/>
                </w:tcPr>
                <w:p w14:paraId="35947A16">
                  <w:pPr>
                    <w:adjustRightInd w:val="0"/>
                    <w:snapToGrid w:val="0"/>
                    <w:ind w:leftChars="-51" w:right="-149" w:rightChars="-71" w:hanging="106" w:hangingChars="54"/>
                    <w:jc w:val="center"/>
                    <w:rPr>
                      <w:rFonts w:hint="eastAsia"/>
                      <w:color w:val="000000"/>
                      <w:spacing w:val="-6"/>
                      <w:szCs w:val="21"/>
                    </w:rPr>
                  </w:pPr>
                  <w:r>
                    <w:rPr>
                      <w:rFonts w:hint="eastAsia"/>
                      <w:color w:val="000000"/>
                      <w:spacing w:val="-6"/>
                      <w:szCs w:val="21"/>
                      <w:lang w:val="en-US" w:eastAsia="zh-CN"/>
                    </w:rPr>
                    <w:t>1</w:t>
                  </w:r>
                  <w:r>
                    <w:rPr>
                      <w:color w:val="000000"/>
                      <w:spacing w:val="-6"/>
                      <w:szCs w:val="21"/>
                    </w:rPr>
                    <w:t>个月</w:t>
                  </w:r>
                </w:p>
              </w:tc>
            </w:tr>
          </w:tbl>
          <w:p w14:paraId="741DBDAA">
            <w:pPr>
              <w:autoSpaceDE w:val="0"/>
              <w:autoSpaceDN w:val="0"/>
              <w:adjustRightInd w:val="0"/>
              <w:snapToGrid w:val="0"/>
              <w:spacing w:line="500" w:lineRule="exact"/>
              <w:ind w:firstLine="480" w:firstLineChars="200"/>
              <w:rPr>
                <w:b w:val="0"/>
                <w:bCs w:val="0"/>
                <w:color w:val="000000"/>
                <w:kern w:val="0"/>
                <w:sz w:val="24"/>
              </w:rPr>
            </w:pPr>
            <w:r>
              <w:rPr>
                <w:rFonts w:hint="eastAsia"/>
                <w:b w:val="0"/>
                <w:bCs w:val="0"/>
                <w:color w:val="000000"/>
                <w:kern w:val="0"/>
                <w:sz w:val="24"/>
              </w:rPr>
              <w:t>4</w:t>
            </w:r>
            <w:r>
              <w:rPr>
                <w:b w:val="0"/>
                <w:bCs w:val="0"/>
                <w:color w:val="000000"/>
                <w:kern w:val="0"/>
                <w:sz w:val="24"/>
              </w:rPr>
              <w:t>.</w:t>
            </w:r>
            <w:r>
              <w:rPr>
                <w:rFonts w:hint="eastAsia"/>
                <w:b w:val="0"/>
                <w:bCs w:val="0"/>
                <w:color w:val="000000"/>
                <w:kern w:val="0"/>
                <w:sz w:val="24"/>
                <w:lang w:val="en-US" w:eastAsia="zh-CN"/>
              </w:rPr>
              <w:t>3</w:t>
            </w:r>
            <w:r>
              <w:rPr>
                <w:rFonts w:hint="default" w:ascii="Times New Roman" w:hAnsi="Times New Roman" w:cs="Times New Roman"/>
                <w:b w:val="0"/>
                <w:bCs w:val="0"/>
                <w:sz w:val="24"/>
                <w:szCs w:val="24"/>
                <w:u w:val="none"/>
              </w:rPr>
              <w:t>固体废物防治措施及运营期管理要求</w:t>
            </w:r>
          </w:p>
          <w:p w14:paraId="07CF21CD">
            <w:pPr>
              <w:widowControl/>
              <w:adjustRightInd w:val="0"/>
              <w:snapToGrid w:val="0"/>
              <w:spacing w:line="520" w:lineRule="exact"/>
              <w:ind w:firstLine="480" w:firstLineChars="200"/>
              <w:rPr>
                <w:color w:val="000000"/>
                <w:sz w:val="24"/>
              </w:rPr>
            </w:pPr>
            <w:r>
              <w:rPr>
                <w:rFonts w:hint="eastAsia"/>
                <w:color w:val="000000"/>
                <w:sz w:val="24"/>
                <w:lang w:val="en-US" w:eastAsia="zh-CN"/>
              </w:rPr>
              <w:t>4.3.1</w:t>
            </w:r>
            <w:r>
              <w:rPr>
                <w:color w:val="000000"/>
                <w:sz w:val="24"/>
              </w:rPr>
              <w:t>一般固废</w:t>
            </w:r>
          </w:p>
          <w:p w14:paraId="02D71B09">
            <w:pPr>
              <w:pStyle w:val="50"/>
              <w:spacing w:line="520" w:lineRule="exact"/>
              <w:ind w:firstLine="480"/>
              <w:rPr>
                <w:rFonts w:ascii="Times New Roman" w:hAnsi="Times New Roman" w:eastAsia="宋体" w:cs="Times New Roman"/>
                <w:color w:val="000000"/>
                <w:kern w:val="2"/>
                <w:szCs w:val="24"/>
              </w:rPr>
            </w:pPr>
            <w:r>
              <w:rPr>
                <w:color w:val="000000"/>
                <w:kern w:val="2"/>
                <w:szCs w:val="24"/>
                <w:u w:val="none"/>
              </w:rPr>
              <w:t>本项目</w:t>
            </w:r>
            <w:r>
              <w:rPr>
                <w:rFonts w:hint="eastAsia"/>
                <w:color w:val="000000"/>
                <w:kern w:val="2"/>
                <w:szCs w:val="24"/>
                <w:u w:val="none"/>
                <w:lang w:val="en-US" w:eastAsia="zh-CN"/>
              </w:rPr>
              <w:t>产生的一般固废</w:t>
            </w:r>
            <w:r>
              <w:rPr>
                <w:color w:val="000000"/>
                <w:kern w:val="2"/>
                <w:szCs w:val="24"/>
                <w:u w:val="none"/>
              </w:rPr>
              <w:t>根据《一般工业固体废物贮存和填埋污染控制标准》（GB 18599-2020）</w:t>
            </w:r>
            <w:r>
              <w:rPr>
                <w:rFonts w:hint="eastAsia" w:ascii="Times New Roman" w:hAnsi="Times New Roman" w:eastAsia="宋体" w:cs="Times New Roman"/>
                <w:color w:val="000000"/>
                <w:kern w:val="2"/>
                <w:szCs w:val="24"/>
                <w:lang w:val="en-US" w:eastAsia="zh-CN"/>
              </w:rPr>
              <w:t>评价对项目建设单位一般固废暂存台账提出以下要求：</w:t>
            </w:r>
          </w:p>
          <w:p w14:paraId="2A480031">
            <w:pPr>
              <w:pStyle w:val="50"/>
              <w:spacing w:line="520" w:lineRule="exact"/>
              <w:ind w:firstLine="480"/>
              <w:rPr>
                <w:rFonts w:ascii="Times New Roman" w:hAnsi="Times New Roman" w:eastAsia="宋体" w:cs="Times New Roman"/>
                <w:color w:val="000000"/>
                <w:kern w:val="2"/>
                <w:szCs w:val="24"/>
              </w:rPr>
            </w:pPr>
            <w:r>
              <w:rPr>
                <w:rFonts w:hint="default" w:ascii="Times New Roman" w:hAnsi="Times New Roman" w:eastAsia="宋体" w:cs="Times New Roman"/>
                <w:color w:val="000000"/>
                <w:kern w:val="2"/>
                <w:szCs w:val="24"/>
                <w:lang w:val="en-US" w:eastAsia="zh-CN"/>
              </w:rPr>
              <w:t>a</w:t>
            </w:r>
            <w:r>
              <w:rPr>
                <w:rFonts w:hint="eastAsia" w:ascii="Times New Roman" w:hAnsi="Times New Roman" w:eastAsia="宋体" w:cs="Times New Roman"/>
                <w:color w:val="000000"/>
                <w:kern w:val="2"/>
                <w:szCs w:val="24"/>
                <w:lang w:val="en-US" w:eastAsia="zh-CN"/>
              </w:rPr>
              <w:t>、一般工业固体废物管理台账实施分级管理，记录固体废物的基础信息及流向信息，所有产废单位均应填写。结合环境影响评价、排污许可等材料，根据实际生产运营情况记录固体废物产生信息，当生产工艺发生重大变动等原因导致固体废物产生种类等发生变化的，应当及时另行填写；记录固体废物的产生、贮存、利用、处置数量和利用、处置方式等信息；按批次填写，每一批次固体废物的出厂以及转移信息均应当如实记录；</w:t>
            </w:r>
          </w:p>
          <w:p w14:paraId="207729D1">
            <w:pPr>
              <w:pStyle w:val="50"/>
              <w:spacing w:line="520" w:lineRule="exact"/>
              <w:ind w:firstLine="480"/>
              <w:rPr>
                <w:rFonts w:ascii="Times New Roman" w:hAnsi="Times New Roman" w:eastAsia="宋体" w:cs="Times New Roman"/>
                <w:color w:val="000000"/>
                <w:kern w:val="2"/>
                <w:szCs w:val="24"/>
              </w:rPr>
            </w:pPr>
            <w:r>
              <w:rPr>
                <w:rFonts w:hint="default" w:ascii="Times New Roman" w:hAnsi="Times New Roman" w:eastAsia="宋体" w:cs="Times New Roman"/>
                <w:color w:val="000000"/>
                <w:kern w:val="2"/>
                <w:szCs w:val="24"/>
                <w:lang w:val="en-US" w:eastAsia="zh-CN"/>
              </w:rPr>
              <w:t>b</w:t>
            </w:r>
            <w:r>
              <w:rPr>
                <w:rFonts w:hint="eastAsia" w:ascii="Times New Roman" w:hAnsi="Times New Roman" w:eastAsia="宋体" w:cs="Times New Roman"/>
                <w:color w:val="000000"/>
                <w:kern w:val="2"/>
                <w:szCs w:val="24"/>
                <w:lang w:val="en-US" w:eastAsia="zh-CN"/>
              </w:rPr>
              <w:t>、根据地方及企业管理需要填写，省级生态环境主管部门可根据工作需要另行规定具体适用范围和记录要求。填写时应确保固体废物的来源信息、流向信息完整准确；根据固体废物产生周期，可按日或按班次、批次填写；</w:t>
            </w:r>
          </w:p>
          <w:p w14:paraId="74D82178">
            <w:pPr>
              <w:pStyle w:val="50"/>
              <w:spacing w:line="520" w:lineRule="exact"/>
              <w:ind w:firstLine="480"/>
              <w:rPr>
                <w:rFonts w:ascii="Times New Roman" w:hAnsi="Times New Roman" w:eastAsia="宋体" w:cs="Times New Roman"/>
                <w:color w:val="000000"/>
                <w:kern w:val="2"/>
                <w:szCs w:val="24"/>
              </w:rPr>
            </w:pPr>
            <w:r>
              <w:rPr>
                <w:rFonts w:hint="default" w:ascii="Times New Roman" w:hAnsi="Times New Roman" w:eastAsia="宋体" w:cs="Times New Roman"/>
                <w:color w:val="000000"/>
                <w:kern w:val="2"/>
                <w:szCs w:val="24"/>
                <w:lang w:val="en-US" w:eastAsia="zh-CN"/>
              </w:rPr>
              <w:t>c</w:t>
            </w:r>
            <w:r>
              <w:rPr>
                <w:rFonts w:hint="eastAsia" w:ascii="Times New Roman" w:hAnsi="Times New Roman" w:eastAsia="宋体" w:cs="Times New Roman"/>
                <w:color w:val="000000"/>
                <w:kern w:val="2"/>
                <w:szCs w:val="24"/>
                <w:lang w:val="en-US" w:eastAsia="zh-CN"/>
              </w:rPr>
              <w:t>、产废单位填写台账记录表时，应当根据自身固体废物产生情况，选择对应的固体废物种类和代码，并根据固体废物种类确定固体废物的具体名称；</w:t>
            </w:r>
          </w:p>
          <w:p w14:paraId="64CE702A">
            <w:pPr>
              <w:pStyle w:val="50"/>
              <w:spacing w:line="520" w:lineRule="exact"/>
              <w:ind w:firstLine="480"/>
              <w:rPr>
                <w:rFonts w:ascii="Times New Roman" w:hAnsi="Times New Roman" w:eastAsia="宋体" w:cs="Times New Roman"/>
                <w:color w:val="000000"/>
                <w:kern w:val="2"/>
                <w:szCs w:val="24"/>
              </w:rPr>
            </w:pPr>
            <w:r>
              <w:rPr>
                <w:rFonts w:hint="default" w:ascii="Times New Roman" w:hAnsi="Times New Roman" w:eastAsia="宋体" w:cs="Times New Roman"/>
                <w:color w:val="000000"/>
                <w:kern w:val="2"/>
                <w:szCs w:val="24"/>
                <w:lang w:val="en-US" w:eastAsia="zh-CN"/>
              </w:rPr>
              <w:t>d</w:t>
            </w:r>
            <w:r>
              <w:rPr>
                <w:rFonts w:hint="eastAsia" w:ascii="Times New Roman" w:hAnsi="Times New Roman" w:eastAsia="宋体" w:cs="Times New Roman"/>
                <w:color w:val="000000"/>
                <w:kern w:val="2"/>
                <w:szCs w:val="24"/>
                <w:lang w:val="en-US" w:eastAsia="zh-CN"/>
              </w:rPr>
              <w:t xml:space="preserve">、鼓励产废单位采用国家建立的一般工业固体废物管理电子台账，简化数据填写、台账管理等工作。地方和企业自行开发的电子台账要实现与国家系统对接。建立电子台账的产废单位，可不再记录纸质台账； </w:t>
            </w:r>
          </w:p>
          <w:p w14:paraId="7D6A56D1">
            <w:pPr>
              <w:pStyle w:val="50"/>
              <w:spacing w:line="520" w:lineRule="exact"/>
              <w:ind w:firstLine="480"/>
              <w:rPr>
                <w:rFonts w:ascii="Times New Roman" w:hAnsi="Times New Roman" w:eastAsia="宋体" w:cs="Times New Roman"/>
                <w:color w:val="000000"/>
                <w:kern w:val="2"/>
                <w:szCs w:val="24"/>
              </w:rPr>
            </w:pPr>
            <w:r>
              <w:rPr>
                <w:rFonts w:hint="default" w:ascii="Times New Roman" w:hAnsi="Times New Roman" w:eastAsia="宋体" w:cs="Times New Roman"/>
                <w:color w:val="000000"/>
                <w:kern w:val="2"/>
                <w:szCs w:val="24"/>
                <w:lang w:val="en-US" w:eastAsia="zh-CN"/>
              </w:rPr>
              <w:t>e</w:t>
            </w:r>
            <w:r>
              <w:rPr>
                <w:rFonts w:hint="eastAsia" w:ascii="Times New Roman" w:hAnsi="Times New Roman" w:eastAsia="宋体" w:cs="Times New Roman"/>
                <w:color w:val="000000"/>
                <w:kern w:val="2"/>
                <w:szCs w:val="24"/>
                <w:lang w:val="en-US" w:eastAsia="zh-CN"/>
              </w:rPr>
              <w:t>、台账记录表各表单的负责人对记录信息的真实性、完整性和规范性负责；</w:t>
            </w:r>
          </w:p>
          <w:p w14:paraId="308EBE1D">
            <w:pPr>
              <w:pStyle w:val="50"/>
              <w:spacing w:line="520" w:lineRule="exact"/>
              <w:ind w:firstLine="480"/>
              <w:rPr>
                <w:rFonts w:ascii="Times New Roman" w:hAnsi="Times New Roman" w:eastAsia="宋体" w:cs="Times New Roman"/>
                <w:color w:val="000000"/>
                <w:kern w:val="2"/>
                <w:szCs w:val="24"/>
              </w:rPr>
            </w:pPr>
            <w:r>
              <w:rPr>
                <w:rFonts w:hint="default" w:ascii="Times New Roman" w:hAnsi="Times New Roman" w:eastAsia="宋体" w:cs="Times New Roman"/>
                <w:color w:val="000000"/>
                <w:kern w:val="2"/>
                <w:szCs w:val="24"/>
                <w:lang w:val="en-US" w:eastAsia="zh-CN"/>
              </w:rPr>
              <w:t>f</w:t>
            </w:r>
            <w:r>
              <w:rPr>
                <w:rFonts w:hint="eastAsia" w:ascii="Times New Roman" w:hAnsi="Times New Roman" w:eastAsia="宋体" w:cs="Times New Roman"/>
                <w:color w:val="000000"/>
                <w:kern w:val="2"/>
                <w:szCs w:val="24"/>
                <w:lang w:val="en-US" w:eastAsia="zh-CN"/>
              </w:rPr>
              <w:t>、产废单位应当设立专人负责台账的管理与归档，一般工业固体废物管理台账保存期限不少于</w:t>
            </w:r>
            <w:r>
              <w:rPr>
                <w:rFonts w:hint="default" w:ascii="Times New Roman" w:hAnsi="Times New Roman" w:eastAsia="宋体" w:cs="Times New Roman"/>
                <w:color w:val="000000"/>
                <w:kern w:val="2"/>
                <w:szCs w:val="24"/>
                <w:lang w:val="en-US" w:eastAsia="zh-CN"/>
              </w:rPr>
              <w:t>5</w:t>
            </w:r>
            <w:r>
              <w:rPr>
                <w:rFonts w:hint="eastAsia" w:ascii="Times New Roman" w:hAnsi="Times New Roman" w:eastAsia="宋体" w:cs="Times New Roman"/>
                <w:color w:val="000000"/>
                <w:kern w:val="2"/>
                <w:szCs w:val="24"/>
                <w:lang w:val="en-US" w:eastAsia="zh-CN"/>
              </w:rPr>
              <w:t>年。</w:t>
            </w:r>
          </w:p>
          <w:p w14:paraId="7789E1EF">
            <w:pPr>
              <w:pStyle w:val="50"/>
              <w:spacing w:line="520" w:lineRule="exact"/>
              <w:ind w:firstLine="480"/>
              <w:rPr>
                <w:rFonts w:ascii="Times New Roman" w:hAnsi="Times New Roman" w:eastAsia="宋体" w:cs="Times New Roman"/>
                <w:color w:val="000000"/>
                <w:kern w:val="2"/>
                <w:szCs w:val="24"/>
              </w:rPr>
            </w:pPr>
            <w:r>
              <w:rPr>
                <w:rFonts w:hint="default" w:ascii="Times New Roman" w:hAnsi="Times New Roman" w:eastAsia="宋体" w:cs="Times New Roman"/>
                <w:color w:val="000000"/>
                <w:kern w:val="2"/>
                <w:szCs w:val="24"/>
                <w:lang w:val="en-US" w:eastAsia="zh-CN"/>
              </w:rPr>
              <w:t>g</w:t>
            </w:r>
            <w:r>
              <w:rPr>
                <w:rFonts w:hint="eastAsia" w:ascii="Times New Roman" w:hAnsi="Times New Roman" w:eastAsia="宋体" w:cs="Times New Roman"/>
                <w:color w:val="000000"/>
                <w:kern w:val="2"/>
                <w:szCs w:val="24"/>
                <w:lang w:val="en-US" w:eastAsia="zh-CN"/>
              </w:rPr>
              <w:t>、鼓励有条件的产废单位在固体废物产生场所、贮存场所及磅秤位置等关键点位设置视频监控，提高台账记录信息的准确性。</w:t>
            </w:r>
          </w:p>
          <w:p w14:paraId="0EB94E30">
            <w:pPr>
              <w:widowControl/>
              <w:adjustRightInd w:val="0"/>
              <w:snapToGrid w:val="0"/>
              <w:spacing w:line="520" w:lineRule="exact"/>
              <w:ind w:firstLine="480" w:firstLineChars="200"/>
              <w:rPr>
                <w:color w:val="000000"/>
                <w:sz w:val="24"/>
              </w:rPr>
            </w:pPr>
            <w:r>
              <w:rPr>
                <w:rFonts w:hint="eastAsia"/>
                <w:color w:val="000000"/>
                <w:sz w:val="24"/>
                <w:lang w:val="en-US" w:eastAsia="zh-CN"/>
              </w:rPr>
              <w:t>4.3.2</w:t>
            </w:r>
            <w:r>
              <w:rPr>
                <w:color w:val="000000"/>
                <w:sz w:val="24"/>
              </w:rPr>
              <w:t>危险废物</w:t>
            </w:r>
          </w:p>
          <w:p w14:paraId="6624C5D9">
            <w:pPr>
              <w:pStyle w:val="13"/>
              <w:spacing w:before="0" w:line="520" w:lineRule="exact"/>
              <w:ind w:left="0" w:right="0" w:firstLine="480" w:firstLineChars="200"/>
              <w:rPr>
                <w:rFonts w:hint="default" w:ascii="Times New Roman" w:hAnsi="Times New Roman"/>
                <w:color w:val="000000"/>
                <w:sz w:val="24"/>
                <w:szCs w:val="24"/>
              </w:rPr>
            </w:pPr>
            <w:r>
              <w:rPr>
                <w:rFonts w:hint="default" w:ascii="Times New Roman" w:hAnsi="Times New Roman"/>
                <w:color w:val="000000"/>
                <w:sz w:val="24"/>
                <w:szCs w:val="24"/>
              </w:rPr>
              <w:t>项目运营期危险废物主要为设备保养产生的废</w:t>
            </w:r>
            <w:r>
              <w:rPr>
                <w:rFonts w:hint="eastAsia"/>
                <w:color w:val="000000"/>
                <w:sz w:val="24"/>
                <w:szCs w:val="24"/>
                <w:lang w:val="en-US" w:eastAsia="zh-CN"/>
              </w:rPr>
              <w:t>润滑油和废润滑油桶</w:t>
            </w:r>
            <w:r>
              <w:rPr>
                <w:rFonts w:hint="default" w:ascii="Times New Roman" w:hAnsi="Times New Roman"/>
                <w:color w:val="000000"/>
                <w:sz w:val="24"/>
                <w:szCs w:val="24"/>
              </w:rPr>
              <w:t>，废</w:t>
            </w:r>
            <w:r>
              <w:rPr>
                <w:rFonts w:hint="eastAsia"/>
                <w:color w:val="000000"/>
                <w:sz w:val="24"/>
                <w:szCs w:val="24"/>
                <w:lang w:val="en-US" w:eastAsia="zh-CN"/>
              </w:rPr>
              <w:t>润滑油</w:t>
            </w:r>
            <w:r>
              <w:rPr>
                <w:rFonts w:hint="default" w:ascii="Times New Roman" w:hAnsi="Times New Roman"/>
                <w:color w:val="000000"/>
                <w:sz w:val="24"/>
                <w:szCs w:val="24"/>
              </w:rPr>
              <w:t>产生量为</w:t>
            </w:r>
            <w:r>
              <w:rPr>
                <w:rFonts w:ascii="Times New Roman" w:hAnsi="Times New Roman"/>
                <w:color w:val="000000"/>
                <w:sz w:val="24"/>
                <w:szCs w:val="24"/>
              </w:rPr>
              <w:t>0.</w:t>
            </w:r>
            <w:r>
              <w:rPr>
                <w:rFonts w:hint="eastAsia"/>
                <w:color w:val="000000"/>
                <w:sz w:val="24"/>
                <w:szCs w:val="24"/>
                <w:lang w:val="en-US" w:eastAsia="zh-CN"/>
              </w:rPr>
              <w:t>0</w:t>
            </w:r>
            <w:r>
              <w:rPr>
                <w:rFonts w:hint="eastAsia"/>
                <w:color w:val="000000"/>
                <w:sz w:val="24"/>
                <w:szCs w:val="24"/>
                <w:lang w:eastAsia="zh-CN"/>
              </w:rPr>
              <w:t>2</w:t>
            </w:r>
            <w:r>
              <w:rPr>
                <w:rFonts w:hint="default" w:ascii="Times New Roman" w:hAnsi="Times New Roman"/>
                <w:color w:val="000000"/>
                <w:sz w:val="24"/>
                <w:szCs w:val="24"/>
              </w:rPr>
              <w:t>t/a</w:t>
            </w:r>
            <w:r>
              <w:rPr>
                <w:rFonts w:hint="eastAsia"/>
                <w:color w:val="000000"/>
                <w:sz w:val="24"/>
                <w:szCs w:val="24"/>
                <w:lang w:eastAsia="zh-CN"/>
              </w:rPr>
              <w:t>，</w:t>
            </w:r>
            <w:r>
              <w:rPr>
                <w:rFonts w:hint="default" w:ascii="Times New Roman" w:hAnsi="Times New Roman"/>
                <w:color w:val="000000"/>
                <w:sz w:val="24"/>
                <w:szCs w:val="24"/>
              </w:rPr>
              <w:t>废</w:t>
            </w:r>
            <w:r>
              <w:rPr>
                <w:rFonts w:hint="eastAsia"/>
                <w:color w:val="000000"/>
                <w:sz w:val="24"/>
                <w:szCs w:val="24"/>
                <w:lang w:val="en-US" w:eastAsia="zh-CN"/>
              </w:rPr>
              <w:t>润滑油桶产生量为</w:t>
            </w:r>
            <w:r>
              <w:rPr>
                <w:rFonts w:ascii="Times New Roman" w:hAnsi="Times New Roman"/>
                <w:color w:val="000000"/>
                <w:sz w:val="24"/>
                <w:szCs w:val="24"/>
              </w:rPr>
              <w:t>0.</w:t>
            </w:r>
            <w:r>
              <w:rPr>
                <w:rFonts w:hint="eastAsia" w:ascii="Times New Roman" w:hAnsi="Times New Roman"/>
                <w:color w:val="000000"/>
                <w:sz w:val="24"/>
                <w:szCs w:val="24"/>
                <w:lang w:val="en-US" w:eastAsia="zh-CN"/>
              </w:rPr>
              <w:t>0</w:t>
            </w:r>
            <w:r>
              <w:rPr>
                <w:rFonts w:hint="eastAsia"/>
                <w:color w:val="000000"/>
                <w:sz w:val="24"/>
                <w:szCs w:val="24"/>
                <w:lang w:val="en-US" w:eastAsia="zh-CN"/>
              </w:rPr>
              <w:t>2</w:t>
            </w:r>
            <w:r>
              <w:rPr>
                <w:rFonts w:hint="default" w:ascii="Times New Roman" w:hAnsi="Times New Roman"/>
                <w:color w:val="000000"/>
                <w:sz w:val="24"/>
                <w:szCs w:val="24"/>
              </w:rPr>
              <w:t>t/a。危险废物收集后</w:t>
            </w:r>
            <w:r>
              <w:rPr>
                <w:rFonts w:hint="eastAsia"/>
                <w:color w:val="000000"/>
                <w:sz w:val="24"/>
                <w:szCs w:val="24"/>
                <w:lang w:val="en-US" w:eastAsia="zh-CN"/>
              </w:rPr>
              <w:t>在</w:t>
            </w:r>
            <w:r>
              <w:rPr>
                <w:rFonts w:hint="default" w:ascii="Times New Roman" w:hAnsi="Times New Roman"/>
                <w:color w:val="000000"/>
                <w:sz w:val="24"/>
                <w:szCs w:val="24"/>
              </w:rPr>
              <w:t>厂区内一座</w:t>
            </w:r>
            <w:r>
              <w:rPr>
                <w:rFonts w:hint="eastAsia"/>
                <w:color w:val="000000"/>
                <w:sz w:val="24"/>
                <w:szCs w:val="24"/>
                <w:lang w:val="en-US" w:eastAsia="zh-CN"/>
              </w:rPr>
              <w:t>4</w:t>
            </w:r>
            <w:r>
              <w:rPr>
                <w:rFonts w:hint="default" w:ascii="Times New Roman" w:hAnsi="Times New Roman"/>
                <w:color w:val="000000"/>
                <w:sz w:val="24"/>
                <w:szCs w:val="24"/>
              </w:rPr>
              <w:t>m</w:t>
            </w:r>
            <w:r>
              <w:rPr>
                <w:rFonts w:hint="default" w:ascii="Times New Roman" w:hAnsi="Times New Roman"/>
                <w:color w:val="000000"/>
                <w:sz w:val="24"/>
                <w:szCs w:val="24"/>
                <w:vertAlign w:val="superscript"/>
              </w:rPr>
              <w:t>2</w:t>
            </w:r>
            <w:r>
              <w:rPr>
                <w:rFonts w:hint="default" w:ascii="Times New Roman" w:hAnsi="Times New Roman"/>
                <w:color w:val="000000"/>
                <w:sz w:val="24"/>
                <w:szCs w:val="24"/>
              </w:rPr>
              <w:t>危险废物暂存间暂存后，定期交有资质</w:t>
            </w:r>
            <w:r>
              <w:rPr>
                <w:rFonts w:hint="eastAsia"/>
                <w:color w:val="000000"/>
                <w:sz w:val="24"/>
                <w:szCs w:val="24"/>
                <w:lang w:val="en-US" w:eastAsia="zh-CN"/>
              </w:rPr>
              <w:t>的</w:t>
            </w:r>
            <w:r>
              <w:rPr>
                <w:rFonts w:hint="default" w:ascii="Times New Roman" w:hAnsi="Times New Roman"/>
                <w:color w:val="000000"/>
                <w:sz w:val="24"/>
                <w:szCs w:val="24"/>
              </w:rPr>
              <w:t>单位</w:t>
            </w:r>
            <w:r>
              <w:rPr>
                <w:rFonts w:hint="eastAsia"/>
                <w:color w:val="000000"/>
                <w:sz w:val="24"/>
                <w:szCs w:val="24"/>
                <w:lang w:val="en-US" w:eastAsia="zh-CN"/>
              </w:rPr>
              <w:t>进行安全</w:t>
            </w:r>
            <w:r>
              <w:rPr>
                <w:rFonts w:hint="default" w:ascii="Times New Roman" w:hAnsi="Times New Roman"/>
                <w:color w:val="000000"/>
                <w:sz w:val="24"/>
                <w:szCs w:val="24"/>
              </w:rPr>
              <w:t>处理。</w:t>
            </w:r>
          </w:p>
          <w:p w14:paraId="3BC9BE3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根据河南省环保厅发布的《河南省危险废物规范化管理工作指南（试行）》要求，所有危险废物产生和经营单位应建造专用危险废物贮存设施，贮存设施应当符合《危险废物贮存污染控制标准》（GB18597-20</w:t>
            </w:r>
            <w:r>
              <w:rPr>
                <w:rFonts w:hint="default" w:ascii="Times New Roman" w:hAnsi="Times New Roman" w:cs="Times New Roman"/>
                <w:color w:val="000000"/>
                <w:sz w:val="24"/>
                <w:szCs w:val="24"/>
                <w:u w:val="none"/>
                <w:lang w:val="en-US" w:eastAsia="zh-CN"/>
              </w:rPr>
              <w:t>23</w:t>
            </w:r>
            <w:r>
              <w:rPr>
                <w:rFonts w:hint="default" w:ascii="Times New Roman" w:hAnsi="Times New Roman" w:cs="Times New Roman"/>
                <w:color w:val="000000"/>
                <w:sz w:val="24"/>
                <w:szCs w:val="24"/>
                <w:u w:val="none"/>
              </w:rPr>
              <w:t>）的要求。本项目</w:t>
            </w:r>
            <w:r>
              <w:rPr>
                <w:rFonts w:hint="default" w:ascii="Times New Roman" w:hAnsi="Times New Roman" w:cs="Times New Roman"/>
                <w:color w:val="000000"/>
                <w:sz w:val="24"/>
                <w:szCs w:val="24"/>
                <w:u w:val="none"/>
                <w:lang w:val="en-US" w:eastAsia="zh-CN"/>
              </w:rPr>
              <w:t>拟</w:t>
            </w:r>
            <w:r>
              <w:rPr>
                <w:rFonts w:hint="default" w:ascii="Times New Roman" w:hAnsi="Times New Roman" w:cs="Times New Roman"/>
                <w:color w:val="000000"/>
                <w:sz w:val="24"/>
                <w:szCs w:val="24"/>
                <w:u w:val="none"/>
              </w:rPr>
              <w:t>设置一座危险废物暂存间（面积</w:t>
            </w:r>
            <w:r>
              <w:rPr>
                <w:rFonts w:hint="eastAsia" w:ascii="Times New Roman" w:hAnsi="Times New Roman" w:cs="Times New Roman"/>
                <w:color w:val="000000"/>
                <w:sz w:val="24"/>
                <w:szCs w:val="24"/>
                <w:u w:val="none"/>
                <w:lang w:val="en-US" w:eastAsia="zh-CN"/>
              </w:rPr>
              <w:t>4</w:t>
            </w:r>
            <w:r>
              <w:rPr>
                <w:rFonts w:hint="default" w:ascii="Times New Roman" w:hAnsi="Times New Roman" w:cs="Times New Roman"/>
                <w:color w:val="000000"/>
                <w:sz w:val="24"/>
                <w:szCs w:val="24"/>
                <w:u w:val="none"/>
              </w:rPr>
              <w:t>m</w:t>
            </w:r>
            <w:r>
              <w:rPr>
                <w:rFonts w:hint="default" w:ascii="Times New Roman" w:hAnsi="Times New Roman" w:cs="Times New Roman"/>
                <w:color w:val="000000"/>
                <w:sz w:val="24"/>
                <w:szCs w:val="24"/>
                <w:u w:val="none"/>
                <w:vertAlign w:val="superscript"/>
              </w:rPr>
              <w:t>2</w:t>
            </w:r>
            <w:r>
              <w:rPr>
                <w:rFonts w:hint="default" w:ascii="Times New Roman" w:hAnsi="Times New Roman" w:cs="Times New Roman"/>
                <w:color w:val="000000"/>
                <w:sz w:val="24"/>
                <w:szCs w:val="24"/>
                <w:u w:val="none"/>
              </w:rPr>
              <w:t>）。本次环评针对危险废物贮存提出以下管理及防治措施：</w:t>
            </w:r>
          </w:p>
          <w:p w14:paraId="32FB95F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①建设完善的管理制度</w:t>
            </w:r>
          </w:p>
          <w:p w14:paraId="23CFA69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危险废物暂存间设置明显的警示标志，四周设置围堰，同时设置专人进行管理，制定有关危险废物管理制度，记录危险废物的产生、储存及处置情况。</w:t>
            </w:r>
          </w:p>
          <w:p w14:paraId="5B28B55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②危险废物贮存设施的建设要求</w:t>
            </w:r>
          </w:p>
          <w:p w14:paraId="27ECE76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厂区危险废物暂存间的设置应按照《危险废物贮存污染控制标准》（GB18597-20</w:t>
            </w:r>
            <w:r>
              <w:rPr>
                <w:rFonts w:hint="default" w:ascii="Times New Roman" w:hAnsi="Times New Roman" w:cs="Times New Roman"/>
                <w:color w:val="000000"/>
                <w:sz w:val="24"/>
                <w:szCs w:val="24"/>
                <w:u w:val="none"/>
                <w:lang w:val="en-US" w:eastAsia="zh-CN"/>
              </w:rPr>
              <w:t>23</w:t>
            </w:r>
            <w:r>
              <w:rPr>
                <w:rFonts w:hint="default" w:ascii="Times New Roman" w:hAnsi="Times New Roman" w:cs="Times New Roman"/>
                <w:color w:val="000000"/>
                <w:sz w:val="24"/>
                <w:szCs w:val="24"/>
                <w:u w:val="none"/>
              </w:rPr>
              <w:t>）的要求实施。具体要求为：</w:t>
            </w:r>
          </w:p>
          <w:p w14:paraId="0DE2619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lang w:val="en-US" w:eastAsia="zh-CN"/>
              </w:rPr>
              <w:t>A：</w:t>
            </w:r>
            <w:r>
              <w:rPr>
                <w:rFonts w:hint="default" w:ascii="Times New Roman" w:hAnsi="Times New Roman" w:eastAsia="宋体" w:cs="Times New Roman"/>
                <w:sz w:val="24"/>
                <w:szCs w:val="24"/>
                <w:u w:val="none"/>
              </w:rPr>
              <w:t>贮存设施应根据危险废物的形态、物理化学性质、包装形式和污染物迁移途径，采取必要的防风、防晒、防雨、防漏、防渗、防腐以及其他环境污染防治措施，不应露天堆放危险废物。</w:t>
            </w:r>
          </w:p>
          <w:p w14:paraId="6E8F789E">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lang w:val="en-US" w:eastAsia="zh-CN"/>
              </w:rPr>
              <w:t>B：</w:t>
            </w:r>
            <w:r>
              <w:rPr>
                <w:rFonts w:hint="default" w:ascii="Times New Roman" w:hAnsi="Times New Roman" w:eastAsia="宋体" w:cs="Times New Roman"/>
                <w:sz w:val="24"/>
                <w:szCs w:val="24"/>
                <w:u w:val="none"/>
              </w:rPr>
              <w:t>贮存设施应根据危险废物的类别、数量、形态、物理化学性质和污染防治等要求设置必要的贮存分区，避免不相容的危险废物接触、混合。</w:t>
            </w:r>
          </w:p>
          <w:p w14:paraId="291B1E5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lang w:val="en-US" w:eastAsia="zh-CN"/>
              </w:rPr>
              <w:t>C：</w:t>
            </w:r>
            <w:r>
              <w:rPr>
                <w:rFonts w:hint="default" w:ascii="Times New Roman" w:hAnsi="Times New Roman" w:eastAsia="宋体" w:cs="Times New Roman"/>
                <w:sz w:val="24"/>
                <w:szCs w:val="24"/>
                <w:u w:val="none"/>
              </w:rPr>
              <w:t>贮存设施或贮存分区内地面、墙面裙脚、堵截泄漏的围堰、接触危险废物的隔板和墙体等应采用坚固的材料建造，表面无裂缝。</w:t>
            </w:r>
          </w:p>
          <w:p w14:paraId="5D50F65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lang w:val="en-US" w:eastAsia="zh-CN"/>
              </w:rPr>
              <w:t>D：</w:t>
            </w:r>
            <w:r>
              <w:rPr>
                <w:rFonts w:hint="default" w:ascii="Times New Roman" w:hAnsi="Times New Roman" w:eastAsia="宋体" w:cs="Times New Roman"/>
                <w:sz w:val="24"/>
                <w:szCs w:val="24"/>
                <w:u w:val="none"/>
              </w:rPr>
              <w:t xml:space="preserve">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 </w:t>
            </w:r>
            <w:r>
              <w:rPr>
                <w:rFonts w:hint="default" w:ascii="Times New Roman" w:hAnsi="Times New Roman" w:eastAsia="宋体" w:cs="Times New Roman"/>
                <w:sz w:val="24"/>
                <w:szCs w:val="24"/>
                <w:u w:val="none"/>
                <w:vertAlign w:val="superscript"/>
              </w:rPr>
              <w:t>-7</w:t>
            </w:r>
            <w:r>
              <w:rPr>
                <w:rFonts w:hint="default" w:ascii="Times New Roman" w:hAnsi="Times New Roman" w:eastAsia="宋体" w:cs="Times New Roman"/>
                <w:sz w:val="24"/>
                <w:szCs w:val="24"/>
                <w:u w:val="none"/>
              </w:rPr>
              <w:t xml:space="preserve"> cm/s），或至少2mm厚高密度聚乙烯膜等人工防渗材料（渗透系数不大于10 </w:t>
            </w:r>
            <w:r>
              <w:rPr>
                <w:rFonts w:hint="default" w:ascii="Times New Roman" w:hAnsi="Times New Roman" w:eastAsia="宋体" w:cs="Times New Roman"/>
                <w:sz w:val="24"/>
                <w:szCs w:val="24"/>
                <w:u w:val="none"/>
                <w:vertAlign w:val="superscript"/>
              </w:rPr>
              <w:t>-10</w:t>
            </w:r>
            <w:r>
              <w:rPr>
                <w:rFonts w:hint="default" w:ascii="Times New Roman" w:hAnsi="Times New Roman" w:eastAsia="宋体" w:cs="Times New Roman"/>
                <w:sz w:val="24"/>
                <w:szCs w:val="24"/>
                <w:u w:val="none"/>
              </w:rPr>
              <w:t>cm/s），或其他防渗性能等效的材料。</w:t>
            </w:r>
          </w:p>
          <w:p w14:paraId="2D22C19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lang w:val="en-US" w:eastAsia="zh-CN"/>
              </w:rPr>
              <w:t>E：</w:t>
            </w:r>
            <w:r>
              <w:rPr>
                <w:rFonts w:hint="default" w:ascii="Times New Roman" w:hAnsi="Times New Roman" w:eastAsia="宋体" w:cs="Times New Roman"/>
                <w:sz w:val="24"/>
                <w:szCs w:val="24"/>
                <w:u w:val="none"/>
              </w:rPr>
              <w:t>同一贮存设施宜采用相同的防渗、防腐工艺（包括防渗、防腐结构或材料），防渗、防腐材料应覆盖所有可能与废物及其渗滤液、渗漏液等接触的构筑物表面；采用不同防渗、防腐工艺应分别建设贮存分区。</w:t>
            </w:r>
          </w:p>
          <w:p w14:paraId="0362296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lang w:val="en-US" w:eastAsia="zh-CN"/>
              </w:rPr>
              <w:t>F：</w:t>
            </w:r>
            <w:r>
              <w:rPr>
                <w:rFonts w:hint="default" w:ascii="Times New Roman" w:hAnsi="Times New Roman" w:eastAsia="宋体" w:cs="Times New Roman"/>
                <w:sz w:val="24"/>
                <w:szCs w:val="24"/>
                <w:u w:val="none"/>
              </w:rPr>
              <w:t>贮存设施应采取技术和管理措施防止无关人员进入。</w:t>
            </w:r>
          </w:p>
          <w:p w14:paraId="3DACAF9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③危险废物贮存容器的相关要求</w:t>
            </w:r>
          </w:p>
          <w:p w14:paraId="781354C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default" w:ascii="Times New Roman" w:hAnsi="Times New Roman" w:eastAsia="宋体" w:cs="Times New Roman"/>
                <w:sz w:val="24"/>
                <w:szCs w:val="24"/>
                <w:u w:val="none"/>
                <w:lang w:val="en-US" w:eastAsia="zh-CN"/>
              </w:rPr>
              <w:t>A：</w:t>
            </w:r>
            <w:r>
              <w:rPr>
                <w:rFonts w:hint="default" w:ascii="Times New Roman" w:hAnsi="Times New Roman" w:cs="Times New Roman"/>
                <w:color w:val="000000"/>
                <w:sz w:val="24"/>
                <w:szCs w:val="24"/>
                <w:u w:val="none"/>
              </w:rPr>
              <w:t>容器和包装物材质、内衬应与盛装的危险废物相容。</w:t>
            </w:r>
          </w:p>
          <w:p w14:paraId="156DA1F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eastAsia" w:cs="Times New Roman"/>
                <w:sz w:val="24"/>
                <w:szCs w:val="24"/>
                <w:u w:val="none"/>
                <w:lang w:val="en-US" w:eastAsia="zh-CN"/>
              </w:rPr>
              <w:t>B</w:t>
            </w:r>
            <w:r>
              <w:rPr>
                <w:rFonts w:hint="default" w:ascii="Times New Roman" w:hAnsi="Times New Roman" w:eastAsia="宋体" w:cs="Times New Roman"/>
                <w:sz w:val="24"/>
                <w:szCs w:val="24"/>
                <w:u w:val="none"/>
                <w:lang w:val="en-US" w:eastAsia="zh-CN"/>
              </w:rPr>
              <w:t>：</w:t>
            </w:r>
            <w:r>
              <w:rPr>
                <w:rFonts w:hint="default" w:ascii="Times New Roman" w:hAnsi="Times New Roman" w:cs="Times New Roman"/>
                <w:color w:val="000000"/>
                <w:sz w:val="24"/>
                <w:szCs w:val="24"/>
                <w:u w:val="none"/>
              </w:rPr>
              <w:t>硬质容器和包装物及其支护结构堆叠码放时不应有明显变形，无破损泄漏。</w:t>
            </w:r>
          </w:p>
          <w:p w14:paraId="39EFF6C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eastAsia" w:cs="Times New Roman"/>
                <w:sz w:val="24"/>
                <w:szCs w:val="24"/>
                <w:u w:val="none"/>
                <w:lang w:val="en-US" w:eastAsia="zh-CN"/>
              </w:rPr>
              <w:t>C</w:t>
            </w:r>
            <w:r>
              <w:rPr>
                <w:rFonts w:hint="default" w:ascii="Times New Roman" w:hAnsi="Times New Roman" w:eastAsia="宋体" w:cs="Times New Roman"/>
                <w:sz w:val="24"/>
                <w:szCs w:val="24"/>
                <w:u w:val="none"/>
                <w:lang w:val="en-US" w:eastAsia="zh-CN"/>
              </w:rPr>
              <w:t>：</w:t>
            </w:r>
            <w:r>
              <w:rPr>
                <w:rFonts w:hint="default" w:ascii="Times New Roman" w:hAnsi="Times New Roman" w:cs="Times New Roman"/>
                <w:color w:val="000000"/>
                <w:sz w:val="24"/>
                <w:szCs w:val="24"/>
                <w:u w:val="none"/>
              </w:rPr>
              <w:t>柔性容器和包装物堆叠码放时应封口严密，无破损泄漏。</w:t>
            </w:r>
          </w:p>
          <w:p w14:paraId="40AB094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eastAsia" w:cs="Times New Roman"/>
                <w:sz w:val="24"/>
                <w:szCs w:val="24"/>
                <w:u w:val="none"/>
                <w:lang w:val="en-US" w:eastAsia="zh-CN"/>
              </w:rPr>
              <w:t>D</w:t>
            </w:r>
            <w:r>
              <w:rPr>
                <w:rFonts w:hint="default" w:ascii="Times New Roman" w:hAnsi="Times New Roman" w:eastAsia="宋体" w:cs="Times New Roman"/>
                <w:sz w:val="24"/>
                <w:szCs w:val="24"/>
                <w:u w:val="none"/>
                <w:lang w:val="en-US" w:eastAsia="zh-CN"/>
              </w:rPr>
              <w:t>：</w:t>
            </w:r>
            <w:r>
              <w:rPr>
                <w:rFonts w:hint="default" w:ascii="Times New Roman" w:hAnsi="Times New Roman" w:cs="Times New Roman"/>
                <w:color w:val="000000"/>
                <w:sz w:val="24"/>
                <w:szCs w:val="24"/>
                <w:u w:val="none"/>
              </w:rPr>
              <w:t>使用容器盛装液态、半固态危险废物时，容器内部应留有适当的空间，以适应因温度变化等可能引发的收缩和膨胀，防止其导致容器渗漏或永久变形。</w:t>
            </w:r>
          </w:p>
          <w:p w14:paraId="76D3D08A">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④危险废物贮存设施的运行与管理要求</w:t>
            </w:r>
          </w:p>
          <w:p w14:paraId="7BBD97F6">
            <w:pPr>
              <w:pStyle w:val="57"/>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000000"/>
                <w:sz w:val="24"/>
                <w:szCs w:val="24"/>
                <w:u w:val="none"/>
              </w:rPr>
            </w:pPr>
            <w:r>
              <w:rPr>
                <w:rFonts w:hint="default" w:ascii="Times New Roman" w:hAnsi="Times New Roman" w:eastAsia="宋体" w:cs="Times New Roman"/>
                <w:sz w:val="24"/>
                <w:szCs w:val="24"/>
                <w:u w:val="none"/>
                <w:lang w:val="en-US" w:eastAsia="zh-CN"/>
              </w:rPr>
              <w:t>A：</w:t>
            </w:r>
            <w:r>
              <w:rPr>
                <w:rFonts w:hint="default" w:ascii="Times New Roman" w:hAnsi="Times New Roman" w:cs="Times New Roman"/>
                <w:color w:val="000000"/>
                <w:sz w:val="24"/>
                <w:szCs w:val="24"/>
                <w:u w:val="none"/>
              </w:rPr>
              <w:t>危险废物存入贮存设施前应对危险废物类别和特性与危险废物标签等危险废物识别标志的一致性进行核验，不一致的或类别、特性不明的不应存入。</w:t>
            </w:r>
          </w:p>
          <w:p w14:paraId="54AFDA71">
            <w:pPr>
              <w:pStyle w:val="57"/>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000000"/>
                <w:sz w:val="24"/>
                <w:szCs w:val="24"/>
                <w:u w:val="none"/>
              </w:rPr>
            </w:pPr>
            <w:r>
              <w:rPr>
                <w:rFonts w:hint="default" w:ascii="Times New Roman" w:hAnsi="Times New Roman" w:eastAsia="宋体" w:cs="Times New Roman"/>
                <w:sz w:val="24"/>
                <w:szCs w:val="24"/>
                <w:u w:val="none"/>
                <w:lang w:val="en-US" w:eastAsia="zh-CN"/>
              </w:rPr>
              <w:t>B：</w:t>
            </w:r>
            <w:r>
              <w:rPr>
                <w:rFonts w:hint="default" w:ascii="Times New Roman" w:hAnsi="Times New Roman" w:cs="Times New Roman"/>
                <w:color w:val="000000"/>
                <w:sz w:val="24"/>
                <w:szCs w:val="24"/>
                <w:u w:val="none"/>
              </w:rPr>
              <w:t>应定期检查危险废物的贮存状况，及时清理贮存设施地面，更换破损泄漏的危险废物贮存容器和包装物，保证堆存危险废物的防雨、防风、防扬尘等设施功能完好。</w:t>
            </w:r>
          </w:p>
          <w:p w14:paraId="7A38C8AA">
            <w:pPr>
              <w:pStyle w:val="57"/>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000000"/>
                <w:sz w:val="24"/>
                <w:szCs w:val="24"/>
                <w:u w:val="none"/>
              </w:rPr>
            </w:pPr>
            <w:r>
              <w:rPr>
                <w:rFonts w:hint="eastAsia" w:ascii="Times New Roman" w:hAnsi="Times New Roman" w:cs="Times New Roman"/>
                <w:sz w:val="24"/>
                <w:szCs w:val="24"/>
                <w:u w:val="none"/>
                <w:lang w:val="en-US" w:eastAsia="zh-CN"/>
              </w:rPr>
              <w:t>C</w:t>
            </w:r>
            <w:r>
              <w:rPr>
                <w:rFonts w:hint="default" w:ascii="Times New Roman" w:hAnsi="Times New Roman" w:eastAsia="宋体" w:cs="Times New Roman"/>
                <w:sz w:val="24"/>
                <w:szCs w:val="24"/>
                <w:u w:val="none"/>
                <w:lang w:val="en-US" w:eastAsia="zh-CN"/>
              </w:rPr>
              <w:t>：</w:t>
            </w:r>
            <w:r>
              <w:rPr>
                <w:rFonts w:hint="default" w:ascii="Times New Roman" w:hAnsi="Times New Roman" w:cs="Times New Roman"/>
                <w:color w:val="000000"/>
                <w:sz w:val="24"/>
                <w:szCs w:val="24"/>
                <w:u w:val="none"/>
              </w:rPr>
              <w:t>贮存设施运行期间，应按国家有关标准和规定建立危险废物管理台账并保存。</w:t>
            </w:r>
          </w:p>
          <w:p w14:paraId="3846C3B0">
            <w:pPr>
              <w:pStyle w:val="57"/>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000000"/>
                <w:sz w:val="24"/>
                <w:szCs w:val="24"/>
                <w:u w:val="none"/>
              </w:rPr>
            </w:pPr>
            <w:r>
              <w:rPr>
                <w:rFonts w:hint="eastAsia" w:ascii="Times New Roman" w:hAnsi="Times New Roman" w:cs="Times New Roman"/>
                <w:sz w:val="24"/>
                <w:szCs w:val="24"/>
                <w:u w:val="none"/>
                <w:lang w:val="en-US" w:eastAsia="zh-CN"/>
              </w:rPr>
              <w:t>D</w:t>
            </w:r>
            <w:r>
              <w:rPr>
                <w:rFonts w:hint="default" w:ascii="Times New Roman" w:hAnsi="Times New Roman" w:eastAsia="宋体" w:cs="Times New Roman"/>
                <w:sz w:val="24"/>
                <w:szCs w:val="24"/>
                <w:u w:val="none"/>
                <w:lang w:val="en-US" w:eastAsia="zh-CN"/>
              </w:rPr>
              <w:t>：</w:t>
            </w:r>
            <w:r>
              <w:rPr>
                <w:rFonts w:hint="default" w:ascii="Times New Roman" w:hAnsi="Times New Roman" w:cs="Times New Roman"/>
                <w:color w:val="000000"/>
                <w:sz w:val="24"/>
                <w:szCs w:val="24"/>
                <w:u w:val="none"/>
              </w:rPr>
              <w:t>贮存设施所有者或运营者应建立贮存设施环境管理制度、管理人员岗位职责制度、设施运行操作制度、人员岗位培训制度等。</w:t>
            </w:r>
          </w:p>
          <w:p w14:paraId="10899026">
            <w:pPr>
              <w:pStyle w:val="57"/>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000000"/>
                <w:sz w:val="24"/>
                <w:szCs w:val="24"/>
                <w:u w:val="none"/>
              </w:rPr>
            </w:pPr>
            <w:r>
              <w:rPr>
                <w:rFonts w:hint="eastAsia" w:ascii="Times New Roman" w:hAnsi="Times New Roman" w:cs="Times New Roman"/>
                <w:sz w:val="24"/>
                <w:szCs w:val="24"/>
                <w:u w:val="none"/>
                <w:lang w:val="en-US" w:eastAsia="zh-CN"/>
              </w:rPr>
              <w:t>E</w:t>
            </w:r>
            <w:r>
              <w:rPr>
                <w:rFonts w:hint="default" w:ascii="Times New Roman" w:hAnsi="Times New Roman" w:eastAsia="宋体" w:cs="Times New Roman"/>
                <w:sz w:val="24"/>
                <w:szCs w:val="24"/>
                <w:u w:val="none"/>
                <w:lang w:val="en-US" w:eastAsia="zh-CN"/>
              </w:rPr>
              <w:t>：</w:t>
            </w:r>
            <w:r>
              <w:rPr>
                <w:rFonts w:hint="default" w:ascii="Times New Roman" w:hAnsi="Times New Roman" w:cs="Times New Roman"/>
                <w:color w:val="000000"/>
                <w:sz w:val="24"/>
                <w:szCs w:val="24"/>
                <w:u w:val="none"/>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6A5FCB3A">
            <w:pPr>
              <w:pStyle w:val="57"/>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sz w:val="24"/>
                <w:szCs w:val="24"/>
                <w:u w:val="none"/>
              </w:rPr>
            </w:pPr>
            <w:r>
              <w:rPr>
                <w:rFonts w:hint="eastAsia" w:ascii="Times New Roman" w:hAnsi="Times New Roman" w:cs="Times New Roman"/>
                <w:color w:val="000000"/>
                <w:sz w:val="24"/>
                <w:szCs w:val="24"/>
                <w:u w:val="none"/>
                <w:lang w:val="en-US" w:eastAsia="zh-CN"/>
              </w:rPr>
              <w:t>F</w:t>
            </w:r>
            <w:r>
              <w:rPr>
                <w:rFonts w:hint="default" w:ascii="Times New Roman" w:hAnsi="Times New Roman" w:cs="Times New Roman"/>
                <w:color w:val="000000"/>
                <w:sz w:val="24"/>
                <w:szCs w:val="24"/>
                <w:u w:val="none"/>
                <w:lang w:val="en-US" w:eastAsia="zh-CN"/>
              </w:rPr>
              <w:t>：</w:t>
            </w:r>
            <w:r>
              <w:rPr>
                <w:rFonts w:hint="default" w:ascii="Times New Roman" w:hAnsi="Times New Roman" w:cs="Times New Roman"/>
                <w:color w:val="000000"/>
                <w:sz w:val="24"/>
                <w:szCs w:val="24"/>
                <w:u w:val="none"/>
              </w:rPr>
              <w:t>贮存设施所有者或运营者应建立贮存设施全部档案，包括设计、施工、验收、运行、监测和环境应急等，应按国家有关档案管理的法律法规进行整理和归档。</w:t>
            </w:r>
          </w:p>
          <w:p w14:paraId="42F4B0A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fldChar w:fldCharType="begin"/>
            </w:r>
            <w:r>
              <w:rPr>
                <w:rFonts w:hint="default" w:ascii="Times New Roman" w:hAnsi="Times New Roman" w:cs="Times New Roman"/>
                <w:color w:val="000000"/>
                <w:sz w:val="24"/>
                <w:szCs w:val="24"/>
                <w:u w:val="none"/>
              </w:rPr>
              <w:instrText xml:space="preserve"> = 5 \* GB3 \* MERGEFORMAT </w:instrText>
            </w:r>
            <w:r>
              <w:rPr>
                <w:rFonts w:hint="default" w:ascii="Times New Roman" w:hAnsi="Times New Roman" w:cs="Times New Roman"/>
                <w:color w:val="000000"/>
                <w:sz w:val="24"/>
                <w:szCs w:val="24"/>
                <w:u w:val="none"/>
              </w:rPr>
              <w:fldChar w:fldCharType="separate"/>
            </w:r>
            <w:r>
              <w:rPr>
                <w:rFonts w:hint="default" w:ascii="Times New Roman" w:hAnsi="Times New Roman" w:cs="Times New Roman"/>
                <w:sz w:val="24"/>
                <w:szCs w:val="24"/>
                <w:u w:val="none"/>
              </w:rPr>
              <w:t>⑤</w:t>
            </w:r>
            <w:r>
              <w:rPr>
                <w:rFonts w:hint="default" w:ascii="Times New Roman" w:hAnsi="Times New Roman" w:cs="Times New Roman"/>
                <w:color w:val="000000"/>
                <w:sz w:val="24"/>
                <w:szCs w:val="24"/>
                <w:u w:val="none"/>
              </w:rPr>
              <w:fldChar w:fldCharType="end"/>
            </w:r>
            <w:r>
              <w:rPr>
                <w:rFonts w:hint="default" w:ascii="Times New Roman" w:hAnsi="Times New Roman" w:cs="Times New Roman"/>
                <w:color w:val="000000"/>
                <w:sz w:val="24"/>
                <w:szCs w:val="24"/>
                <w:u w:val="none"/>
              </w:rPr>
              <w:t>危险废物贮存设施的安全防护</w:t>
            </w:r>
          </w:p>
          <w:p w14:paraId="050C5B8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 w:val="24"/>
                <w:szCs w:val="24"/>
                <w:u w:val="none"/>
              </w:rPr>
            </w:pPr>
            <w:r>
              <w:rPr>
                <w:rFonts w:hint="default" w:ascii="Times New Roman" w:hAnsi="Times New Roman" w:cs="Times New Roman"/>
                <w:color w:val="000000"/>
                <w:sz w:val="24"/>
                <w:szCs w:val="24"/>
                <w:u w:val="none"/>
              </w:rPr>
              <w:t>贮存点应采取防风、防雨、防晒和防止危险废物流失、扬散等措施</w:t>
            </w:r>
            <w:r>
              <w:rPr>
                <w:rFonts w:hint="default" w:ascii="Times New Roman" w:hAnsi="Times New Roman" w:cs="Times New Roman"/>
                <w:color w:val="000000"/>
                <w:sz w:val="24"/>
                <w:szCs w:val="24"/>
                <w:u w:val="none"/>
                <w:lang w:eastAsia="zh-CN"/>
              </w:rPr>
              <w:t>，贮存点应具有固定的区域边界，并应采取与其他区域进行隔离的措施，</w:t>
            </w:r>
            <w:r>
              <w:rPr>
                <w:rFonts w:hint="default" w:ascii="Times New Roman" w:hAnsi="Times New Roman" w:cs="Times New Roman"/>
                <w:color w:val="000000"/>
                <w:sz w:val="24"/>
                <w:szCs w:val="24"/>
                <w:u w:val="none"/>
              </w:rPr>
              <w:t>危险废物贮存设施必须按照GB15562.2的规定设置警示标志，贮存设施周围应设置围墙。危险废物贮存设施应配备通讯设备、照明设施、安全防护服装及工具，并设有应急防护设施。危险废物贮存设施内清理出来的泄漏物，一律按危险废物处理。</w:t>
            </w:r>
          </w:p>
          <w:p w14:paraId="0740F923">
            <w:pPr>
              <w:widowControl/>
              <w:adjustRightInd w:val="0"/>
              <w:snapToGrid w:val="0"/>
              <w:spacing w:line="520" w:lineRule="exact"/>
              <w:ind w:firstLine="480" w:firstLineChars="200"/>
              <w:rPr>
                <w:color w:val="000000"/>
                <w:sz w:val="24"/>
              </w:rPr>
            </w:pPr>
            <w:r>
              <w:rPr>
                <w:color w:val="000000"/>
                <w:sz w:val="24"/>
              </w:rPr>
              <w:t>综上所述，建设项目对固体废物均进行了合理的处置，实现</w:t>
            </w:r>
            <w:r>
              <w:rPr>
                <w:rFonts w:hint="eastAsia"/>
                <w:color w:val="000000"/>
                <w:sz w:val="24"/>
                <w:lang w:eastAsia="zh-CN"/>
              </w:rPr>
              <w:t>“</w:t>
            </w:r>
            <w:r>
              <w:rPr>
                <w:color w:val="000000"/>
                <w:sz w:val="24"/>
              </w:rPr>
              <w:t>无害化、减量化和资源化</w:t>
            </w:r>
            <w:r>
              <w:rPr>
                <w:rFonts w:hint="eastAsia"/>
                <w:color w:val="000000"/>
                <w:sz w:val="24"/>
                <w:lang w:eastAsia="zh-CN"/>
              </w:rPr>
              <w:t>”</w:t>
            </w:r>
            <w:r>
              <w:rPr>
                <w:color w:val="000000"/>
                <w:sz w:val="24"/>
              </w:rPr>
              <w:t>的要求，处置措施技术经济可行，对周围环境影响不大。</w:t>
            </w:r>
          </w:p>
          <w:p w14:paraId="397F292D">
            <w:pPr>
              <w:snapToGrid w:val="0"/>
              <w:spacing w:line="500" w:lineRule="exact"/>
              <w:ind w:firstLine="482" w:firstLineChars="200"/>
              <w:rPr>
                <w:b/>
                <w:snapToGrid w:val="0"/>
                <w:color w:val="000000"/>
                <w:sz w:val="24"/>
              </w:rPr>
            </w:pPr>
            <w:r>
              <w:rPr>
                <w:b/>
                <w:snapToGrid w:val="0"/>
                <w:color w:val="000000"/>
                <w:sz w:val="24"/>
              </w:rPr>
              <w:t>5</w:t>
            </w:r>
            <w:r>
              <w:rPr>
                <w:rFonts w:hAnsi="宋体"/>
                <w:b/>
                <w:snapToGrid w:val="0"/>
                <w:color w:val="000000"/>
                <w:sz w:val="24"/>
              </w:rPr>
              <w:t>、地下水、土壤环境影响分析</w:t>
            </w:r>
          </w:p>
          <w:p w14:paraId="32021D0B">
            <w:pPr>
              <w:spacing w:line="500" w:lineRule="exact"/>
              <w:ind w:firstLine="480" w:firstLineChars="200"/>
              <w:rPr>
                <w:b w:val="0"/>
                <w:bCs/>
                <w:color w:val="000000"/>
                <w:sz w:val="24"/>
              </w:rPr>
            </w:pPr>
            <w:r>
              <w:rPr>
                <w:rFonts w:hint="eastAsia"/>
                <w:b w:val="0"/>
                <w:bCs/>
                <w:color w:val="000000"/>
                <w:sz w:val="24"/>
              </w:rPr>
              <w:t>5</w:t>
            </w:r>
            <w:r>
              <w:rPr>
                <w:b w:val="0"/>
                <w:bCs/>
                <w:color w:val="000000"/>
                <w:sz w:val="24"/>
              </w:rPr>
              <w:t>.1</w:t>
            </w:r>
            <w:r>
              <w:rPr>
                <w:rFonts w:hint="eastAsia"/>
                <w:b w:val="0"/>
                <w:bCs/>
                <w:color w:val="000000"/>
                <w:sz w:val="24"/>
              </w:rPr>
              <w:t>主要污染途径</w:t>
            </w:r>
          </w:p>
          <w:p w14:paraId="2D8EEFC9">
            <w:pPr>
              <w:spacing w:line="500" w:lineRule="exact"/>
              <w:ind w:firstLine="480" w:firstLineChars="200"/>
              <w:jc w:val="left"/>
              <w:textAlignment w:val="baseline"/>
              <w:rPr>
                <w:rFonts w:hint="eastAsia" w:ascii="Times New Roman" w:hAnsi="Times New Roman" w:eastAsia="宋体" w:cs="Times New Roman"/>
                <w:bCs/>
                <w:color w:val="auto"/>
                <w:sz w:val="24"/>
                <w:szCs w:val="21"/>
              </w:rPr>
            </w:pPr>
            <w:r>
              <w:rPr>
                <w:rFonts w:hint="eastAsia" w:ascii="Times New Roman" w:hAnsi="Times New Roman" w:eastAsia="宋体" w:cs="Times New Roman"/>
                <w:bCs/>
                <w:color w:val="auto"/>
                <w:sz w:val="24"/>
                <w:szCs w:val="21"/>
                <w:highlight w:val="none"/>
              </w:rPr>
              <w:t>项目</w:t>
            </w:r>
            <w:r>
              <w:rPr>
                <w:rFonts w:hint="eastAsia" w:ascii="Times New Roman" w:hAnsi="Times New Roman" w:cs="Times New Roman"/>
                <w:bCs/>
                <w:color w:val="auto"/>
                <w:sz w:val="24"/>
                <w:szCs w:val="21"/>
                <w:highlight w:val="none"/>
                <w:lang w:eastAsia="zh-CN"/>
              </w:rPr>
              <w:t>生产砂石和水泥稳定土，</w:t>
            </w:r>
            <w:r>
              <w:rPr>
                <w:rFonts w:hint="eastAsia" w:ascii="Times New Roman" w:hAnsi="Times New Roman" w:eastAsia="宋体" w:cs="Times New Roman"/>
                <w:bCs/>
                <w:color w:val="auto"/>
                <w:sz w:val="24"/>
                <w:szCs w:val="21"/>
              </w:rPr>
              <w:t>根据《环境影响评价技术导则 地下水环境》（HJ610-2016），本项目属于IV类建设项目</w:t>
            </w:r>
            <w:r>
              <w:rPr>
                <w:rFonts w:hint="eastAsia" w:cs="Times New Roman"/>
                <w:bCs/>
                <w:color w:val="auto"/>
                <w:sz w:val="24"/>
                <w:szCs w:val="21"/>
                <w:lang w:eastAsia="zh-CN"/>
              </w:rPr>
              <w:t>；</w:t>
            </w:r>
            <w:r>
              <w:rPr>
                <w:color w:val="000000"/>
                <w:sz w:val="24"/>
                <w:szCs w:val="24"/>
              </w:rPr>
              <w:t>根据《环境影响评价技术导则</w:t>
            </w:r>
            <w:r>
              <w:rPr>
                <w:rFonts w:hint="eastAsia"/>
                <w:color w:val="000000"/>
                <w:sz w:val="24"/>
                <w:szCs w:val="24"/>
              </w:rPr>
              <w:t xml:space="preserve"> </w:t>
            </w:r>
            <w:r>
              <w:rPr>
                <w:color w:val="000000"/>
                <w:sz w:val="24"/>
                <w:szCs w:val="24"/>
              </w:rPr>
              <w:t>土壤环境》（HJ 964-2018）附录A</w:t>
            </w:r>
            <w:r>
              <w:rPr>
                <w:rFonts w:hint="eastAsia"/>
                <w:color w:val="000000"/>
                <w:sz w:val="24"/>
                <w:szCs w:val="24"/>
              </w:rPr>
              <w:t>中“表A.1”规定</w:t>
            </w:r>
            <w:r>
              <w:rPr>
                <w:color w:val="000000"/>
                <w:sz w:val="24"/>
                <w:szCs w:val="24"/>
              </w:rPr>
              <w:t>，</w:t>
            </w:r>
            <w:r>
              <w:rPr>
                <w:rFonts w:hint="eastAsia"/>
                <w:color w:val="000000"/>
                <w:sz w:val="24"/>
                <w:szCs w:val="24"/>
                <w:lang w:val="en-US" w:eastAsia="zh-CN"/>
              </w:rPr>
              <w:t>本项目属于制造业中的非金属矿物制品，</w:t>
            </w:r>
            <w:r>
              <w:rPr>
                <w:rFonts w:hint="eastAsia"/>
                <w:color w:val="000000"/>
                <w:sz w:val="24"/>
              </w:rPr>
              <w:t>根据导则工作等级划分表</w:t>
            </w:r>
            <w:r>
              <w:rPr>
                <w:rFonts w:hint="eastAsia"/>
                <w:color w:val="000000"/>
                <w:sz w:val="24"/>
                <w:lang w:val="en-US" w:eastAsia="zh-CN"/>
              </w:rPr>
              <w:t>项目类别为</w:t>
            </w:r>
            <w:r>
              <w:rPr>
                <w:rFonts w:hint="eastAsia" w:ascii="Times New Roman" w:hAnsi="Times New Roman" w:eastAsia="宋体" w:cs="Times New Roman"/>
                <w:bCs/>
                <w:color w:val="auto"/>
                <w:sz w:val="24"/>
                <w:szCs w:val="21"/>
              </w:rPr>
              <w:t>III</w:t>
            </w:r>
            <w:r>
              <w:rPr>
                <w:rFonts w:hint="eastAsia"/>
                <w:color w:val="000000"/>
                <w:sz w:val="24"/>
                <w:lang w:val="en-US" w:eastAsia="zh-CN"/>
              </w:rPr>
              <w:t>类。</w:t>
            </w:r>
            <w:r>
              <w:rPr>
                <w:rFonts w:hint="eastAsia" w:ascii="Times New Roman" w:hAnsi="Times New Roman" w:eastAsia="宋体" w:cs="Times New Roman"/>
                <w:bCs/>
                <w:color w:val="auto"/>
                <w:sz w:val="24"/>
                <w:szCs w:val="21"/>
              </w:rPr>
              <w:t>因此不再对地下水</w:t>
            </w:r>
            <w:r>
              <w:rPr>
                <w:rFonts w:hint="eastAsia" w:cs="Times New Roman"/>
                <w:bCs/>
                <w:color w:val="auto"/>
                <w:sz w:val="24"/>
                <w:szCs w:val="21"/>
                <w:lang w:eastAsia="zh-CN"/>
              </w:rPr>
              <w:t>、</w:t>
            </w:r>
            <w:r>
              <w:rPr>
                <w:rFonts w:hint="eastAsia" w:cs="Times New Roman"/>
                <w:bCs/>
                <w:color w:val="auto"/>
                <w:sz w:val="24"/>
                <w:szCs w:val="21"/>
                <w:lang w:val="en-US" w:eastAsia="zh-CN"/>
              </w:rPr>
              <w:t>土壤</w:t>
            </w:r>
            <w:r>
              <w:rPr>
                <w:rFonts w:hint="eastAsia" w:ascii="Times New Roman" w:hAnsi="Times New Roman" w:eastAsia="宋体" w:cs="Times New Roman"/>
                <w:bCs/>
                <w:color w:val="auto"/>
                <w:sz w:val="24"/>
                <w:szCs w:val="21"/>
              </w:rPr>
              <w:t>环境影响进行分析</w:t>
            </w:r>
            <w:r>
              <w:rPr>
                <w:rFonts w:hint="eastAsia" w:ascii="Times New Roman" w:hAnsi="Times New Roman" w:eastAsia="宋体" w:cs="Times New Roman"/>
                <w:bCs/>
                <w:color w:val="auto"/>
                <w:sz w:val="24"/>
                <w:szCs w:val="21"/>
                <w:lang w:eastAsia="zh-CN"/>
              </w:rPr>
              <w:t>，只针对项目生产特点，提出针对性的防渗漏措施</w:t>
            </w:r>
            <w:r>
              <w:rPr>
                <w:rFonts w:hint="eastAsia" w:ascii="Times New Roman" w:hAnsi="Times New Roman" w:eastAsia="宋体" w:cs="Times New Roman"/>
                <w:bCs/>
                <w:color w:val="auto"/>
                <w:sz w:val="24"/>
                <w:szCs w:val="21"/>
              </w:rPr>
              <w:t>。</w:t>
            </w:r>
          </w:p>
          <w:p w14:paraId="0CD82761">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baseline"/>
              <w:rPr>
                <w:rFonts w:hint="eastAsia" w:ascii="Times New Roman" w:hAnsi="Times New Roman" w:eastAsia="宋体" w:cs="Times New Roman"/>
                <w:bCs/>
                <w:color w:val="auto"/>
                <w:sz w:val="24"/>
                <w:szCs w:val="21"/>
              </w:rPr>
            </w:pPr>
            <w:r>
              <w:rPr>
                <w:rFonts w:hint="eastAsia" w:ascii="Times New Roman" w:hAnsi="Times New Roman" w:eastAsia="宋体" w:cs="Times New Roman"/>
                <w:bCs/>
                <w:color w:val="auto"/>
                <w:sz w:val="24"/>
                <w:szCs w:val="21"/>
                <w:lang w:eastAsia="zh-CN"/>
              </w:rPr>
              <w:t>同时地下水环境保护措施与对策应符合</w:t>
            </w:r>
            <w:r>
              <w:rPr>
                <w:rFonts w:hint="eastAsia" w:ascii="Times New Roman" w:hAnsi="Times New Roman" w:eastAsia="宋体" w:cs="Times New Roman"/>
                <w:bCs/>
                <w:color w:val="auto"/>
                <w:sz w:val="24"/>
                <w:szCs w:val="21"/>
              </w:rPr>
              <w:t>《中华人民共和国水污染防治法》的相关规定，地下水污染防治措施按照“源头控制、分区防控、污染监控、应急响应”相结合的原则，对污染物的产生、漏渗、扩散、应急响应全阶段进行控制。</w:t>
            </w:r>
          </w:p>
          <w:p w14:paraId="45617BA7">
            <w:pPr>
              <w:autoSpaceDE w:val="0"/>
              <w:autoSpaceDN w:val="0"/>
              <w:adjustRightInd w:val="0"/>
              <w:spacing w:line="520" w:lineRule="exact"/>
              <w:ind w:firstLine="480" w:firstLineChars="200"/>
              <w:rPr>
                <w:color w:val="000000"/>
                <w:sz w:val="24"/>
                <w:u w:val="none"/>
                <w:lang w:val="zh-CN"/>
              </w:rPr>
            </w:pPr>
            <w:r>
              <w:rPr>
                <w:rFonts w:hint="eastAsia" w:ascii="Times New Roman" w:hAnsi="Times New Roman" w:eastAsia="宋体" w:cs="Times New Roman"/>
                <w:b w:val="0"/>
                <w:bCs/>
                <w:color w:val="auto"/>
                <w:sz w:val="24"/>
                <w:szCs w:val="21"/>
                <w:u w:val="none"/>
              </w:rPr>
              <w:t>为了</w:t>
            </w:r>
            <w:r>
              <w:rPr>
                <w:rFonts w:hint="eastAsia" w:ascii="Times New Roman" w:hAnsi="Times New Roman" w:eastAsia="宋体" w:cs="Times New Roman"/>
                <w:b w:val="0"/>
                <w:bCs/>
                <w:color w:val="auto"/>
                <w:sz w:val="24"/>
                <w:szCs w:val="21"/>
                <w:u w:val="none"/>
                <w:lang w:eastAsia="zh-CN"/>
              </w:rPr>
              <w:t>确保防止</w:t>
            </w:r>
            <w:r>
              <w:rPr>
                <w:rFonts w:hint="eastAsia" w:ascii="Times New Roman" w:hAnsi="Times New Roman" w:eastAsia="宋体" w:cs="Times New Roman"/>
                <w:b w:val="0"/>
                <w:bCs/>
                <w:color w:val="auto"/>
                <w:sz w:val="24"/>
                <w:szCs w:val="21"/>
                <w:u w:val="none"/>
              </w:rPr>
              <w:t>项目生产过程对地下水</w:t>
            </w:r>
            <w:r>
              <w:rPr>
                <w:rFonts w:hint="eastAsia" w:ascii="Times New Roman" w:hAnsi="Times New Roman" w:eastAsia="宋体" w:cs="Times New Roman"/>
                <w:b w:val="0"/>
                <w:bCs/>
                <w:color w:val="auto"/>
                <w:sz w:val="24"/>
                <w:szCs w:val="21"/>
                <w:u w:val="none"/>
                <w:lang w:eastAsia="zh-CN"/>
              </w:rPr>
              <w:t>及土壤</w:t>
            </w:r>
            <w:r>
              <w:rPr>
                <w:rFonts w:hint="eastAsia" w:ascii="Times New Roman" w:hAnsi="Times New Roman" w:eastAsia="宋体" w:cs="Times New Roman"/>
                <w:b w:val="0"/>
                <w:bCs/>
                <w:color w:val="auto"/>
                <w:sz w:val="24"/>
                <w:szCs w:val="21"/>
                <w:u w:val="none"/>
              </w:rPr>
              <w:t>产生污染，评价</w:t>
            </w:r>
            <w:r>
              <w:rPr>
                <w:rFonts w:hint="eastAsia" w:ascii="Times New Roman" w:hAnsi="Times New Roman" w:eastAsia="宋体" w:cs="Times New Roman"/>
                <w:b w:val="0"/>
                <w:bCs/>
                <w:color w:val="auto"/>
                <w:sz w:val="24"/>
                <w:szCs w:val="21"/>
                <w:u w:val="none"/>
                <w:lang w:eastAsia="zh-CN"/>
              </w:rPr>
              <w:t>要求</w:t>
            </w:r>
            <w:r>
              <w:rPr>
                <w:color w:val="000000"/>
                <w:sz w:val="24"/>
                <w:u w:val="none"/>
                <w:lang w:val="zh-CN"/>
              </w:rPr>
              <w:t>项目污染物能污染地下水的途径主要包括：危废暂存间</w:t>
            </w:r>
            <w:r>
              <w:rPr>
                <w:rFonts w:hint="eastAsia"/>
                <w:color w:val="000000"/>
                <w:sz w:val="24"/>
                <w:u w:val="none"/>
                <w:lang w:val="zh-CN"/>
              </w:rPr>
              <w:t>、</w:t>
            </w:r>
            <w:r>
              <w:rPr>
                <w:rFonts w:hint="eastAsia"/>
                <w:color w:val="000000"/>
                <w:sz w:val="24"/>
                <w:u w:val="none"/>
                <w:lang w:val="en-US" w:eastAsia="zh-CN"/>
              </w:rPr>
              <w:t>润滑油和絮凝剂</w:t>
            </w:r>
            <w:r>
              <w:rPr>
                <w:rFonts w:hint="eastAsia"/>
                <w:color w:val="000000"/>
                <w:sz w:val="24"/>
                <w:u w:val="none"/>
                <w:lang w:val="zh-CN"/>
              </w:rPr>
              <w:t>贮存仓库区、</w:t>
            </w:r>
            <w:r>
              <w:rPr>
                <w:rFonts w:hint="eastAsia"/>
                <w:color w:val="000000"/>
                <w:sz w:val="24"/>
                <w:u w:val="none"/>
                <w:lang w:val="en-US" w:eastAsia="zh-CN"/>
              </w:rPr>
              <w:t>项目中污水</w:t>
            </w:r>
            <w:r>
              <w:rPr>
                <w:rFonts w:hint="eastAsia"/>
                <w:color w:val="000000"/>
                <w:sz w:val="24"/>
                <w:highlight w:val="none"/>
                <w:u w:val="none"/>
                <w:lang w:val="en-US" w:eastAsia="zh-CN"/>
              </w:rPr>
              <w:t>池、清水池以及污水管道等区域，这些区域如果</w:t>
            </w:r>
            <w:r>
              <w:rPr>
                <w:color w:val="000000"/>
                <w:sz w:val="24"/>
                <w:u w:val="none"/>
                <w:lang w:val="zh-CN"/>
              </w:rPr>
              <w:t>防渗措施不到位，</w:t>
            </w:r>
            <w:r>
              <w:rPr>
                <w:rFonts w:hint="eastAsia"/>
                <w:color w:val="000000"/>
                <w:sz w:val="24"/>
                <w:u w:val="none"/>
                <w:lang w:val="en-US" w:eastAsia="zh-CN"/>
              </w:rPr>
              <w:t>会出现泄漏的情况而造成</w:t>
            </w:r>
            <w:r>
              <w:rPr>
                <w:rFonts w:hint="eastAsia"/>
                <w:color w:val="000000"/>
                <w:sz w:val="24"/>
                <w:u w:val="none"/>
                <w:lang w:val="zh-CN"/>
              </w:rPr>
              <w:t>污染地下水</w:t>
            </w:r>
            <w:r>
              <w:rPr>
                <w:rFonts w:hint="eastAsia"/>
                <w:color w:val="000000"/>
                <w:sz w:val="24"/>
                <w:u w:val="none"/>
                <w:lang w:val="en-US" w:eastAsia="zh-CN"/>
              </w:rPr>
              <w:t>和</w:t>
            </w:r>
            <w:r>
              <w:rPr>
                <w:rFonts w:hint="eastAsia"/>
                <w:color w:val="000000"/>
                <w:sz w:val="24"/>
                <w:u w:val="none"/>
                <w:lang w:val="zh-CN"/>
              </w:rPr>
              <w:t>土壤</w:t>
            </w:r>
            <w:r>
              <w:rPr>
                <w:color w:val="000000"/>
                <w:sz w:val="24"/>
                <w:u w:val="none"/>
                <w:lang w:val="zh-CN"/>
              </w:rPr>
              <w:t>。</w:t>
            </w:r>
          </w:p>
          <w:p w14:paraId="76301A5B">
            <w:pPr>
              <w:spacing w:line="520" w:lineRule="exact"/>
              <w:ind w:firstLine="480" w:firstLineChars="200"/>
              <w:rPr>
                <w:b w:val="0"/>
                <w:bCs/>
                <w:color w:val="000000"/>
                <w:sz w:val="24"/>
                <w:u w:val="none"/>
              </w:rPr>
            </w:pPr>
            <w:r>
              <w:rPr>
                <w:rFonts w:hint="eastAsia"/>
                <w:b w:val="0"/>
                <w:bCs/>
                <w:color w:val="000000"/>
                <w:sz w:val="24"/>
                <w:u w:val="none"/>
              </w:rPr>
              <w:t>5</w:t>
            </w:r>
            <w:r>
              <w:rPr>
                <w:b w:val="0"/>
                <w:bCs/>
                <w:color w:val="000000"/>
                <w:sz w:val="24"/>
                <w:u w:val="none"/>
              </w:rPr>
              <w:t>.2</w:t>
            </w:r>
            <w:r>
              <w:rPr>
                <w:rFonts w:hint="eastAsia" w:ascii="Times New Roman" w:hAnsi="宋体" w:eastAsia="宋体" w:cs="Times New Roman"/>
                <w:b/>
                <w:color w:val="auto"/>
                <w:kern w:val="2"/>
                <w:sz w:val="24"/>
                <w:u w:val="none"/>
                <w:lang w:val="en-US" w:eastAsia="zh-CN" w:bidi="ar-SA"/>
              </w:rPr>
              <w:t>项目防渗要求</w:t>
            </w:r>
          </w:p>
          <w:p w14:paraId="5DAB8C7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default" w:ascii="Times New Roman" w:hAnsi="宋体" w:eastAsia="宋体" w:cs="Times New Roman"/>
                <w:b/>
                <w:color w:val="auto"/>
                <w:kern w:val="2"/>
                <w:sz w:val="24"/>
                <w:szCs w:val="24"/>
                <w:highlight w:val="yellow"/>
                <w:u w:val="none"/>
                <w:lang w:val="en-US" w:eastAsia="zh-CN" w:bidi="ar-SA"/>
              </w:rPr>
            </w:pPr>
            <w:r>
              <w:rPr>
                <w:rFonts w:hint="eastAsia" w:ascii="Times New Roman" w:hAnsi="Times New Roman" w:eastAsia="宋体" w:cs="Times New Roman"/>
                <w:bCs/>
                <w:color w:val="auto"/>
                <w:sz w:val="24"/>
                <w:u w:val="none"/>
              </w:rPr>
              <w:t>正常工况下，本项目根据《环境影响评价技术导则</w:t>
            </w:r>
            <w:r>
              <w:rPr>
                <w:rFonts w:hint="eastAsia" w:ascii="Times New Roman" w:hAnsi="Times New Roman" w:cs="Times New Roman"/>
                <w:bCs/>
                <w:color w:val="auto"/>
                <w:sz w:val="24"/>
                <w:u w:val="none"/>
                <w:lang w:val="en-US" w:eastAsia="zh-CN"/>
              </w:rPr>
              <w:t xml:space="preserve"> </w:t>
            </w:r>
            <w:r>
              <w:rPr>
                <w:rFonts w:hint="eastAsia" w:ascii="Times New Roman" w:hAnsi="Times New Roman" w:eastAsia="宋体" w:cs="Times New Roman"/>
                <w:bCs/>
                <w:color w:val="auto"/>
                <w:sz w:val="24"/>
                <w:u w:val="none"/>
              </w:rPr>
              <w:t>地下水环境》（HJ610-2016）、《环境影响评价技术导则</w:t>
            </w:r>
            <w:r>
              <w:rPr>
                <w:rFonts w:hint="eastAsia" w:ascii="Times New Roman" w:hAnsi="Times New Roman" w:eastAsia="宋体" w:cs="Times New Roman"/>
                <w:bCs/>
                <w:color w:val="auto"/>
                <w:sz w:val="24"/>
                <w:u w:val="none"/>
                <w:lang w:val="en-US" w:eastAsia="zh-CN"/>
              </w:rPr>
              <w:t xml:space="preserve"> 土壤环境</w:t>
            </w:r>
            <w:r>
              <w:rPr>
                <w:rFonts w:hint="eastAsia" w:ascii="Times New Roman" w:hAnsi="Times New Roman" w:eastAsia="宋体" w:cs="Times New Roman"/>
                <w:bCs/>
                <w:color w:val="auto"/>
                <w:sz w:val="24"/>
                <w:u w:val="none"/>
              </w:rPr>
              <w:t>》（HJ</w:t>
            </w:r>
            <w:r>
              <w:rPr>
                <w:rFonts w:hint="eastAsia" w:ascii="Times New Roman" w:hAnsi="Times New Roman" w:eastAsia="宋体" w:cs="Times New Roman"/>
                <w:bCs/>
                <w:color w:val="auto"/>
                <w:sz w:val="24"/>
                <w:u w:val="none"/>
                <w:lang w:val="en-US" w:eastAsia="zh-CN"/>
              </w:rPr>
              <w:t>964</w:t>
            </w:r>
            <w:r>
              <w:rPr>
                <w:rFonts w:hint="eastAsia" w:ascii="Times New Roman" w:hAnsi="Times New Roman" w:eastAsia="宋体" w:cs="Times New Roman"/>
                <w:bCs/>
                <w:color w:val="auto"/>
                <w:sz w:val="24"/>
                <w:u w:val="none"/>
              </w:rPr>
              <w:t>-201</w:t>
            </w:r>
            <w:r>
              <w:rPr>
                <w:rFonts w:hint="eastAsia" w:ascii="Times New Roman" w:hAnsi="Times New Roman" w:eastAsia="宋体" w:cs="Times New Roman"/>
                <w:bCs/>
                <w:color w:val="auto"/>
                <w:sz w:val="24"/>
                <w:u w:val="none"/>
                <w:lang w:val="en-US" w:eastAsia="zh-CN"/>
              </w:rPr>
              <w:t>8</w:t>
            </w:r>
            <w:r>
              <w:rPr>
                <w:rFonts w:hint="eastAsia" w:ascii="Times New Roman" w:hAnsi="Times New Roman" w:eastAsia="宋体" w:cs="Times New Roman"/>
                <w:bCs/>
                <w:color w:val="auto"/>
                <w:sz w:val="24"/>
                <w:u w:val="none"/>
              </w:rPr>
              <w:t>）和《危险废物贮存污染控制标准》（GB18597-20</w:t>
            </w:r>
            <w:r>
              <w:rPr>
                <w:rFonts w:hint="eastAsia" w:cs="Times New Roman"/>
                <w:bCs/>
                <w:color w:val="auto"/>
                <w:sz w:val="24"/>
                <w:u w:val="none"/>
                <w:lang w:val="en-US" w:eastAsia="zh-CN"/>
              </w:rPr>
              <w:t>23</w:t>
            </w:r>
            <w:r>
              <w:rPr>
                <w:rFonts w:hint="eastAsia" w:ascii="Times New Roman" w:hAnsi="Times New Roman" w:eastAsia="宋体" w:cs="Times New Roman"/>
                <w:bCs/>
                <w:color w:val="auto"/>
                <w:sz w:val="24"/>
                <w:u w:val="none"/>
              </w:rPr>
              <w:t>），</w:t>
            </w:r>
            <w:r>
              <w:rPr>
                <w:rFonts w:hint="eastAsia" w:cs="Times New Roman"/>
                <w:bCs/>
                <w:color w:val="auto"/>
                <w:sz w:val="24"/>
                <w:u w:val="none"/>
                <w:lang w:val="en-US" w:eastAsia="zh-CN"/>
              </w:rPr>
              <w:t>本项目为避免意外而污染土壤和地下水，要求对厂房进行不同程度的分区防渗处理，不同</w:t>
            </w:r>
            <w:r>
              <w:rPr>
                <w:rFonts w:hint="eastAsia" w:cs="Times New Roman"/>
                <w:bCs/>
                <w:color w:val="auto"/>
                <w:sz w:val="24"/>
                <w:highlight w:val="none"/>
                <w:u w:val="none"/>
                <w:lang w:val="en-US" w:eastAsia="zh-CN"/>
              </w:rPr>
              <w:t>区域应执行如下分区防渗要求。</w:t>
            </w:r>
          </w:p>
          <w:p w14:paraId="77F36922">
            <w:pPr>
              <w:pStyle w:val="22"/>
              <w:keepNext w:val="0"/>
              <w:keepLines w:val="0"/>
              <w:pageBreakBefore w:val="0"/>
              <w:widowControl w:val="0"/>
              <w:kinsoku/>
              <w:wordWrap/>
              <w:overflowPunct/>
              <w:topLinePunct w:val="0"/>
              <w:autoSpaceDE/>
              <w:autoSpaceDN/>
              <w:bidi w:val="0"/>
              <w:adjustRightInd/>
              <w:snapToGrid/>
              <w:spacing w:before="0" w:beforeAutospacing="0" w:after="0" w:line="360" w:lineRule="auto"/>
              <w:ind w:left="0" w:leftChars="0" w:right="0"/>
              <w:jc w:val="center"/>
              <w:textAlignment w:val="auto"/>
              <w:rPr>
                <w:rFonts w:hint="default" w:ascii="Times New Roman" w:hAnsi="Times New Roman" w:eastAsia="黑体" w:cs="Times New Roman"/>
                <w:b w:val="0"/>
                <w:bCs w:val="0"/>
                <w:kern w:val="0"/>
                <w:sz w:val="24"/>
                <w:szCs w:val="24"/>
                <w:u w:val="none"/>
                <w:lang w:val="en-US" w:eastAsia="zh-CN" w:bidi="ar-SA"/>
              </w:rPr>
            </w:pPr>
            <w:r>
              <w:rPr>
                <w:rFonts w:hint="eastAsia" w:eastAsia="黑体" w:cs="Times New Roman"/>
                <w:b w:val="0"/>
                <w:bCs w:val="0"/>
                <w:kern w:val="0"/>
                <w:sz w:val="24"/>
                <w:szCs w:val="24"/>
                <w:highlight w:val="none"/>
                <w:u w:val="none"/>
                <w:lang w:val="en-US" w:eastAsia="zh-CN" w:bidi="ar-SA"/>
              </w:rPr>
              <w:t>表</w:t>
            </w:r>
            <w:r>
              <w:rPr>
                <w:rFonts w:hint="eastAsia" w:ascii="Times New Roman" w:hAnsi="Times New Roman" w:eastAsia="黑体" w:cs="Times New Roman"/>
                <w:b w:val="0"/>
                <w:bCs w:val="0"/>
                <w:kern w:val="0"/>
                <w:sz w:val="24"/>
                <w:szCs w:val="24"/>
                <w:highlight w:val="none"/>
                <w:u w:val="none"/>
                <w:lang w:val="en-US" w:eastAsia="zh-CN" w:bidi="ar-SA"/>
              </w:rPr>
              <w:t>4-</w:t>
            </w:r>
            <w:r>
              <w:rPr>
                <w:rFonts w:hint="eastAsia" w:eastAsia="黑体" w:cs="Times New Roman"/>
                <w:b w:val="0"/>
                <w:bCs w:val="0"/>
                <w:kern w:val="0"/>
                <w:sz w:val="24"/>
                <w:szCs w:val="24"/>
                <w:highlight w:val="none"/>
                <w:u w:val="none"/>
                <w:lang w:val="en-US" w:eastAsia="zh-CN" w:bidi="ar-SA"/>
              </w:rPr>
              <w:t>19</w:t>
            </w:r>
            <w:r>
              <w:rPr>
                <w:rFonts w:hint="eastAsia" w:ascii="Times New Roman" w:hAnsi="Times New Roman" w:eastAsia="黑体" w:cs="Times New Roman"/>
                <w:b w:val="0"/>
                <w:bCs w:val="0"/>
                <w:kern w:val="0"/>
                <w:sz w:val="24"/>
                <w:szCs w:val="24"/>
                <w:highlight w:val="none"/>
                <w:u w:val="none"/>
                <w:lang w:val="en-US" w:eastAsia="zh-CN" w:bidi="ar-SA"/>
              </w:rPr>
              <w:t xml:space="preserve"> 本项目厂</w:t>
            </w:r>
            <w:r>
              <w:rPr>
                <w:rFonts w:hint="eastAsia" w:ascii="Times New Roman" w:hAnsi="Times New Roman" w:eastAsia="黑体" w:cs="Times New Roman"/>
                <w:b w:val="0"/>
                <w:bCs w:val="0"/>
                <w:kern w:val="0"/>
                <w:sz w:val="24"/>
                <w:szCs w:val="24"/>
                <w:u w:val="none"/>
                <w:lang w:val="en-US" w:eastAsia="zh-CN" w:bidi="ar-SA"/>
              </w:rPr>
              <w:t>区地下水污染防渗分区一览表</w:t>
            </w:r>
          </w:p>
          <w:tbl>
            <w:tblPr>
              <w:tblStyle w:val="24"/>
              <w:tblW w:w="7797" w:type="dxa"/>
              <w:jc w:val="center"/>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29"/>
              <w:gridCol w:w="1088"/>
              <w:gridCol w:w="1080"/>
              <w:gridCol w:w="1361"/>
              <w:gridCol w:w="882"/>
              <w:gridCol w:w="2857"/>
            </w:tblGrid>
            <w:tr w14:paraId="1BEC61BB">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529" w:type="dxa"/>
                  <w:tcBorders>
                    <w:tl2br w:val="nil"/>
                    <w:tr2bl w:val="nil"/>
                  </w:tcBorders>
                  <w:noWrap w:val="0"/>
                  <w:vAlign w:val="center"/>
                </w:tcPr>
                <w:p w14:paraId="3B80FA89">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b/>
                      <w:bCs/>
                      <w:color w:val="auto"/>
                      <w:sz w:val="24"/>
                      <w:szCs w:val="22"/>
                      <w:u w:val="none"/>
                      <w:vertAlign w:val="baseline"/>
                      <w:lang w:val="en-US" w:eastAsia="zh-CN"/>
                    </w:rPr>
                  </w:pPr>
                  <w:r>
                    <w:rPr>
                      <w:rFonts w:hint="eastAsia" w:ascii="Times New Roman" w:hAnsi="Times New Roman" w:eastAsia="宋体" w:cs="Times New Roman"/>
                      <w:b/>
                      <w:bCs/>
                      <w:color w:val="auto"/>
                      <w:kern w:val="0"/>
                      <w:sz w:val="21"/>
                      <w:szCs w:val="21"/>
                      <w:u w:val="none"/>
                      <w:lang w:val="en-US" w:eastAsia="zh-CN" w:bidi="ar-SA"/>
                    </w:rPr>
                    <w:t>序号</w:t>
                  </w:r>
                </w:p>
              </w:tc>
              <w:tc>
                <w:tcPr>
                  <w:tcW w:w="1088" w:type="dxa"/>
                  <w:tcBorders>
                    <w:tl2br w:val="nil"/>
                    <w:tr2bl w:val="nil"/>
                  </w:tcBorders>
                  <w:noWrap w:val="0"/>
                  <w:vAlign w:val="center"/>
                </w:tcPr>
                <w:p w14:paraId="64607341">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ascii="Times New Roman" w:hAnsi="Times New Roman" w:eastAsia="宋体" w:cs="Times New Roman"/>
                      <w:b/>
                      <w:bCs/>
                      <w:color w:val="auto"/>
                      <w:kern w:val="0"/>
                      <w:sz w:val="21"/>
                      <w:szCs w:val="21"/>
                      <w:u w:val="none"/>
                      <w:lang w:val="en-US" w:eastAsia="zh-CN" w:bidi="ar-SA"/>
                    </w:rPr>
                  </w:pPr>
                  <w:r>
                    <w:rPr>
                      <w:rFonts w:hint="eastAsia" w:ascii="Times New Roman" w:hAnsi="Times New Roman" w:eastAsia="宋体" w:cs="Times New Roman"/>
                      <w:b/>
                      <w:bCs/>
                      <w:color w:val="auto"/>
                      <w:kern w:val="0"/>
                      <w:sz w:val="21"/>
                      <w:szCs w:val="21"/>
                      <w:u w:val="none"/>
                      <w:lang w:val="en-US" w:eastAsia="zh-CN" w:bidi="ar-SA"/>
                    </w:rPr>
                    <w:t>名称</w:t>
                  </w:r>
                </w:p>
              </w:tc>
              <w:tc>
                <w:tcPr>
                  <w:tcW w:w="1080" w:type="dxa"/>
                  <w:tcBorders>
                    <w:tl2br w:val="nil"/>
                    <w:tr2bl w:val="nil"/>
                  </w:tcBorders>
                  <w:noWrap w:val="0"/>
                  <w:vAlign w:val="center"/>
                </w:tcPr>
                <w:p w14:paraId="30CAB2A8">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b/>
                      <w:bCs/>
                      <w:color w:val="auto"/>
                      <w:sz w:val="24"/>
                      <w:szCs w:val="22"/>
                      <w:u w:val="none"/>
                      <w:vertAlign w:val="baseline"/>
                      <w:lang w:val="en-US" w:eastAsia="zh-CN"/>
                    </w:rPr>
                  </w:pPr>
                  <w:r>
                    <w:rPr>
                      <w:rFonts w:hint="eastAsia" w:ascii="Times New Roman" w:hAnsi="Times New Roman" w:eastAsia="宋体" w:cs="Times New Roman"/>
                      <w:b/>
                      <w:bCs/>
                      <w:color w:val="auto"/>
                      <w:kern w:val="0"/>
                      <w:sz w:val="21"/>
                      <w:szCs w:val="21"/>
                      <w:u w:val="none"/>
                      <w:lang w:val="en-US" w:eastAsia="zh-CN" w:bidi="ar-SA"/>
                    </w:rPr>
                    <w:t>污染控制难易程度</w:t>
                  </w:r>
                </w:p>
              </w:tc>
              <w:tc>
                <w:tcPr>
                  <w:tcW w:w="1361" w:type="dxa"/>
                  <w:tcBorders>
                    <w:tl2br w:val="nil"/>
                    <w:tr2bl w:val="nil"/>
                  </w:tcBorders>
                  <w:noWrap w:val="0"/>
                  <w:vAlign w:val="center"/>
                </w:tcPr>
                <w:p w14:paraId="65CE8240">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ascii="Times New Roman" w:hAnsi="Times New Roman" w:eastAsia="宋体" w:cs="Times New Roman"/>
                      <w:b/>
                      <w:bCs/>
                      <w:color w:val="auto"/>
                      <w:kern w:val="0"/>
                      <w:sz w:val="21"/>
                      <w:szCs w:val="21"/>
                      <w:u w:val="none"/>
                      <w:lang w:val="en-US" w:eastAsia="zh-CN" w:bidi="ar-SA"/>
                    </w:rPr>
                  </w:pPr>
                  <w:r>
                    <w:rPr>
                      <w:rFonts w:hint="eastAsia" w:ascii="Times New Roman" w:hAnsi="Times New Roman" w:eastAsia="宋体" w:cs="Times New Roman"/>
                      <w:b/>
                      <w:bCs/>
                      <w:color w:val="auto"/>
                      <w:kern w:val="0"/>
                      <w:sz w:val="21"/>
                      <w:szCs w:val="21"/>
                      <w:u w:val="none"/>
                      <w:lang w:val="en-US" w:eastAsia="zh-CN" w:bidi="ar-SA"/>
                    </w:rPr>
                    <w:t>污染物</w:t>
                  </w:r>
                </w:p>
                <w:p w14:paraId="51890374">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ascii="Times New Roman" w:hAnsi="Times New Roman" w:eastAsia="宋体" w:cs="Times New Roman"/>
                      <w:b/>
                      <w:bCs/>
                      <w:color w:val="auto"/>
                      <w:kern w:val="0"/>
                      <w:sz w:val="21"/>
                      <w:szCs w:val="21"/>
                      <w:u w:val="none"/>
                      <w:lang w:val="en-US" w:eastAsia="zh-CN" w:bidi="ar-SA"/>
                    </w:rPr>
                  </w:pPr>
                  <w:r>
                    <w:rPr>
                      <w:rFonts w:hint="eastAsia" w:ascii="Times New Roman" w:hAnsi="Times New Roman" w:eastAsia="宋体" w:cs="Times New Roman"/>
                      <w:b/>
                      <w:bCs/>
                      <w:color w:val="auto"/>
                      <w:kern w:val="0"/>
                      <w:sz w:val="21"/>
                      <w:szCs w:val="21"/>
                      <w:u w:val="none"/>
                      <w:lang w:val="en-US" w:eastAsia="zh-CN" w:bidi="ar-SA"/>
                    </w:rPr>
                    <w:t>种类</w:t>
                  </w:r>
                </w:p>
              </w:tc>
              <w:tc>
                <w:tcPr>
                  <w:tcW w:w="882" w:type="dxa"/>
                  <w:tcBorders>
                    <w:tl2br w:val="nil"/>
                    <w:tr2bl w:val="nil"/>
                  </w:tcBorders>
                  <w:noWrap w:val="0"/>
                  <w:vAlign w:val="center"/>
                </w:tcPr>
                <w:p w14:paraId="39417896">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ascii="Times New Roman" w:hAnsi="Times New Roman" w:eastAsia="宋体" w:cs="Times New Roman"/>
                      <w:b/>
                      <w:bCs/>
                      <w:color w:val="auto"/>
                      <w:kern w:val="0"/>
                      <w:sz w:val="21"/>
                      <w:szCs w:val="21"/>
                      <w:u w:val="none"/>
                      <w:lang w:val="en-US" w:eastAsia="zh-CN" w:bidi="ar-SA"/>
                    </w:rPr>
                  </w:pPr>
                  <w:r>
                    <w:rPr>
                      <w:rFonts w:hint="eastAsia" w:ascii="Times New Roman" w:hAnsi="Times New Roman" w:eastAsia="宋体" w:cs="Times New Roman"/>
                      <w:b/>
                      <w:bCs/>
                      <w:color w:val="auto"/>
                      <w:kern w:val="0"/>
                      <w:sz w:val="21"/>
                      <w:szCs w:val="21"/>
                      <w:u w:val="none"/>
                      <w:lang w:val="en-US" w:eastAsia="zh-CN" w:bidi="ar-SA"/>
                    </w:rPr>
                    <w:t>防渗</w:t>
                  </w:r>
                </w:p>
                <w:p w14:paraId="6111CAC0">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ascii="Times New Roman" w:hAnsi="Times New Roman" w:eastAsia="宋体" w:cs="Times New Roman"/>
                      <w:b/>
                      <w:bCs/>
                      <w:color w:val="auto"/>
                      <w:kern w:val="0"/>
                      <w:sz w:val="21"/>
                      <w:szCs w:val="21"/>
                      <w:u w:val="none"/>
                      <w:lang w:val="en-US" w:eastAsia="zh-CN" w:bidi="ar-SA"/>
                    </w:rPr>
                  </w:pPr>
                  <w:r>
                    <w:rPr>
                      <w:rFonts w:hint="eastAsia" w:ascii="Times New Roman" w:hAnsi="Times New Roman" w:eastAsia="宋体" w:cs="Times New Roman"/>
                      <w:b/>
                      <w:bCs/>
                      <w:color w:val="auto"/>
                      <w:kern w:val="0"/>
                      <w:sz w:val="21"/>
                      <w:szCs w:val="21"/>
                      <w:u w:val="none"/>
                      <w:lang w:val="en-US" w:eastAsia="zh-CN" w:bidi="ar-SA"/>
                    </w:rPr>
                    <w:t>分区</w:t>
                  </w:r>
                </w:p>
              </w:tc>
              <w:tc>
                <w:tcPr>
                  <w:tcW w:w="2857" w:type="dxa"/>
                  <w:tcBorders>
                    <w:tl2br w:val="nil"/>
                    <w:tr2bl w:val="nil"/>
                  </w:tcBorders>
                  <w:noWrap w:val="0"/>
                  <w:vAlign w:val="center"/>
                </w:tcPr>
                <w:p w14:paraId="3DEC1B76">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ascii="Times New Roman" w:hAnsi="Times New Roman" w:eastAsia="宋体" w:cs="Times New Roman"/>
                      <w:b/>
                      <w:bCs/>
                      <w:color w:val="auto"/>
                      <w:kern w:val="0"/>
                      <w:sz w:val="21"/>
                      <w:szCs w:val="21"/>
                      <w:u w:val="none"/>
                      <w:lang w:val="en-US" w:eastAsia="zh-CN" w:bidi="ar-SA"/>
                    </w:rPr>
                  </w:pPr>
                  <w:r>
                    <w:rPr>
                      <w:rFonts w:hint="eastAsia" w:ascii="Times New Roman" w:hAnsi="Times New Roman" w:eastAsia="宋体" w:cs="Times New Roman"/>
                      <w:b/>
                      <w:bCs/>
                      <w:color w:val="auto"/>
                      <w:kern w:val="0"/>
                      <w:sz w:val="21"/>
                      <w:szCs w:val="21"/>
                      <w:u w:val="none"/>
                      <w:lang w:val="en-US" w:eastAsia="zh-CN" w:bidi="ar-SA"/>
                    </w:rPr>
                    <w:t>防渗技术要求</w:t>
                  </w:r>
                </w:p>
              </w:tc>
            </w:tr>
            <w:tr w14:paraId="445D6E0D">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529" w:type="dxa"/>
                  <w:tcBorders>
                    <w:tl2br w:val="nil"/>
                    <w:tr2bl w:val="nil"/>
                  </w:tcBorders>
                  <w:noWrap w:val="0"/>
                  <w:vAlign w:val="center"/>
                </w:tcPr>
                <w:p w14:paraId="48785460">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eastAsia="宋体"/>
                      <w:color w:val="auto"/>
                      <w:sz w:val="24"/>
                      <w:szCs w:val="22"/>
                      <w:u w:val="none"/>
                      <w:vertAlign w:val="baseline"/>
                      <w:lang w:val="en-US" w:eastAsia="zh-CN"/>
                    </w:rPr>
                  </w:pPr>
                  <w:r>
                    <w:rPr>
                      <w:rFonts w:hint="eastAsia"/>
                      <w:color w:val="auto"/>
                      <w:sz w:val="24"/>
                      <w:szCs w:val="22"/>
                      <w:u w:val="none"/>
                      <w:vertAlign w:val="baseline"/>
                      <w:lang w:val="en-US" w:eastAsia="zh-CN"/>
                    </w:rPr>
                    <w:t>1</w:t>
                  </w:r>
                </w:p>
              </w:tc>
              <w:tc>
                <w:tcPr>
                  <w:tcW w:w="1088" w:type="dxa"/>
                  <w:tcBorders>
                    <w:tl2br w:val="nil"/>
                    <w:tr2bl w:val="nil"/>
                  </w:tcBorders>
                  <w:noWrap w:val="0"/>
                  <w:vAlign w:val="center"/>
                </w:tcPr>
                <w:p w14:paraId="117D25BC">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ascii="Times New Roman" w:hAnsi="Times New Roman" w:cs="Times New Roman"/>
                      <w:color w:val="auto"/>
                      <w:kern w:val="0"/>
                      <w:sz w:val="21"/>
                      <w:szCs w:val="21"/>
                      <w:u w:val="none"/>
                      <w:lang w:val="en-US" w:eastAsia="zh-CN" w:bidi="ar-SA"/>
                    </w:rPr>
                    <w:t>危废间</w:t>
                  </w:r>
                </w:p>
              </w:tc>
              <w:tc>
                <w:tcPr>
                  <w:tcW w:w="1080" w:type="dxa"/>
                  <w:tcBorders>
                    <w:tl2br w:val="nil"/>
                    <w:tr2bl w:val="nil"/>
                  </w:tcBorders>
                  <w:noWrap w:val="0"/>
                  <w:vAlign w:val="center"/>
                </w:tcPr>
                <w:p w14:paraId="56E09002">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rPr>
                      <w:rFonts w:hint="eastAsia" w:eastAsia="宋体"/>
                      <w:color w:val="auto"/>
                      <w:sz w:val="21"/>
                      <w:szCs w:val="21"/>
                      <w:u w:val="none"/>
                      <w:vertAlign w:val="baseline"/>
                      <w:lang w:val="en-US" w:eastAsia="zh-CN"/>
                    </w:rPr>
                  </w:pPr>
                  <w:r>
                    <w:rPr>
                      <w:rFonts w:hint="eastAsia"/>
                      <w:color w:val="auto"/>
                      <w:sz w:val="21"/>
                      <w:szCs w:val="21"/>
                      <w:u w:val="none"/>
                      <w:vertAlign w:val="baseline"/>
                      <w:lang w:val="en-US" w:eastAsia="zh-CN"/>
                    </w:rPr>
                    <w:t>难</w:t>
                  </w:r>
                </w:p>
              </w:tc>
              <w:tc>
                <w:tcPr>
                  <w:tcW w:w="1361" w:type="dxa"/>
                  <w:tcBorders>
                    <w:tl2br w:val="nil"/>
                    <w:tr2bl w:val="nil"/>
                  </w:tcBorders>
                  <w:noWrap w:val="0"/>
                  <w:vAlign w:val="center"/>
                </w:tcPr>
                <w:p w14:paraId="70037755">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r>
                    <w:rPr>
                      <w:rFonts w:hint="eastAsia" w:ascii="Times New Roman" w:hAnsi="Times New Roman" w:eastAsia="宋体" w:cs="Times New Roman"/>
                      <w:color w:val="auto"/>
                      <w:kern w:val="0"/>
                      <w:sz w:val="21"/>
                      <w:szCs w:val="21"/>
                      <w:u w:val="none"/>
                      <w:lang w:val="en-US" w:eastAsia="zh-CN" w:bidi="ar-SA"/>
                    </w:rPr>
                    <w:t>对水体、</w:t>
                  </w:r>
                  <w:r>
                    <w:rPr>
                      <w:rFonts w:hint="eastAsia" w:ascii="Times New Roman" w:hAnsi="Times New Roman" w:cs="Times New Roman"/>
                      <w:color w:val="auto"/>
                      <w:kern w:val="0"/>
                      <w:sz w:val="21"/>
                      <w:szCs w:val="21"/>
                      <w:u w:val="none"/>
                      <w:lang w:val="en-US" w:eastAsia="zh-CN" w:bidi="ar-SA"/>
                    </w:rPr>
                    <w:t>土壤以及</w:t>
                  </w:r>
                  <w:r>
                    <w:rPr>
                      <w:rFonts w:hint="eastAsia" w:ascii="Times New Roman" w:hAnsi="Times New Roman" w:eastAsia="宋体" w:cs="Times New Roman"/>
                      <w:color w:val="auto"/>
                      <w:kern w:val="0"/>
                      <w:sz w:val="21"/>
                      <w:szCs w:val="21"/>
                      <w:u w:val="none"/>
                      <w:lang w:val="en-US" w:eastAsia="zh-CN" w:bidi="ar-SA"/>
                    </w:rPr>
                    <w:t>生物有害的污染物</w:t>
                  </w:r>
                </w:p>
              </w:tc>
              <w:tc>
                <w:tcPr>
                  <w:tcW w:w="882" w:type="dxa"/>
                  <w:vMerge w:val="restart"/>
                  <w:tcBorders>
                    <w:tl2br w:val="nil"/>
                    <w:tr2bl w:val="nil"/>
                  </w:tcBorders>
                  <w:noWrap w:val="0"/>
                  <w:vAlign w:val="center"/>
                </w:tcPr>
                <w:p w14:paraId="59866E51">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r>
                    <w:rPr>
                      <w:rFonts w:hint="eastAsia" w:ascii="Times New Roman" w:hAnsi="Times New Roman" w:eastAsia="宋体" w:cs="Times New Roman"/>
                      <w:color w:val="auto"/>
                      <w:kern w:val="0"/>
                      <w:sz w:val="21"/>
                      <w:szCs w:val="21"/>
                      <w:u w:val="none"/>
                      <w:lang w:val="en-US" w:eastAsia="zh-CN" w:bidi="ar-SA"/>
                    </w:rPr>
                    <w:t>重点防</w:t>
                  </w:r>
                </w:p>
                <w:p w14:paraId="0BDAA9D7">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ascii="Times New Roman" w:hAnsi="Times New Roman" w:eastAsia="宋体" w:cs="Times New Roman"/>
                      <w:color w:val="auto"/>
                      <w:kern w:val="0"/>
                      <w:sz w:val="21"/>
                      <w:szCs w:val="21"/>
                      <w:u w:val="none"/>
                      <w:lang w:val="en-US" w:eastAsia="zh-CN" w:bidi="ar-SA"/>
                    </w:rPr>
                    <w:t>渗区</w:t>
                  </w:r>
                </w:p>
              </w:tc>
              <w:tc>
                <w:tcPr>
                  <w:tcW w:w="2857" w:type="dxa"/>
                  <w:vMerge w:val="restart"/>
                  <w:tcBorders>
                    <w:tl2br w:val="nil"/>
                    <w:tr2bl w:val="nil"/>
                  </w:tcBorders>
                  <w:noWrap w:val="0"/>
                  <w:vAlign w:val="center"/>
                </w:tcPr>
                <w:p w14:paraId="1D920C4B">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r>
                    <w:rPr>
                      <w:color w:val="000000"/>
                      <w:sz w:val="21"/>
                      <w:szCs w:val="21"/>
                      <w:u w:val="none"/>
                    </w:rPr>
                    <w:t>等效黏土防渗层Mb≥6.0m</w:t>
                  </w:r>
                  <w:r>
                    <w:rPr>
                      <w:rFonts w:hint="eastAsia"/>
                      <w:color w:val="000000"/>
                      <w:sz w:val="21"/>
                      <w:szCs w:val="21"/>
                      <w:u w:val="none"/>
                    </w:rPr>
                    <w:t>、</w:t>
                  </w:r>
                  <w:r>
                    <w:rPr>
                      <w:rFonts w:hint="eastAsia"/>
                      <w:color w:val="000000"/>
                      <w:kern w:val="0"/>
                      <w:sz w:val="21"/>
                      <w:szCs w:val="21"/>
                      <w:u w:val="none"/>
                      <w:lang w:val="zh-CN"/>
                    </w:rPr>
                    <w:t>K</w:t>
                  </w:r>
                  <w:r>
                    <w:rPr>
                      <w:color w:val="000000"/>
                      <w:kern w:val="0"/>
                      <w:sz w:val="21"/>
                      <w:szCs w:val="21"/>
                      <w:u w:val="none"/>
                      <w:lang w:val="zh-CN"/>
                    </w:rPr>
                    <w:t>≤</w:t>
                  </w:r>
                  <w:r>
                    <w:rPr>
                      <w:color w:val="000000"/>
                      <w:sz w:val="21"/>
                      <w:szCs w:val="21"/>
                      <w:u w:val="none"/>
                    </w:rPr>
                    <w:t>1×10</w:t>
                  </w:r>
                  <w:r>
                    <w:rPr>
                      <w:color w:val="000000"/>
                      <w:sz w:val="21"/>
                      <w:szCs w:val="21"/>
                      <w:u w:val="none"/>
                      <w:vertAlign w:val="superscript"/>
                    </w:rPr>
                    <w:t>-</w:t>
                  </w:r>
                  <w:r>
                    <w:rPr>
                      <w:rFonts w:hint="eastAsia"/>
                      <w:color w:val="000000"/>
                      <w:sz w:val="21"/>
                      <w:szCs w:val="21"/>
                      <w:u w:val="none"/>
                      <w:vertAlign w:val="superscript"/>
                      <w:lang w:val="en-US" w:eastAsia="zh-CN"/>
                    </w:rPr>
                    <w:t>10</w:t>
                  </w:r>
                  <w:r>
                    <w:rPr>
                      <w:color w:val="000000"/>
                      <w:kern w:val="0"/>
                      <w:sz w:val="21"/>
                      <w:szCs w:val="21"/>
                      <w:u w:val="none"/>
                      <w:lang w:val="zh-CN"/>
                    </w:rPr>
                    <w:t>cm/s</w:t>
                  </w:r>
                </w:p>
              </w:tc>
            </w:tr>
            <w:tr w14:paraId="5629F17E">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529" w:type="dxa"/>
                  <w:tcBorders>
                    <w:tl2br w:val="nil"/>
                    <w:tr2bl w:val="nil"/>
                  </w:tcBorders>
                  <w:shd w:val="clear" w:color="auto" w:fill="auto"/>
                  <w:noWrap w:val="0"/>
                  <w:vAlign w:val="center"/>
                </w:tcPr>
                <w:p w14:paraId="7AF6AFED">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2"/>
                      <w:u w:val="none"/>
                      <w:vertAlign w:val="baseline"/>
                      <w:lang w:val="en-US" w:eastAsia="zh-CN" w:bidi="ar-SA"/>
                    </w:rPr>
                  </w:pPr>
                  <w:r>
                    <w:rPr>
                      <w:rFonts w:hint="eastAsia" w:cs="Times New Roman"/>
                      <w:color w:val="auto"/>
                      <w:kern w:val="2"/>
                      <w:sz w:val="24"/>
                      <w:szCs w:val="22"/>
                      <w:u w:val="none"/>
                      <w:vertAlign w:val="baseline"/>
                      <w:lang w:val="en-US" w:eastAsia="zh-CN" w:bidi="ar-SA"/>
                    </w:rPr>
                    <w:t>2</w:t>
                  </w:r>
                </w:p>
              </w:tc>
              <w:tc>
                <w:tcPr>
                  <w:tcW w:w="1088" w:type="dxa"/>
                  <w:tcBorders>
                    <w:tl2br w:val="nil"/>
                    <w:tr2bl w:val="nil"/>
                  </w:tcBorders>
                  <w:shd w:val="clear" w:color="auto" w:fill="auto"/>
                  <w:noWrap w:val="0"/>
                  <w:vAlign w:val="center"/>
                </w:tcPr>
                <w:p w14:paraId="62302A21">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r>
                    <w:rPr>
                      <w:rFonts w:hint="eastAsia"/>
                      <w:color w:val="000000"/>
                      <w:sz w:val="21"/>
                      <w:szCs w:val="21"/>
                      <w:u w:val="none"/>
                      <w:lang w:val="en-US" w:eastAsia="zh-CN"/>
                    </w:rPr>
                    <w:t>润滑油和絮凝剂</w:t>
                  </w:r>
                  <w:r>
                    <w:rPr>
                      <w:rFonts w:hint="eastAsia"/>
                      <w:color w:val="000000"/>
                      <w:sz w:val="21"/>
                      <w:szCs w:val="21"/>
                      <w:u w:val="none"/>
                      <w:lang w:val="zh-CN"/>
                    </w:rPr>
                    <w:t>贮存区</w:t>
                  </w:r>
                </w:p>
              </w:tc>
              <w:tc>
                <w:tcPr>
                  <w:tcW w:w="1080" w:type="dxa"/>
                  <w:tcBorders>
                    <w:tl2br w:val="nil"/>
                    <w:tr2bl w:val="nil"/>
                  </w:tcBorders>
                  <w:shd w:val="clear" w:color="auto" w:fill="auto"/>
                  <w:noWrap w:val="0"/>
                  <w:vAlign w:val="center"/>
                </w:tcPr>
                <w:p w14:paraId="115438F4">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SA"/>
                    </w:rPr>
                  </w:pPr>
                  <w:r>
                    <w:rPr>
                      <w:rFonts w:hint="eastAsia" w:cs="Times New Roman"/>
                      <w:color w:val="auto"/>
                      <w:kern w:val="2"/>
                      <w:sz w:val="21"/>
                      <w:szCs w:val="21"/>
                      <w:u w:val="none"/>
                      <w:vertAlign w:val="baseline"/>
                      <w:lang w:val="en-US" w:eastAsia="zh-CN" w:bidi="ar-SA"/>
                    </w:rPr>
                    <w:t>难</w:t>
                  </w:r>
                </w:p>
              </w:tc>
              <w:tc>
                <w:tcPr>
                  <w:tcW w:w="1361" w:type="dxa"/>
                  <w:tcBorders>
                    <w:tl2br w:val="nil"/>
                    <w:tr2bl w:val="nil"/>
                  </w:tcBorders>
                  <w:shd w:val="clear" w:color="auto" w:fill="auto"/>
                  <w:noWrap w:val="0"/>
                  <w:vAlign w:val="center"/>
                </w:tcPr>
                <w:p w14:paraId="71B41494">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2"/>
                      <w:u w:val="none"/>
                      <w:vertAlign w:val="baseline"/>
                      <w:lang w:val="en-US" w:eastAsia="zh-CN" w:bidi="ar-SA"/>
                    </w:rPr>
                  </w:pPr>
                  <w:r>
                    <w:rPr>
                      <w:rFonts w:hint="eastAsia"/>
                      <w:color w:val="auto"/>
                      <w:sz w:val="21"/>
                      <w:szCs w:val="21"/>
                      <w:u w:val="none"/>
                      <w:vertAlign w:val="baseline"/>
                      <w:lang w:val="en-US" w:eastAsia="zh-CN"/>
                    </w:rPr>
                    <w:t>避免发生泄漏污染土壤和地下水</w:t>
                  </w:r>
                </w:p>
              </w:tc>
              <w:tc>
                <w:tcPr>
                  <w:tcW w:w="882" w:type="dxa"/>
                  <w:vMerge w:val="continue"/>
                  <w:tcBorders>
                    <w:tl2br w:val="nil"/>
                    <w:tr2bl w:val="nil"/>
                  </w:tcBorders>
                  <w:noWrap w:val="0"/>
                  <w:vAlign w:val="center"/>
                </w:tcPr>
                <w:p w14:paraId="2A9A15DE">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p>
              </w:tc>
              <w:tc>
                <w:tcPr>
                  <w:tcW w:w="2857" w:type="dxa"/>
                  <w:vMerge w:val="continue"/>
                  <w:tcBorders>
                    <w:tl2br w:val="nil"/>
                    <w:tr2bl w:val="nil"/>
                  </w:tcBorders>
                  <w:noWrap w:val="0"/>
                  <w:vAlign w:val="center"/>
                </w:tcPr>
                <w:p w14:paraId="1D759493">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color w:val="000000"/>
                      <w:sz w:val="21"/>
                      <w:szCs w:val="21"/>
                      <w:u w:val="none"/>
                    </w:rPr>
                  </w:pPr>
                </w:p>
              </w:tc>
            </w:tr>
            <w:tr w14:paraId="1ABB98E7">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529" w:type="dxa"/>
                  <w:tcBorders>
                    <w:tl2br w:val="nil"/>
                    <w:tr2bl w:val="nil"/>
                  </w:tcBorders>
                  <w:noWrap w:val="0"/>
                  <w:vAlign w:val="center"/>
                </w:tcPr>
                <w:p w14:paraId="2AA6B727">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color w:val="auto"/>
                      <w:sz w:val="24"/>
                      <w:szCs w:val="22"/>
                      <w:u w:val="none"/>
                      <w:vertAlign w:val="baseline"/>
                      <w:lang w:val="en-US" w:eastAsia="zh-CN"/>
                    </w:rPr>
                  </w:pPr>
                  <w:r>
                    <w:rPr>
                      <w:rFonts w:hint="eastAsia"/>
                      <w:color w:val="auto"/>
                      <w:sz w:val="24"/>
                      <w:szCs w:val="22"/>
                      <w:u w:val="none"/>
                      <w:vertAlign w:val="baseline"/>
                      <w:lang w:val="en-US" w:eastAsia="zh-CN"/>
                    </w:rPr>
                    <w:t>3</w:t>
                  </w:r>
                </w:p>
              </w:tc>
              <w:tc>
                <w:tcPr>
                  <w:tcW w:w="1088" w:type="dxa"/>
                  <w:tcBorders>
                    <w:tl2br w:val="nil"/>
                    <w:tr2bl w:val="nil"/>
                  </w:tcBorders>
                  <w:noWrap w:val="0"/>
                  <w:vAlign w:val="center"/>
                </w:tcPr>
                <w:p w14:paraId="2C58CD25">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color w:val="000000"/>
                      <w:sz w:val="21"/>
                      <w:szCs w:val="21"/>
                      <w:u w:val="none"/>
                      <w:lang w:val="en-US" w:eastAsia="zh-CN"/>
                    </w:rPr>
                  </w:pPr>
                  <w:r>
                    <w:rPr>
                      <w:rFonts w:hint="eastAsia"/>
                      <w:color w:val="000000"/>
                      <w:sz w:val="21"/>
                      <w:szCs w:val="21"/>
                      <w:highlight w:val="none"/>
                      <w:u w:val="none"/>
                      <w:lang w:val="en-US" w:eastAsia="zh-CN"/>
                    </w:rPr>
                    <w:t>沉淀池和污水池</w:t>
                  </w:r>
                </w:p>
              </w:tc>
              <w:tc>
                <w:tcPr>
                  <w:tcW w:w="1080" w:type="dxa"/>
                  <w:tcBorders>
                    <w:tl2br w:val="nil"/>
                    <w:tr2bl w:val="nil"/>
                  </w:tcBorders>
                  <w:noWrap w:val="0"/>
                  <w:vAlign w:val="center"/>
                </w:tcPr>
                <w:p w14:paraId="066F2935">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color w:val="auto"/>
                      <w:sz w:val="21"/>
                      <w:szCs w:val="21"/>
                      <w:u w:val="none"/>
                      <w:vertAlign w:val="baseline"/>
                      <w:lang w:val="en-US" w:eastAsia="zh-CN"/>
                    </w:rPr>
                  </w:pPr>
                  <w:r>
                    <w:rPr>
                      <w:rFonts w:hint="eastAsia"/>
                      <w:color w:val="auto"/>
                      <w:sz w:val="21"/>
                      <w:szCs w:val="21"/>
                      <w:u w:val="none"/>
                      <w:vertAlign w:val="baseline"/>
                      <w:lang w:val="en-US" w:eastAsia="zh-CN"/>
                    </w:rPr>
                    <w:t>一般</w:t>
                  </w:r>
                </w:p>
              </w:tc>
              <w:tc>
                <w:tcPr>
                  <w:tcW w:w="1361" w:type="dxa"/>
                  <w:vMerge w:val="restart"/>
                  <w:tcBorders>
                    <w:tl2br w:val="nil"/>
                    <w:tr2bl w:val="nil"/>
                  </w:tcBorders>
                  <w:noWrap w:val="0"/>
                  <w:vAlign w:val="center"/>
                </w:tcPr>
                <w:p w14:paraId="0CCE35C6">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eastAsia="宋体"/>
                      <w:color w:val="auto"/>
                      <w:sz w:val="24"/>
                      <w:szCs w:val="22"/>
                      <w:u w:val="none"/>
                      <w:vertAlign w:val="baseline"/>
                      <w:lang w:val="en-US" w:eastAsia="zh-CN"/>
                    </w:rPr>
                  </w:pPr>
                  <w:r>
                    <w:rPr>
                      <w:rFonts w:hint="eastAsia"/>
                      <w:color w:val="auto"/>
                      <w:sz w:val="21"/>
                      <w:szCs w:val="21"/>
                      <w:u w:val="none"/>
                      <w:vertAlign w:val="baseline"/>
                      <w:lang w:val="en-US" w:eastAsia="zh-CN"/>
                    </w:rPr>
                    <w:t>生产废水需要进行防渗处置，避免发生泄漏污染土壤和地下水</w:t>
                  </w:r>
                </w:p>
              </w:tc>
              <w:tc>
                <w:tcPr>
                  <w:tcW w:w="882" w:type="dxa"/>
                  <w:vMerge w:val="restart"/>
                  <w:tcBorders>
                    <w:tl2br w:val="nil"/>
                    <w:tr2bl w:val="nil"/>
                  </w:tcBorders>
                  <w:shd w:val="clear" w:color="auto" w:fill="auto"/>
                  <w:noWrap w:val="0"/>
                  <w:vAlign w:val="center"/>
                </w:tcPr>
                <w:p w14:paraId="71FD68A1">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color w:val="auto"/>
                      <w:sz w:val="21"/>
                      <w:szCs w:val="21"/>
                      <w:u w:val="none"/>
                      <w:vertAlign w:val="baseline"/>
                      <w:lang w:val="en-US" w:eastAsia="zh-CN"/>
                    </w:rPr>
                  </w:pPr>
                  <w:r>
                    <w:rPr>
                      <w:rFonts w:hint="eastAsia"/>
                      <w:color w:val="auto"/>
                      <w:sz w:val="21"/>
                      <w:szCs w:val="21"/>
                      <w:u w:val="none"/>
                      <w:vertAlign w:val="baseline"/>
                      <w:lang w:val="en-US" w:eastAsia="zh-CN"/>
                    </w:rPr>
                    <w:t>一般防</w:t>
                  </w:r>
                </w:p>
                <w:p w14:paraId="49983B51">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SA"/>
                    </w:rPr>
                  </w:pPr>
                  <w:r>
                    <w:rPr>
                      <w:rFonts w:hint="eastAsia"/>
                      <w:color w:val="auto"/>
                      <w:sz w:val="21"/>
                      <w:szCs w:val="21"/>
                      <w:u w:val="none"/>
                      <w:vertAlign w:val="baseline"/>
                      <w:lang w:val="en-US" w:eastAsia="zh-CN"/>
                    </w:rPr>
                    <w:t>渗区</w:t>
                  </w:r>
                </w:p>
              </w:tc>
              <w:tc>
                <w:tcPr>
                  <w:tcW w:w="2857" w:type="dxa"/>
                  <w:vMerge w:val="restart"/>
                  <w:tcBorders>
                    <w:tl2br w:val="nil"/>
                    <w:tr2bl w:val="nil"/>
                  </w:tcBorders>
                  <w:shd w:val="clear" w:color="auto" w:fill="auto"/>
                  <w:noWrap w:val="0"/>
                  <w:vAlign w:val="center"/>
                </w:tcPr>
                <w:p w14:paraId="183483E2">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r>
                    <w:rPr>
                      <w:rFonts w:hint="eastAsia" w:ascii="Times New Roman" w:hAnsi="Times New Roman" w:eastAsia="宋体" w:cs="Times New Roman"/>
                      <w:color w:val="auto"/>
                      <w:kern w:val="0"/>
                      <w:sz w:val="21"/>
                      <w:szCs w:val="21"/>
                      <w:u w:val="none"/>
                      <w:lang w:val="en-US" w:eastAsia="zh-CN" w:bidi="ar-SA"/>
                    </w:rPr>
                    <w:t>采取等效黏土防渗层Mb≥</w:t>
                  </w:r>
                  <w:r>
                    <w:rPr>
                      <w:rFonts w:hint="eastAsia" w:cs="Times New Roman"/>
                      <w:color w:val="auto"/>
                      <w:kern w:val="0"/>
                      <w:sz w:val="21"/>
                      <w:szCs w:val="21"/>
                      <w:u w:val="none"/>
                      <w:lang w:val="en-US" w:eastAsia="zh-CN" w:bidi="ar-SA"/>
                    </w:rPr>
                    <w:t>1.5</w:t>
                  </w:r>
                  <w:r>
                    <w:rPr>
                      <w:rFonts w:hint="eastAsia" w:ascii="Times New Roman" w:hAnsi="Times New Roman" w:eastAsia="宋体" w:cs="Times New Roman"/>
                      <w:color w:val="auto"/>
                      <w:kern w:val="0"/>
                      <w:sz w:val="21"/>
                      <w:szCs w:val="21"/>
                      <w:u w:val="none"/>
                      <w:lang w:val="en-US" w:eastAsia="zh-CN" w:bidi="ar-SA"/>
                    </w:rPr>
                    <w:t>m，K≤1×10</w:t>
                  </w:r>
                  <w:r>
                    <w:rPr>
                      <w:rFonts w:hint="eastAsia" w:ascii="Times New Roman" w:hAnsi="Times New Roman" w:eastAsia="宋体" w:cs="Times New Roman"/>
                      <w:color w:val="auto"/>
                      <w:kern w:val="0"/>
                      <w:sz w:val="21"/>
                      <w:szCs w:val="21"/>
                      <w:u w:val="none"/>
                      <w:vertAlign w:val="superscript"/>
                      <w:lang w:val="en-US" w:eastAsia="zh-CN" w:bidi="ar-SA"/>
                    </w:rPr>
                    <w:t>-7</w:t>
                  </w:r>
                  <w:r>
                    <w:rPr>
                      <w:rFonts w:hint="eastAsia" w:ascii="Times New Roman" w:hAnsi="Times New Roman" w:eastAsia="宋体" w:cs="Times New Roman"/>
                      <w:color w:val="auto"/>
                      <w:kern w:val="0"/>
                      <w:sz w:val="21"/>
                      <w:szCs w:val="21"/>
                      <w:u w:val="none"/>
                      <w:lang w:val="en-US" w:eastAsia="zh-CN" w:bidi="ar-SA"/>
                    </w:rPr>
                    <w:t>cm/s 进行设计）</w:t>
                  </w:r>
                </w:p>
              </w:tc>
            </w:tr>
            <w:tr w14:paraId="00E0058A">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529" w:type="dxa"/>
                  <w:tcBorders>
                    <w:tl2br w:val="nil"/>
                    <w:tr2bl w:val="nil"/>
                  </w:tcBorders>
                  <w:noWrap w:val="0"/>
                  <w:vAlign w:val="center"/>
                </w:tcPr>
                <w:p w14:paraId="16991325">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color w:val="auto"/>
                      <w:sz w:val="24"/>
                      <w:szCs w:val="22"/>
                      <w:u w:val="none"/>
                      <w:vertAlign w:val="baseline"/>
                      <w:lang w:val="en-US" w:eastAsia="zh-CN"/>
                    </w:rPr>
                  </w:pPr>
                  <w:r>
                    <w:rPr>
                      <w:rFonts w:hint="eastAsia"/>
                      <w:color w:val="auto"/>
                      <w:sz w:val="24"/>
                      <w:szCs w:val="22"/>
                      <w:u w:val="none"/>
                      <w:vertAlign w:val="baseline"/>
                      <w:lang w:val="en-US" w:eastAsia="zh-CN"/>
                    </w:rPr>
                    <w:t>4</w:t>
                  </w:r>
                </w:p>
              </w:tc>
              <w:tc>
                <w:tcPr>
                  <w:tcW w:w="1088" w:type="dxa"/>
                  <w:tcBorders>
                    <w:tl2br w:val="nil"/>
                    <w:tr2bl w:val="nil"/>
                  </w:tcBorders>
                  <w:noWrap w:val="0"/>
                  <w:vAlign w:val="center"/>
                </w:tcPr>
                <w:p w14:paraId="52C77682">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color w:val="000000"/>
                      <w:sz w:val="21"/>
                      <w:szCs w:val="21"/>
                      <w:u w:val="none"/>
                      <w:lang w:val="en-US" w:eastAsia="zh-CN"/>
                    </w:rPr>
                  </w:pPr>
                  <w:r>
                    <w:rPr>
                      <w:rFonts w:hint="eastAsia"/>
                      <w:color w:val="000000"/>
                      <w:sz w:val="21"/>
                      <w:szCs w:val="21"/>
                      <w:u w:val="none"/>
                      <w:lang w:val="en-US" w:eastAsia="zh-CN"/>
                    </w:rPr>
                    <w:t>污水管线</w:t>
                  </w:r>
                </w:p>
              </w:tc>
              <w:tc>
                <w:tcPr>
                  <w:tcW w:w="1080" w:type="dxa"/>
                  <w:tcBorders>
                    <w:tl2br w:val="nil"/>
                    <w:tr2bl w:val="nil"/>
                  </w:tcBorders>
                  <w:noWrap w:val="0"/>
                  <w:vAlign w:val="center"/>
                </w:tcPr>
                <w:p w14:paraId="71A12085">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color w:val="auto"/>
                      <w:sz w:val="21"/>
                      <w:szCs w:val="21"/>
                      <w:u w:val="none"/>
                      <w:vertAlign w:val="baseline"/>
                      <w:lang w:val="en-US" w:eastAsia="zh-CN"/>
                    </w:rPr>
                  </w:pPr>
                  <w:r>
                    <w:rPr>
                      <w:rFonts w:hint="eastAsia"/>
                      <w:color w:val="auto"/>
                      <w:sz w:val="21"/>
                      <w:szCs w:val="21"/>
                      <w:u w:val="none"/>
                      <w:vertAlign w:val="baseline"/>
                      <w:lang w:val="en-US" w:eastAsia="zh-CN"/>
                    </w:rPr>
                    <w:t>一般</w:t>
                  </w:r>
                </w:p>
              </w:tc>
              <w:tc>
                <w:tcPr>
                  <w:tcW w:w="1361" w:type="dxa"/>
                  <w:vMerge w:val="continue"/>
                  <w:tcBorders>
                    <w:tl2br w:val="nil"/>
                    <w:tr2bl w:val="nil"/>
                  </w:tcBorders>
                  <w:noWrap w:val="0"/>
                  <w:vAlign w:val="center"/>
                </w:tcPr>
                <w:p w14:paraId="433B22F9">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both"/>
                    <w:textAlignment w:val="auto"/>
                    <w:rPr>
                      <w:color w:val="auto"/>
                      <w:sz w:val="24"/>
                      <w:szCs w:val="22"/>
                      <w:u w:val="none"/>
                      <w:vertAlign w:val="baseline"/>
                    </w:rPr>
                  </w:pPr>
                </w:p>
              </w:tc>
              <w:tc>
                <w:tcPr>
                  <w:tcW w:w="882" w:type="dxa"/>
                  <w:vMerge w:val="continue"/>
                  <w:tcBorders>
                    <w:tl2br w:val="nil"/>
                    <w:tr2bl w:val="nil"/>
                  </w:tcBorders>
                  <w:noWrap w:val="0"/>
                  <w:vAlign w:val="center"/>
                </w:tcPr>
                <w:p w14:paraId="424D7C4D">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jc w:val="center"/>
                    <w:textAlignment w:val="auto"/>
                    <w:rPr>
                      <w:color w:val="auto"/>
                      <w:sz w:val="24"/>
                      <w:szCs w:val="22"/>
                      <w:u w:val="none"/>
                      <w:vertAlign w:val="baseline"/>
                    </w:rPr>
                  </w:pPr>
                </w:p>
              </w:tc>
              <w:tc>
                <w:tcPr>
                  <w:tcW w:w="2857" w:type="dxa"/>
                  <w:vMerge w:val="continue"/>
                  <w:tcBorders>
                    <w:tl2br w:val="nil"/>
                    <w:tr2bl w:val="nil"/>
                  </w:tcBorders>
                  <w:noWrap w:val="0"/>
                  <w:vAlign w:val="center"/>
                </w:tcPr>
                <w:p w14:paraId="1BD20715">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p>
              </w:tc>
            </w:tr>
            <w:tr w14:paraId="71DE24AE">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529" w:type="dxa"/>
                  <w:tcBorders>
                    <w:tl2br w:val="nil"/>
                    <w:tr2bl w:val="nil"/>
                  </w:tcBorders>
                  <w:noWrap w:val="0"/>
                  <w:vAlign w:val="center"/>
                </w:tcPr>
                <w:p w14:paraId="6F8DD667">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color w:val="auto"/>
                      <w:sz w:val="24"/>
                      <w:szCs w:val="22"/>
                      <w:u w:val="none"/>
                      <w:vertAlign w:val="baseline"/>
                      <w:lang w:val="en-US" w:eastAsia="zh-CN"/>
                    </w:rPr>
                  </w:pPr>
                  <w:r>
                    <w:rPr>
                      <w:rFonts w:hint="eastAsia"/>
                      <w:color w:val="auto"/>
                      <w:sz w:val="24"/>
                      <w:szCs w:val="22"/>
                      <w:u w:val="none"/>
                      <w:vertAlign w:val="baseline"/>
                      <w:lang w:val="en-US" w:eastAsia="zh-CN"/>
                    </w:rPr>
                    <w:t>5</w:t>
                  </w:r>
                </w:p>
              </w:tc>
              <w:tc>
                <w:tcPr>
                  <w:tcW w:w="1088" w:type="dxa"/>
                  <w:tcBorders>
                    <w:tl2br w:val="nil"/>
                    <w:tr2bl w:val="nil"/>
                  </w:tcBorders>
                  <w:noWrap w:val="0"/>
                  <w:vAlign w:val="center"/>
                </w:tcPr>
                <w:p w14:paraId="1B8DBEBB">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厂房内其他区域</w:t>
                  </w:r>
                </w:p>
              </w:tc>
              <w:tc>
                <w:tcPr>
                  <w:tcW w:w="1080" w:type="dxa"/>
                  <w:tcBorders>
                    <w:tl2br w:val="nil"/>
                    <w:tr2bl w:val="nil"/>
                  </w:tcBorders>
                  <w:noWrap w:val="0"/>
                  <w:vAlign w:val="center"/>
                </w:tcPr>
                <w:p w14:paraId="51602DAA">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color w:val="auto"/>
                      <w:sz w:val="21"/>
                      <w:szCs w:val="21"/>
                      <w:u w:val="none"/>
                      <w:vertAlign w:val="baseline"/>
                      <w:lang w:val="en-US" w:eastAsia="zh-CN"/>
                    </w:rPr>
                  </w:pPr>
                  <w:r>
                    <w:rPr>
                      <w:rFonts w:hint="eastAsia"/>
                      <w:color w:val="auto"/>
                      <w:sz w:val="21"/>
                      <w:szCs w:val="21"/>
                      <w:u w:val="none"/>
                      <w:vertAlign w:val="baseline"/>
                      <w:lang w:val="en-US" w:eastAsia="zh-CN"/>
                    </w:rPr>
                    <w:t>易</w:t>
                  </w:r>
                </w:p>
              </w:tc>
              <w:tc>
                <w:tcPr>
                  <w:tcW w:w="1361" w:type="dxa"/>
                  <w:tcBorders>
                    <w:tl2br w:val="nil"/>
                    <w:tr2bl w:val="nil"/>
                  </w:tcBorders>
                  <w:noWrap w:val="0"/>
                  <w:vAlign w:val="center"/>
                </w:tcPr>
                <w:p w14:paraId="40052E60">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eastAsia="宋体"/>
                      <w:color w:val="auto"/>
                      <w:sz w:val="24"/>
                      <w:szCs w:val="22"/>
                      <w:u w:val="none"/>
                      <w:vertAlign w:val="baseline"/>
                      <w:lang w:val="en-US" w:eastAsia="zh-CN"/>
                    </w:rPr>
                  </w:pPr>
                  <w:r>
                    <w:rPr>
                      <w:rFonts w:hint="eastAsia"/>
                      <w:color w:val="auto"/>
                      <w:sz w:val="24"/>
                      <w:szCs w:val="22"/>
                      <w:u w:val="none"/>
                      <w:vertAlign w:val="baseline"/>
                      <w:lang w:val="en-US" w:eastAsia="zh-CN"/>
                    </w:rPr>
                    <w:t>/</w:t>
                  </w:r>
                </w:p>
              </w:tc>
              <w:tc>
                <w:tcPr>
                  <w:tcW w:w="882" w:type="dxa"/>
                  <w:tcBorders>
                    <w:tl2br w:val="nil"/>
                    <w:tr2bl w:val="nil"/>
                  </w:tcBorders>
                  <w:noWrap w:val="0"/>
                  <w:vAlign w:val="center"/>
                </w:tcPr>
                <w:p w14:paraId="2D04F196">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eastAsia"/>
                      <w:color w:val="auto"/>
                      <w:sz w:val="21"/>
                      <w:szCs w:val="21"/>
                      <w:u w:val="none"/>
                      <w:vertAlign w:val="baseline"/>
                      <w:lang w:val="en-US" w:eastAsia="zh-CN"/>
                    </w:rPr>
                  </w:pPr>
                  <w:r>
                    <w:rPr>
                      <w:rFonts w:hint="eastAsia"/>
                      <w:color w:val="auto"/>
                      <w:sz w:val="21"/>
                      <w:szCs w:val="21"/>
                      <w:u w:val="none"/>
                      <w:vertAlign w:val="baseline"/>
                      <w:lang w:val="en-US" w:eastAsia="zh-CN"/>
                    </w:rPr>
                    <w:t>简单防</w:t>
                  </w:r>
                </w:p>
                <w:p w14:paraId="0693C714">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eastAsia="宋体"/>
                      <w:color w:val="auto"/>
                      <w:sz w:val="24"/>
                      <w:szCs w:val="22"/>
                      <w:u w:val="none"/>
                      <w:vertAlign w:val="baseline"/>
                      <w:lang w:val="en-US" w:eastAsia="zh-CN"/>
                    </w:rPr>
                  </w:pPr>
                  <w:r>
                    <w:rPr>
                      <w:rFonts w:hint="eastAsia"/>
                      <w:color w:val="auto"/>
                      <w:sz w:val="21"/>
                      <w:szCs w:val="21"/>
                      <w:u w:val="none"/>
                      <w:vertAlign w:val="baseline"/>
                      <w:lang w:val="en-US" w:eastAsia="zh-CN"/>
                    </w:rPr>
                    <w:t>渗区</w:t>
                  </w:r>
                </w:p>
              </w:tc>
              <w:tc>
                <w:tcPr>
                  <w:tcW w:w="2857" w:type="dxa"/>
                  <w:tcBorders>
                    <w:tl2br w:val="nil"/>
                    <w:tr2bl w:val="nil"/>
                  </w:tcBorders>
                  <w:noWrap w:val="0"/>
                  <w:vAlign w:val="center"/>
                </w:tcPr>
                <w:p w14:paraId="047260C3">
                  <w:pPr>
                    <w:pStyle w:val="22"/>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地面硬化</w:t>
                  </w:r>
                </w:p>
              </w:tc>
            </w:tr>
          </w:tbl>
          <w:p w14:paraId="3C456C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textAlignment w:val="auto"/>
              <w:rPr>
                <w:rFonts w:hint="eastAsia" w:ascii="Times New Roman" w:hAnsi="Times New Roman" w:eastAsia="宋体" w:cs="Times New Roman"/>
                <w:b w:val="0"/>
                <w:bCs/>
                <w:color w:val="auto"/>
                <w:sz w:val="24"/>
                <w:u w:val="none"/>
              </w:rPr>
            </w:pPr>
            <w:r>
              <w:rPr>
                <w:rFonts w:hint="eastAsia" w:cs="Times New Roman"/>
                <w:b w:val="0"/>
                <w:bCs/>
                <w:color w:val="auto"/>
                <w:sz w:val="24"/>
                <w:u w:val="none"/>
                <w:lang w:val="en-US" w:eastAsia="zh-CN"/>
              </w:rPr>
              <w:t>5.3</w:t>
            </w:r>
            <w:r>
              <w:rPr>
                <w:rFonts w:hint="eastAsia" w:ascii="Times New Roman" w:hAnsi="Times New Roman" w:eastAsia="宋体" w:cs="Times New Roman"/>
                <w:b w:val="0"/>
                <w:bCs/>
                <w:color w:val="auto"/>
                <w:sz w:val="24"/>
                <w:u w:val="none"/>
              </w:rPr>
              <w:t xml:space="preserve"> 污染防控措施</w:t>
            </w:r>
          </w:p>
          <w:p w14:paraId="2706089C">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000000"/>
                <w:kern w:val="0"/>
                <w:sz w:val="24"/>
                <w:u w:val="none"/>
                <w:lang w:val="zh-CN"/>
              </w:rPr>
            </w:pPr>
            <w:r>
              <w:rPr>
                <w:rFonts w:hint="eastAsia"/>
                <w:color w:val="000000"/>
                <w:kern w:val="0"/>
                <w:sz w:val="24"/>
                <w:u w:val="none"/>
                <w:lang w:val="zh-CN"/>
              </w:rPr>
              <w:t>本项目</w:t>
            </w:r>
            <w:r>
              <w:rPr>
                <w:rFonts w:hint="eastAsia"/>
                <w:color w:val="000000"/>
                <w:kern w:val="0"/>
                <w:sz w:val="24"/>
                <w:u w:val="none"/>
                <w:lang w:val="en-US" w:eastAsia="zh-CN"/>
              </w:rPr>
              <w:t>污水</w:t>
            </w:r>
            <w:r>
              <w:rPr>
                <w:rFonts w:hint="eastAsia"/>
                <w:color w:val="000000"/>
                <w:kern w:val="0"/>
                <w:sz w:val="24"/>
                <w:u w:val="none"/>
                <w:lang w:val="zh-CN"/>
              </w:rPr>
              <w:t>池、</w:t>
            </w:r>
            <w:r>
              <w:rPr>
                <w:rFonts w:hint="eastAsia"/>
                <w:color w:val="000000"/>
                <w:kern w:val="0"/>
                <w:sz w:val="24"/>
                <w:u w:val="none"/>
                <w:lang w:val="en-US" w:eastAsia="zh-CN"/>
              </w:rPr>
              <w:t>清水池</w:t>
            </w:r>
            <w:r>
              <w:rPr>
                <w:rFonts w:hint="eastAsia"/>
                <w:color w:val="000000"/>
                <w:kern w:val="0"/>
                <w:sz w:val="24"/>
                <w:u w:val="none"/>
                <w:lang w:val="zh-CN"/>
              </w:rPr>
              <w:t>防渗层损坏或污水</w:t>
            </w:r>
            <w:r>
              <w:rPr>
                <w:color w:val="000000"/>
                <w:kern w:val="0"/>
                <w:sz w:val="24"/>
                <w:u w:val="none"/>
                <w:lang w:val="zh-CN"/>
              </w:rPr>
              <w:t>管道一旦出现破裂，便会造成废水泄露，在此情况下，废水外排进入环境，可能对自然水体、土壤的环境质量造成不良影响。另外，废水通过渗透进入地下水环境，可能会污染厂区和周边区域地下水。因此，</w:t>
            </w:r>
            <w:r>
              <w:rPr>
                <w:rFonts w:hint="eastAsia"/>
                <w:color w:val="000000"/>
                <w:kern w:val="0"/>
                <w:sz w:val="24"/>
                <w:u w:val="none"/>
                <w:lang w:val="zh-CN"/>
              </w:rPr>
              <w:t>项目</w:t>
            </w:r>
            <w:r>
              <w:rPr>
                <w:color w:val="000000"/>
                <w:kern w:val="0"/>
                <w:sz w:val="24"/>
                <w:u w:val="none"/>
                <w:lang w:val="zh-CN"/>
              </w:rPr>
              <w:t>应重点做好事故防范和应急措施，杜绝污水处理系统事故</w:t>
            </w:r>
            <w:r>
              <w:rPr>
                <w:rFonts w:hint="eastAsia"/>
                <w:color w:val="000000"/>
                <w:kern w:val="0"/>
                <w:sz w:val="24"/>
                <w:u w:val="none"/>
                <w:lang w:val="zh-CN"/>
              </w:rPr>
              <w:t>发生</w:t>
            </w:r>
            <w:r>
              <w:rPr>
                <w:color w:val="000000"/>
                <w:kern w:val="0"/>
                <w:sz w:val="24"/>
                <w:u w:val="none"/>
                <w:lang w:val="zh-CN"/>
              </w:rPr>
              <w:t>。</w:t>
            </w:r>
          </w:p>
          <w:p w14:paraId="07EFF740">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000000"/>
                <w:kern w:val="0"/>
                <w:sz w:val="24"/>
                <w:u w:val="none"/>
                <w:lang w:val="zh-CN"/>
              </w:rPr>
            </w:pPr>
            <w:r>
              <w:rPr>
                <w:color w:val="000000"/>
                <w:kern w:val="0"/>
                <w:sz w:val="24"/>
                <w:u w:val="none"/>
                <w:lang w:val="zh-CN"/>
              </w:rPr>
              <w:t>根据项目可能泄漏至地面区域污染物的性质和生产单元的</w:t>
            </w:r>
            <w:r>
              <w:rPr>
                <w:rFonts w:hint="eastAsia"/>
                <w:color w:val="000000"/>
                <w:kern w:val="0"/>
                <w:sz w:val="24"/>
                <w:u w:val="none"/>
                <w:lang w:val="zh-CN"/>
              </w:rPr>
              <w:t>构筑</w:t>
            </w:r>
            <w:r>
              <w:rPr>
                <w:color w:val="000000"/>
                <w:kern w:val="0"/>
                <w:sz w:val="24"/>
                <w:u w:val="none"/>
                <w:lang w:val="zh-CN"/>
              </w:rPr>
              <w:t>方式</w:t>
            </w:r>
            <w:r>
              <w:rPr>
                <w:rFonts w:hint="eastAsia"/>
                <w:color w:val="000000"/>
                <w:kern w:val="0"/>
                <w:sz w:val="24"/>
                <w:u w:val="none"/>
                <w:lang w:val="zh-CN"/>
              </w:rPr>
              <w:t>，</w:t>
            </w:r>
            <w:r>
              <w:rPr>
                <w:rFonts w:hint="eastAsia"/>
                <w:bCs/>
                <w:color w:val="000000"/>
                <w:kern w:val="0"/>
                <w:sz w:val="24"/>
                <w:u w:val="none"/>
                <w:lang w:val="zh-CN"/>
              </w:rPr>
              <w:t>本项目</w:t>
            </w:r>
            <w:r>
              <w:rPr>
                <w:color w:val="000000"/>
                <w:kern w:val="0"/>
                <w:sz w:val="24"/>
                <w:u w:val="none"/>
                <w:lang w:val="zh-CN"/>
              </w:rPr>
              <w:t>采取分区防渗的措施：</w:t>
            </w:r>
          </w:p>
          <w:p w14:paraId="236A7CD3">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000000"/>
                <w:kern w:val="0"/>
                <w:sz w:val="24"/>
                <w:u w:val="none"/>
                <w:lang w:val="zh-CN"/>
              </w:rPr>
            </w:pPr>
            <w:r>
              <w:rPr>
                <w:color w:val="000000"/>
                <w:kern w:val="0"/>
                <w:sz w:val="24"/>
                <w:u w:val="none"/>
                <w:lang w:val="zh-CN"/>
              </w:rPr>
              <w:fldChar w:fldCharType="begin"/>
            </w:r>
            <w:r>
              <w:rPr>
                <w:color w:val="000000"/>
                <w:kern w:val="0"/>
                <w:sz w:val="24"/>
                <w:u w:val="none"/>
                <w:lang w:val="zh-CN"/>
              </w:rPr>
              <w:instrText xml:space="preserve"> </w:instrText>
            </w:r>
            <w:r>
              <w:rPr>
                <w:rFonts w:hint="eastAsia"/>
                <w:color w:val="000000"/>
                <w:kern w:val="0"/>
                <w:sz w:val="24"/>
                <w:u w:val="none"/>
                <w:lang w:val="zh-CN"/>
              </w:rPr>
              <w:instrText xml:space="preserve">= 1 \* GB3</w:instrText>
            </w:r>
            <w:r>
              <w:rPr>
                <w:color w:val="000000"/>
                <w:kern w:val="0"/>
                <w:sz w:val="24"/>
                <w:u w:val="none"/>
                <w:lang w:val="zh-CN"/>
              </w:rPr>
              <w:instrText xml:space="preserve"> </w:instrText>
            </w:r>
            <w:r>
              <w:rPr>
                <w:color w:val="000000"/>
                <w:kern w:val="0"/>
                <w:sz w:val="24"/>
                <w:u w:val="none"/>
                <w:lang w:val="zh-CN"/>
              </w:rPr>
              <w:fldChar w:fldCharType="separate"/>
            </w:r>
            <w:r>
              <w:rPr>
                <w:rFonts w:hint="eastAsia"/>
                <w:color w:val="000000"/>
                <w:kern w:val="0"/>
                <w:sz w:val="24"/>
                <w:u w:val="none"/>
                <w:lang w:val="zh-CN"/>
              </w:rPr>
              <w:t>①</w:t>
            </w:r>
            <w:r>
              <w:rPr>
                <w:color w:val="000000"/>
                <w:kern w:val="0"/>
                <w:sz w:val="24"/>
                <w:u w:val="none"/>
                <w:lang w:val="zh-CN"/>
              </w:rPr>
              <w:fldChar w:fldCharType="end"/>
            </w:r>
            <w:r>
              <w:rPr>
                <w:color w:val="000000"/>
                <w:kern w:val="0"/>
                <w:sz w:val="24"/>
                <w:u w:val="none"/>
                <w:lang w:val="zh-CN"/>
              </w:rPr>
              <w:t>建设项目</w:t>
            </w:r>
            <w:r>
              <w:rPr>
                <w:color w:val="000000"/>
                <w:sz w:val="24"/>
                <w:u w:val="none"/>
                <w:lang w:val="zh-CN"/>
              </w:rPr>
              <w:t>危废暂存间</w:t>
            </w:r>
            <w:r>
              <w:rPr>
                <w:rFonts w:hint="eastAsia"/>
                <w:color w:val="000000"/>
                <w:sz w:val="24"/>
                <w:u w:val="none"/>
                <w:lang w:val="zh-CN"/>
              </w:rPr>
              <w:t>、</w:t>
            </w:r>
            <w:r>
              <w:rPr>
                <w:rFonts w:hint="eastAsia"/>
                <w:color w:val="000000"/>
                <w:sz w:val="24"/>
                <w:u w:val="none"/>
                <w:lang w:val="en-US" w:eastAsia="zh-CN"/>
              </w:rPr>
              <w:t>润滑油和絮凝剂</w:t>
            </w:r>
            <w:r>
              <w:rPr>
                <w:rFonts w:hint="eastAsia"/>
                <w:color w:val="000000"/>
                <w:sz w:val="24"/>
                <w:u w:val="none"/>
                <w:lang w:val="zh-CN"/>
              </w:rPr>
              <w:t>贮存区</w:t>
            </w:r>
            <w:r>
              <w:rPr>
                <w:rFonts w:hint="eastAsia"/>
                <w:color w:val="000000"/>
                <w:sz w:val="24"/>
                <w:highlight w:val="none"/>
                <w:u w:val="none"/>
                <w:lang w:val="en-US" w:eastAsia="zh-CN"/>
              </w:rPr>
              <w:t>等区域</w:t>
            </w:r>
            <w:r>
              <w:rPr>
                <w:color w:val="000000"/>
                <w:kern w:val="0"/>
                <w:sz w:val="24"/>
                <w:u w:val="none"/>
                <w:lang w:val="zh-CN"/>
              </w:rPr>
              <w:t>为重点防渗区，基础采取有效的防渗措施，</w:t>
            </w:r>
            <w:r>
              <w:rPr>
                <w:color w:val="000000"/>
                <w:sz w:val="24"/>
                <w:u w:val="none"/>
              </w:rPr>
              <w:t>等效黏土防渗层Mb≥6.0m</w:t>
            </w:r>
            <w:r>
              <w:rPr>
                <w:rFonts w:hint="eastAsia"/>
                <w:color w:val="000000"/>
                <w:sz w:val="24"/>
                <w:u w:val="none"/>
              </w:rPr>
              <w:t>、</w:t>
            </w:r>
            <w:r>
              <w:rPr>
                <w:rFonts w:hint="eastAsia"/>
                <w:color w:val="000000"/>
                <w:kern w:val="0"/>
                <w:sz w:val="24"/>
                <w:u w:val="none"/>
                <w:lang w:val="zh-CN"/>
              </w:rPr>
              <w:t>K</w:t>
            </w:r>
            <w:r>
              <w:rPr>
                <w:color w:val="000000"/>
                <w:kern w:val="0"/>
                <w:sz w:val="24"/>
                <w:u w:val="none"/>
                <w:lang w:val="zh-CN"/>
              </w:rPr>
              <w:t>≤</w:t>
            </w:r>
            <w:r>
              <w:rPr>
                <w:color w:val="000000"/>
                <w:sz w:val="24"/>
                <w:u w:val="none"/>
              </w:rPr>
              <w:t>1×10</w:t>
            </w:r>
            <w:r>
              <w:rPr>
                <w:color w:val="000000"/>
                <w:sz w:val="24"/>
                <w:u w:val="none"/>
                <w:vertAlign w:val="superscript"/>
              </w:rPr>
              <w:t>-</w:t>
            </w:r>
            <w:r>
              <w:rPr>
                <w:rFonts w:hint="eastAsia"/>
                <w:color w:val="000000"/>
                <w:sz w:val="24"/>
                <w:u w:val="none"/>
                <w:vertAlign w:val="superscript"/>
                <w:lang w:val="en-US" w:eastAsia="zh-CN"/>
              </w:rPr>
              <w:t>10</w:t>
            </w:r>
            <w:r>
              <w:rPr>
                <w:color w:val="000000"/>
                <w:kern w:val="0"/>
                <w:sz w:val="24"/>
                <w:u w:val="none"/>
                <w:lang w:val="zh-CN"/>
              </w:rPr>
              <w:t>cm/s</w:t>
            </w:r>
            <w:r>
              <w:rPr>
                <w:rFonts w:hint="eastAsia"/>
                <w:color w:val="000000"/>
                <w:kern w:val="0"/>
                <w:sz w:val="24"/>
                <w:u w:val="none"/>
                <w:lang w:val="zh-CN"/>
              </w:rPr>
              <w:t>；</w:t>
            </w:r>
          </w:p>
          <w:p w14:paraId="4CE6F5C2">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000000"/>
                <w:kern w:val="0"/>
                <w:sz w:val="24"/>
                <w:u w:val="none"/>
                <w:lang w:val="zh-CN"/>
              </w:rPr>
            </w:pPr>
            <w:r>
              <w:rPr>
                <w:color w:val="000000"/>
                <w:kern w:val="0"/>
                <w:sz w:val="24"/>
                <w:u w:val="none"/>
                <w:lang w:val="zh-CN"/>
              </w:rPr>
              <w:fldChar w:fldCharType="begin"/>
            </w:r>
            <w:r>
              <w:rPr>
                <w:color w:val="000000"/>
                <w:kern w:val="0"/>
                <w:sz w:val="24"/>
                <w:u w:val="none"/>
                <w:lang w:val="zh-CN"/>
              </w:rPr>
              <w:instrText xml:space="preserve"> </w:instrText>
            </w:r>
            <w:r>
              <w:rPr>
                <w:rFonts w:hint="eastAsia"/>
                <w:color w:val="000000"/>
                <w:kern w:val="0"/>
                <w:sz w:val="24"/>
                <w:u w:val="none"/>
                <w:lang w:val="zh-CN"/>
              </w:rPr>
              <w:instrText xml:space="preserve">= 2 \* GB3</w:instrText>
            </w:r>
            <w:r>
              <w:rPr>
                <w:color w:val="000000"/>
                <w:kern w:val="0"/>
                <w:sz w:val="24"/>
                <w:u w:val="none"/>
                <w:lang w:val="zh-CN"/>
              </w:rPr>
              <w:instrText xml:space="preserve"> </w:instrText>
            </w:r>
            <w:r>
              <w:rPr>
                <w:color w:val="000000"/>
                <w:kern w:val="0"/>
                <w:sz w:val="24"/>
                <w:u w:val="none"/>
                <w:lang w:val="zh-CN"/>
              </w:rPr>
              <w:fldChar w:fldCharType="separate"/>
            </w:r>
            <w:r>
              <w:rPr>
                <w:rFonts w:hint="eastAsia"/>
                <w:color w:val="000000"/>
                <w:kern w:val="0"/>
                <w:sz w:val="24"/>
                <w:u w:val="none"/>
                <w:lang w:val="zh-CN"/>
              </w:rPr>
              <w:t>②</w:t>
            </w:r>
            <w:r>
              <w:rPr>
                <w:color w:val="000000"/>
                <w:kern w:val="0"/>
                <w:sz w:val="24"/>
                <w:u w:val="none"/>
                <w:lang w:val="zh-CN"/>
              </w:rPr>
              <w:fldChar w:fldCharType="end"/>
            </w:r>
            <w:r>
              <w:rPr>
                <w:rFonts w:hint="eastAsia"/>
                <w:color w:val="000000"/>
                <w:kern w:val="0"/>
                <w:sz w:val="24"/>
                <w:u w:val="none"/>
                <w:lang w:val="zh-CN"/>
              </w:rPr>
              <w:t>建设</w:t>
            </w:r>
            <w:r>
              <w:rPr>
                <w:rFonts w:hint="eastAsia"/>
                <w:color w:val="000000"/>
                <w:sz w:val="24"/>
                <w:u w:val="none"/>
                <w:lang w:val="en-US" w:eastAsia="zh-CN"/>
              </w:rPr>
              <w:t>项目中污水</w:t>
            </w:r>
            <w:r>
              <w:rPr>
                <w:rFonts w:hint="eastAsia"/>
                <w:color w:val="000000"/>
                <w:sz w:val="24"/>
                <w:highlight w:val="none"/>
                <w:u w:val="none"/>
                <w:lang w:val="en-US" w:eastAsia="zh-CN"/>
              </w:rPr>
              <w:t>池、清水池以及污水管道等区域</w:t>
            </w:r>
            <w:r>
              <w:rPr>
                <w:color w:val="000000"/>
                <w:kern w:val="0"/>
                <w:sz w:val="24"/>
                <w:u w:val="none"/>
                <w:lang w:val="zh-CN"/>
              </w:rPr>
              <w:t>为一般防渗区，采取严格防渗处理，</w:t>
            </w:r>
            <w:r>
              <w:rPr>
                <w:color w:val="000000"/>
                <w:sz w:val="24"/>
                <w:u w:val="none"/>
              </w:rPr>
              <w:t>等效黏土防渗层Mb≥</w:t>
            </w:r>
            <w:r>
              <w:rPr>
                <w:rFonts w:hint="eastAsia"/>
                <w:color w:val="000000"/>
                <w:sz w:val="24"/>
                <w:u w:val="none"/>
              </w:rPr>
              <w:t>1.5</w:t>
            </w:r>
            <w:r>
              <w:rPr>
                <w:color w:val="000000"/>
                <w:sz w:val="24"/>
                <w:u w:val="none"/>
              </w:rPr>
              <w:t>m</w:t>
            </w:r>
            <w:r>
              <w:rPr>
                <w:rFonts w:hint="eastAsia"/>
                <w:color w:val="000000"/>
                <w:sz w:val="24"/>
                <w:u w:val="none"/>
              </w:rPr>
              <w:t>、</w:t>
            </w:r>
            <w:r>
              <w:rPr>
                <w:rFonts w:hint="eastAsia"/>
                <w:color w:val="000000"/>
                <w:kern w:val="0"/>
                <w:sz w:val="24"/>
                <w:u w:val="none"/>
                <w:lang w:val="zh-CN"/>
              </w:rPr>
              <w:t>K</w:t>
            </w:r>
            <w:r>
              <w:rPr>
                <w:color w:val="000000"/>
                <w:kern w:val="0"/>
                <w:sz w:val="24"/>
                <w:u w:val="none"/>
                <w:lang w:val="zh-CN"/>
              </w:rPr>
              <w:t>≤</w:t>
            </w:r>
            <w:r>
              <w:rPr>
                <w:color w:val="000000"/>
                <w:sz w:val="24"/>
                <w:u w:val="none"/>
              </w:rPr>
              <w:t>1×10</w:t>
            </w:r>
            <w:r>
              <w:rPr>
                <w:color w:val="000000"/>
                <w:sz w:val="24"/>
                <w:u w:val="none"/>
                <w:vertAlign w:val="superscript"/>
              </w:rPr>
              <w:t>-7</w:t>
            </w:r>
            <w:r>
              <w:rPr>
                <w:color w:val="000000"/>
                <w:kern w:val="0"/>
                <w:sz w:val="24"/>
                <w:u w:val="none"/>
                <w:lang w:val="zh-CN"/>
              </w:rPr>
              <w:t>cm/s；</w:t>
            </w:r>
          </w:p>
          <w:p w14:paraId="43D5611F">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000000"/>
                <w:kern w:val="0"/>
                <w:sz w:val="24"/>
                <w:u w:val="none"/>
                <w:lang w:val="zh-CN"/>
              </w:rPr>
            </w:pPr>
            <w:r>
              <w:rPr>
                <w:color w:val="000000"/>
                <w:kern w:val="0"/>
                <w:sz w:val="24"/>
                <w:u w:val="none"/>
                <w:lang w:val="zh-CN"/>
              </w:rPr>
              <w:fldChar w:fldCharType="begin"/>
            </w:r>
            <w:r>
              <w:rPr>
                <w:color w:val="000000"/>
                <w:kern w:val="0"/>
                <w:sz w:val="24"/>
                <w:u w:val="none"/>
                <w:lang w:val="zh-CN"/>
              </w:rPr>
              <w:instrText xml:space="preserve"> </w:instrText>
            </w:r>
            <w:r>
              <w:rPr>
                <w:rFonts w:hint="eastAsia"/>
                <w:color w:val="000000"/>
                <w:kern w:val="0"/>
                <w:sz w:val="24"/>
                <w:u w:val="none"/>
                <w:lang w:val="zh-CN"/>
              </w:rPr>
              <w:instrText xml:space="preserve">= 3 \* GB3</w:instrText>
            </w:r>
            <w:r>
              <w:rPr>
                <w:color w:val="000000"/>
                <w:kern w:val="0"/>
                <w:sz w:val="24"/>
                <w:u w:val="none"/>
                <w:lang w:val="zh-CN"/>
              </w:rPr>
              <w:instrText xml:space="preserve"> </w:instrText>
            </w:r>
            <w:r>
              <w:rPr>
                <w:color w:val="000000"/>
                <w:kern w:val="0"/>
                <w:sz w:val="24"/>
                <w:u w:val="none"/>
                <w:lang w:val="zh-CN"/>
              </w:rPr>
              <w:fldChar w:fldCharType="separate"/>
            </w:r>
            <w:r>
              <w:rPr>
                <w:rFonts w:hint="eastAsia"/>
                <w:color w:val="000000"/>
                <w:kern w:val="0"/>
                <w:sz w:val="24"/>
                <w:u w:val="none"/>
                <w:lang w:val="zh-CN"/>
              </w:rPr>
              <w:t>③</w:t>
            </w:r>
            <w:r>
              <w:rPr>
                <w:color w:val="000000"/>
                <w:kern w:val="0"/>
                <w:sz w:val="24"/>
                <w:u w:val="none"/>
                <w:lang w:val="zh-CN"/>
              </w:rPr>
              <w:fldChar w:fldCharType="end"/>
            </w:r>
            <w:r>
              <w:rPr>
                <w:rFonts w:hint="eastAsia"/>
                <w:color w:val="000000"/>
                <w:kern w:val="0"/>
                <w:sz w:val="24"/>
                <w:u w:val="none"/>
                <w:lang w:val="zh-CN"/>
              </w:rPr>
              <w:t>其他区域</w:t>
            </w:r>
            <w:r>
              <w:rPr>
                <w:color w:val="000000"/>
                <w:kern w:val="0"/>
                <w:sz w:val="24"/>
                <w:u w:val="none"/>
                <w:lang w:val="zh-CN"/>
              </w:rPr>
              <w:t>为简单防渗区，进行地面混凝土硬化即可。</w:t>
            </w:r>
          </w:p>
          <w:p w14:paraId="1520AF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textAlignment w:val="auto"/>
              <w:rPr>
                <w:rFonts w:hint="eastAsia" w:ascii="Times New Roman" w:hAnsi="Times New Roman" w:eastAsia="宋体" w:cs="Times New Roman"/>
                <w:bCs/>
                <w:color w:val="auto"/>
                <w:sz w:val="24"/>
                <w:u w:val="none"/>
              </w:rPr>
            </w:pPr>
            <w:r>
              <w:rPr>
                <w:rFonts w:hint="eastAsia" w:ascii="Times New Roman" w:hAnsi="Times New Roman" w:eastAsia="宋体" w:cs="Times New Roman"/>
                <w:bCs/>
                <w:color w:val="auto"/>
                <w:sz w:val="24"/>
                <w:u w:val="none"/>
              </w:rPr>
              <w:t>土壤污染防治贯彻“以防为主，治理为辅，防治结合”的理念，坚持源头控制、防止渗漏、污染监测和应急处理的主动防渗措施与被动防渗措施相结合的原则；治理措施（包括补救措施和修复计划）按照从简单到复杂，遵循技术实用可靠、经济合理、效果明显和目标相符的原则。针对项目可能发生的土壤污染，土壤污染防治措施采取“源头控制措施和分区防控措施”相结合。</w:t>
            </w:r>
          </w:p>
          <w:p w14:paraId="51CC99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textAlignment w:val="auto"/>
              <w:rPr>
                <w:rFonts w:hint="default" w:ascii="Times New Roman" w:hAnsi="Times New Roman" w:eastAsia="宋体" w:cs="Times New Roman"/>
                <w:bCs/>
                <w:color w:val="auto"/>
                <w:sz w:val="24"/>
                <w:u w:val="none"/>
                <w:lang w:val="en-US" w:eastAsia="zh-CN"/>
              </w:rPr>
            </w:pPr>
            <w:r>
              <w:rPr>
                <w:rFonts w:hint="eastAsia" w:ascii="Times New Roman" w:hAnsi="Times New Roman" w:eastAsia="宋体" w:cs="Times New Roman"/>
                <w:bCs/>
                <w:color w:val="auto"/>
                <w:sz w:val="24"/>
                <w:u w:val="none"/>
              </w:rPr>
              <w:t>（1）源头控制措施：项目应选择先进、成熟、可靠的工艺技术和较清洁的原辅材料，采用清洁生产审核等手段对生产全过程进行控制，并对产生的各类废物进行合理回用和治理，</w:t>
            </w:r>
            <w:r>
              <w:rPr>
                <w:rFonts w:hint="eastAsia" w:ascii="Times New Roman" w:hAnsi="Times New Roman" w:eastAsia="宋体" w:cs="Times New Roman"/>
                <w:bCs/>
                <w:color w:val="auto"/>
                <w:sz w:val="24"/>
                <w:u w:val="none"/>
                <w:lang w:val="en-US" w:eastAsia="zh-CN"/>
              </w:rPr>
              <w:t>尽</w:t>
            </w:r>
            <w:r>
              <w:rPr>
                <w:rFonts w:hint="eastAsia" w:ascii="Times New Roman" w:hAnsi="Times New Roman" w:eastAsia="宋体" w:cs="Times New Roman"/>
                <w:bCs/>
                <w:color w:val="auto"/>
                <w:sz w:val="24"/>
                <w:u w:val="none"/>
              </w:rPr>
              <w:t>可能从源头上减少污染物产生和排放，降低生产过程和末端治理成本。严格按照国家相关规范要求，对工艺、设备、仓库等采取相应措施，防止和降低污染物跑冒滴漏，将污染物泄漏环境风险事故降到最低程度。防渗工程设计使用年限不应低于设备、管线及建、构筑物的设计使用年限。</w:t>
            </w:r>
            <w:r>
              <w:rPr>
                <w:rFonts w:hint="eastAsia" w:cs="Times New Roman"/>
                <w:bCs/>
                <w:color w:val="auto"/>
                <w:sz w:val="24"/>
                <w:u w:val="none"/>
                <w:lang w:val="en-US" w:eastAsia="zh-CN"/>
              </w:rPr>
              <w:t>絮凝剂和润滑油以及生产废水</w:t>
            </w:r>
            <w:r>
              <w:rPr>
                <w:rFonts w:hint="eastAsia" w:ascii="Times New Roman" w:hAnsi="Times New Roman" w:eastAsia="宋体" w:cs="Times New Roman"/>
                <w:bCs/>
                <w:color w:val="auto"/>
                <w:sz w:val="24"/>
                <w:u w:val="none"/>
                <w:lang w:val="en-US" w:eastAsia="zh-CN"/>
              </w:rPr>
              <w:t>通过加强储存区域防渗措施，并派专人对</w:t>
            </w:r>
            <w:r>
              <w:rPr>
                <w:rFonts w:hint="eastAsia" w:cs="Times New Roman"/>
                <w:bCs/>
                <w:color w:val="auto"/>
                <w:sz w:val="24"/>
                <w:u w:val="none"/>
                <w:lang w:val="en-US" w:eastAsia="zh-CN"/>
              </w:rPr>
              <w:t>防渗区</w:t>
            </w:r>
            <w:r>
              <w:rPr>
                <w:rFonts w:hint="eastAsia" w:ascii="Times New Roman" w:hAnsi="Times New Roman" w:eastAsia="宋体" w:cs="Times New Roman"/>
                <w:bCs/>
                <w:color w:val="auto"/>
                <w:sz w:val="24"/>
                <w:u w:val="none"/>
                <w:lang w:val="en-US" w:eastAsia="zh-CN"/>
              </w:rPr>
              <w:t>进行巡视检查，一旦</w:t>
            </w:r>
            <w:r>
              <w:rPr>
                <w:rFonts w:hint="eastAsia" w:cs="Times New Roman"/>
                <w:bCs/>
                <w:color w:val="auto"/>
                <w:sz w:val="24"/>
                <w:u w:val="none"/>
                <w:lang w:val="en-US" w:eastAsia="zh-CN"/>
              </w:rPr>
              <w:t>发现有泄露发生</w:t>
            </w:r>
            <w:r>
              <w:rPr>
                <w:rFonts w:hint="eastAsia" w:ascii="Times New Roman" w:hAnsi="Times New Roman" w:eastAsia="宋体" w:cs="Times New Roman"/>
                <w:bCs/>
                <w:color w:val="auto"/>
                <w:sz w:val="24"/>
                <w:u w:val="none"/>
                <w:lang w:val="en-US" w:eastAsia="zh-CN"/>
              </w:rPr>
              <w:t>，立即采取堵漏、转移、收集措施进行预防，并在储存区配备足够吸附材料、灭火器等应急物资防止其泄漏事故发生。</w:t>
            </w:r>
          </w:p>
          <w:p w14:paraId="0FDE56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textAlignment w:val="auto"/>
              <w:rPr>
                <w:rFonts w:hint="eastAsia" w:cs="Times New Roman"/>
                <w:bCs/>
                <w:color w:val="auto"/>
                <w:sz w:val="24"/>
                <w:u w:val="none"/>
                <w:lang w:val="en-US" w:eastAsia="zh-CN"/>
              </w:rPr>
            </w:pPr>
            <w:r>
              <w:rPr>
                <w:rFonts w:hint="eastAsia" w:ascii="Times New Roman" w:hAnsi="Times New Roman" w:eastAsia="宋体" w:cs="Times New Roman"/>
                <w:bCs/>
                <w:color w:val="auto"/>
                <w:sz w:val="24"/>
                <w:u w:val="none"/>
              </w:rPr>
              <w:t>（2）分区防护</w:t>
            </w:r>
            <w:r>
              <w:rPr>
                <w:rFonts w:hint="eastAsia" w:ascii="Times New Roman" w:hAnsi="Times New Roman" w:eastAsia="宋体" w:cs="Times New Roman"/>
                <w:bCs/>
                <w:color w:val="auto"/>
                <w:sz w:val="24"/>
                <w:u w:val="none"/>
                <w:lang w:eastAsia="zh-CN"/>
              </w:rPr>
              <w:t>：</w:t>
            </w:r>
            <w:r>
              <w:rPr>
                <w:rFonts w:hint="eastAsia" w:ascii="Times New Roman" w:hAnsi="Times New Roman" w:eastAsia="宋体" w:cs="Times New Roman"/>
                <w:bCs/>
                <w:color w:val="auto"/>
                <w:sz w:val="24"/>
                <w:u w:val="none"/>
              </w:rPr>
              <w:t>根据本项目建设特点，本次环评参照《环境影响评价技术导则地下水环境》（HJ610-2016），对本项目进行</w:t>
            </w:r>
            <w:r>
              <w:rPr>
                <w:rFonts w:hint="eastAsia" w:cs="Times New Roman"/>
                <w:bCs/>
                <w:color w:val="auto"/>
                <w:sz w:val="24"/>
                <w:u w:val="none"/>
                <w:lang w:val="en-US" w:eastAsia="zh-CN"/>
              </w:rPr>
              <w:t>分区防渗。</w:t>
            </w:r>
          </w:p>
          <w:p w14:paraId="2612FED5">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snapToGrid w:val="0"/>
                <w:color w:val="000000"/>
                <w:kern w:val="0"/>
                <w:sz w:val="24"/>
                <w:u w:val="none"/>
                <w:lang w:val="zh-CN"/>
              </w:rPr>
            </w:pPr>
            <w:r>
              <w:rPr>
                <w:rFonts w:hint="eastAsia" w:cs="Times New Roman"/>
                <w:b w:val="0"/>
                <w:bCs w:val="0"/>
                <w:color w:val="auto"/>
                <w:sz w:val="24"/>
                <w:u w:val="none"/>
                <w:lang w:val="en-US" w:eastAsia="zh-CN"/>
              </w:rPr>
              <w:t>在采取防渗措施前提下，本项目运营期基本不会对土壤和地下水造成污染</w:t>
            </w:r>
            <w:r>
              <w:rPr>
                <w:rFonts w:hint="eastAsia" w:cs="Times New Roman"/>
                <w:b w:val="0"/>
                <w:bCs w:val="0"/>
                <w:color w:val="auto"/>
                <w:sz w:val="24"/>
                <w:u w:val="none"/>
                <w:lang w:eastAsia="zh-CN"/>
              </w:rPr>
              <w:t>，</w:t>
            </w:r>
            <w:r>
              <w:rPr>
                <w:rFonts w:hint="eastAsia" w:cs="Times New Roman"/>
                <w:b w:val="0"/>
                <w:bCs w:val="0"/>
                <w:color w:val="auto"/>
                <w:sz w:val="24"/>
                <w:u w:val="none"/>
                <w:lang w:val="en-US" w:eastAsia="zh-CN"/>
              </w:rPr>
              <w:t>因此本项目对土壤和地下水环境影响在可接受范围之内。</w:t>
            </w:r>
          </w:p>
          <w:p w14:paraId="1B2EAADB">
            <w:pPr>
              <w:keepNext w:val="0"/>
              <w:keepLines w:val="0"/>
              <w:pageBreakBefore w:val="0"/>
              <w:widowControl w:val="0"/>
              <w:kinsoku/>
              <w:wordWrap/>
              <w:overflowPunct/>
              <w:topLinePunct w:val="0"/>
              <w:bidi w:val="0"/>
              <w:snapToGrid w:val="0"/>
              <w:spacing w:line="500" w:lineRule="exact"/>
              <w:ind w:firstLine="482" w:firstLineChars="200"/>
              <w:textAlignment w:val="auto"/>
              <w:rPr>
                <w:rFonts w:hint="default" w:eastAsia="宋体"/>
                <w:b/>
                <w:snapToGrid w:val="0"/>
                <w:color w:val="000000"/>
                <w:sz w:val="24"/>
                <w:u w:val="none"/>
                <w:lang w:val="en-US" w:eastAsia="zh-CN"/>
              </w:rPr>
            </w:pPr>
            <w:r>
              <w:rPr>
                <w:b/>
                <w:snapToGrid w:val="0"/>
                <w:color w:val="000000"/>
                <w:sz w:val="24"/>
                <w:u w:val="none"/>
              </w:rPr>
              <w:t>6</w:t>
            </w:r>
            <w:r>
              <w:rPr>
                <w:rFonts w:hAnsi="宋体"/>
                <w:b/>
                <w:snapToGrid w:val="0"/>
                <w:color w:val="000000"/>
                <w:sz w:val="24"/>
                <w:u w:val="none"/>
              </w:rPr>
              <w:t>、环境风险</w:t>
            </w:r>
            <w:r>
              <w:rPr>
                <w:rFonts w:hint="eastAsia" w:hAnsi="宋体"/>
                <w:b/>
                <w:snapToGrid w:val="0"/>
                <w:color w:val="000000"/>
                <w:sz w:val="24"/>
                <w:u w:val="none"/>
                <w:lang w:val="en-US" w:eastAsia="zh-CN"/>
              </w:rPr>
              <w:t>评价分析</w:t>
            </w:r>
          </w:p>
          <w:p w14:paraId="3DCDB2BD">
            <w:pPr>
              <w:keepNext w:val="0"/>
              <w:keepLines w:val="0"/>
              <w:pageBreakBefore w:val="0"/>
              <w:widowControl w:val="0"/>
              <w:kinsoku/>
              <w:wordWrap/>
              <w:overflowPunct/>
              <w:topLinePunct w:val="0"/>
              <w:bidi w:val="0"/>
              <w:adjustRightInd w:val="0"/>
              <w:snapToGrid w:val="0"/>
              <w:spacing w:line="500" w:lineRule="exact"/>
              <w:ind w:firstLine="480" w:firstLineChars="200"/>
              <w:jc w:val="left"/>
              <w:textAlignment w:val="auto"/>
              <w:rPr>
                <w:b w:val="0"/>
                <w:bCs/>
                <w:color w:val="000000"/>
                <w:kern w:val="0"/>
                <w:sz w:val="24"/>
                <w:u w:val="none"/>
              </w:rPr>
            </w:pPr>
            <w:r>
              <w:rPr>
                <w:b w:val="0"/>
                <w:bCs/>
                <w:color w:val="000000"/>
                <w:kern w:val="0"/>
                <w:sz w:val="24"/>
                <w:u w:val="none"/>
              </w:rPr>
              <w:t>6.1</w:t>
            </w:r>
            <w:r>
              <w:rPr>
                <w:rFonts w:hAnsi="宋体"/>
                <w:b w:val="0"/>
                <w:bCs/>
                <w:color w:val="000000"/>
                <w:kern w:val="0"/>
                <w:sz w:val="24"/>
                <w:u w:val="none"/>
              </w:rPr>
              <w:t>风险物质调查</w:t>
            </w:r>
          </w:p>
          <w:p w14:paraId="6BC08EF1">
            <w:pPr>
              <w:keepNext w:val="0"/>
              <w:keepLines w:val="0"/>
              <w:pageBreakBefore w:val="0"/>
              <w:widowControl w:val="0"/>
              <w:kinsoku/>
              <w:wordWrap/>
              <w:overflowPunct/>
              <w:topLinePunct w:val="0"/>
              <w:bidi w:val="0"/>
              <w:adjustRightInd w:val="0"/>
              <w:snapToGrid w:val="0"/>
              <w:spacing w:line="500" w:lineRule="exact"/>
              <w:ind w:firstLine="480" w:firstLineChars="200"/>
              <w:jc w:val="left"/>
              <w:textAlignment w:val="auto"/>
              <w:rPr>
                <w:color w:val="000000"/>
                <w:kern w:val="0"/>
                <w:sz w:val="24"/>
                <w:u w:val="none"/>
              </w:rPr>
            </w:pPr>
            <w:r>
              <w:rPr>
                <w:rFonts w:hint="eastAsia"/>
                <w:color w:val="000000"/>
                <w:kern w:val="0"/>
                <w:sz w:val="24"/>
                <w:u w:val="none"/>
              </w:rPr>
              <w:t>（1）风险物质</w:t>
            </w:r>
            <w:r>
              <w:rPr>
                <w:color w:val="000000"/>
                <w:kern w:val="0"/>
                <w:sz w:val="24"/>
                <w:u w:val="none"/>
              </w:rPr>
              <w:t>及分布</w:t>
            </w:r>
          </w:p>
          <w:p w14:paraId="6F9A588D">
            <w:pPr>
              <w:keepNext w:val="0"/>
              <w:keepLines w:val="0"/>
              <w:pageBreakBefore w:val="0"/>
              <w:widowControl w:val="0"/>
              <w:kinsoku/>
              <w:wordWrap/>
              <w:overflowPunct/>
              <w:topLinePunct w:val="0"/>
              <w:bidi w:val="0"/>
              <w:adjustRightInd w:val="0"/>
              <w:snapToGrid w:val="0"/>
              <w:spacing w:line="500" w:lineRule="exact"/>
              <w:ind w:firstLine="480" w:firstLineChars="200"/>
              <w:jc w:val="left"/>
              <w:textAlignment w:val="auto"/>
              <w:rPr>
                <w:color w:val="000000"/>
                <w:sz w:val="24"/>
                <w:u w:val="none"/>
              </w:rPr>
            </w:pPr>
            <w:r>
              <w:rPr>
                <w:bCs/>
                <w:color w:val="000000"/>
                <w:kern w:val="0"/>
                <w:sz w:val="24"/>
                <w:u w:val="none"/>
              </w:rPr>
              <w:t>根据《建设项目环境风险评价技术导则》（HJ 169-2018）附录B，项目涉及的危险物质主要为</w:t>
            </w:r>
            <w:r>
              <w:rPr>
                <w:rFonts w:hint="eastAsia"/>
                <w:bCs/>
                <w:color w:val="000000"/>
                <w:kern w:val="0"/>
                <w:sz w:val="24"/>
                <w:u w:val="none"/>
                <w:lang w:val="en-US" w:eastAsia="zh-CN"/>
              </w:rPr>
              <w:t>润滑油、废润滑油、废润滑油桶</w:t>
            </w:r>
            <w:r>
              <w:rPr>
                <w:rFonts w:hint="eastAsia"/>
                <w:color w:val="000000"/>
                <w:kern w:val="0"/>
                <w:sz w:val="24"/>
                <w:u w:val="none"/>
                <w:lang w:val="zh-CN"/>
              </w:rPr>
              <w:t>、</w:t>
            </w:r>
            <w:r>
              <w:rPr>
                <w:rFonts w:hint="eastAsia"/>
                <w:color w:val="000000"/>
                <w:kern w:val="0"/>
                <w:sz w:val="24"/>
                <w:u w:val="none"/>
                <w:lang w:val="en-US" w:eastAsia="zh-CN"/>
              </w:rPr>
              <w:t>絮凝剂</w:t>
            </w:r>
            <w:r>
              <w:rPr>
                <w:color w:val="000000"/>
                <w:kern w:val="0"/>
                <w:sz w:val="24"/>
                <w:u w:val="none"/>
                <w:lang w:val="zh-CN"/>
              </w:rPr>
              <w:t>。</w:t>
            </w:r>
          </w:p>
          <w:p w14:paraId="16B7472F">
            <w:pPr>
              <w:keepNext w:val="0"/>
              <w:keepLines w:val="0"/>
              <w:pageBreakBefore w:val="0"/>
              <w:widowControl w:val="0"/>
              <w:kinsoku/>
              <w:wordWrap/>
              <w:overflowPunct/>
              <w:topLinePunct w:val="0"/>
              <w:bidi w:val="0"/>
              <w:adjustRightInd w:val="0"/>
              <w:snapToGrid w:val="0"/>
              <w:spacing w:line="500" w:lineRule="exact"/>
              <w:jc w:val="center"/>
              <w:textAlignment w:val="auto"/>
              <w:rPr>
                <w:rFonts w:eastAsia="黑体"/>
                <w:color w:val="000000"/>
                <w:sz w:val="24"/>
                <w:u w:val="none"/>
              </w:rPr>
            </w:pPr>
            <w:r>
              <w:rPr>
                <w:rFonts w:hint="eastAsia" w:eastAsia="黑体"/>
                <w:color w:val="000000"/>
                <w:sz w:val="24"/>
                <w:u w:val="none"/>
              </w:rPr>
              <w:t>表4-</w:t>
            </w:r>
            <w:r>
              <w:rPr>
                <w:rFonts w:hint="eastAsia" w:eastAsia="黑体"/>
                <w:color w:val="000000"/>
                <w:sz w:val="24"/>
                <w:u w:val="none"/>
                <w:lang w:val="en-US" w:eastAsia="zh-CN"/>
              </w:rPr>
              <w:t>20</w:t>
            </w:r>
            <w:r>
              <w:rPr>
                <w:rFonts w:hint="eastAsia" w:eastAsia="黑体"/>
                <w:color w:val="000000"/>
                <w:sz w:val="24"/>
                <w:u w:val="none"/>
              </w:rPr>
              <w:t xml:space="preserve"> 项目涉及危险物质物数量及分布</w:t>
            </w:r>
            <w:r>
              <w:rPr>
                <w:rFonts w:eastAsia="黑体"/>
                <w:color w:val="000000"/>
                <w:sz w:val="24"/>
                <w:u w:val="none"/>
              </w:rPr>
              <w:t>情况</w:t>
            </w:r>
            <w:r>
              <w:rPr>
                <w:rFonts w:hint="eastAsia" w:eastAsia="黑体"/>
                <w:color w:val="000000"/>
                <w:sz w:val="24"/>
                <w:u w:val="none"/>
              </w:rPr>
              <w:t>一览表</w:t>
            </w:r>
          </w:p>
          <w:tbl>
            <w:tblPr>
              <w:tblStyle w:val="23"/>
              <w:tblW w:w="789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542"/>
              <w:gridCol w:w="2553"/>
              <w:gridCol w:w="2804"/>
            </w:tblGrid>
            <w:tr w14:paraId="3D51D9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7" w:hRule="atLeast"/>
                <w:jc w:val="center"/>
              </w:trPr>
              <w:tc>
                <w:tcPr>
                  <w:tcW w:w="2542" w:type="dxa"/>
                  <w:tcBorders>
                    <w:tl2br w:val="nil"/>
                    <w:tr2bl w:val="nil"/>
                  </w:tcBorders>
                  <w:noWrap w:val="0"/>
                  <w:vAlign w:val="center"/>
                </w:tcPr>
                <w:p w14:paraId="5F2E819E">
                  <w:pPr>
                    <w:adjustRightInd w:val="0"/>
                    <w:snapToGrid w:val="0"/>
                    <w:jc w:val="center"/>
                    <w:rPr>
                      <w:bCs/>
                      <w:color w:val="000000"/>
                      <w:kern w:val="0"/>
                      <w:szCs w:val="21"/>
                      <w:u w:val="none"/>
                    </w:rPr>
                  </w:pPr>
                  <w:r>
                    <w:rPr>
                      <w:bCs/>
                      <w:color w:val="000000"/>
                      <w:kern w:val="0"/>
                      <w:szCs w:val="21"/>
                      <w:u w:val="none"/>
                    </w:rPr>
                    <w:t>危险物质</w:t>
                  </w:r>
                </w:p>
              </w:tc>
              <w:tc>
                <w:tcPr>
                  <w:tcW w:w="2553" w:type="dxa"/>
                  <w:tcBorders>
                    <w:tl2br w:val="nil"/>
                    <w:tr2bl w:val="nil"/>
                  </w:tcBorders>
                  <w:noWrap w:val="0"/>
                  <w:vAlign w:val="center"/>
                </w:tcPr>
                <w:p w14:paraId="1BD009C0">
                  <w:pPr>
                    <w:adjustRightInd w:val="0"/>
                    <w:snapToGrid w:val="0"/>
                    <w:jc w:val="center"/>
                    <w:rPr>
                      <w:bCs/>
                      <w:color w:val="000000"/>
                      <w:kern w:val="0"/>
                      <w:szCs w:val="21"/>
                      <w:u w:val="none"/>
                    </w:rPr>
                  </w:pPr>
                  <w:r>
                    <w:rPr>
                      <w:bCs/>
                      <w:color w:val="000000"/>
                      <w:kern w:val="0"/>
                      <w:szCs w:val="21"/>
                      <w:u w:val="none"/>
                    </w:rPr>
                    <w:t>最大存在量（t）</w:t>
                  </w:r>
                </w:p>
              </w:tc>
              <w:tc>
                <w:tcPr>
                  <w:tcW w:w="2804" w:type="dxa"/>
                  <w:tcBorders>
                    <w:tl2br w:val="nil"/>
                    <w:tr2bl w:val="nil"/>
                  </w:tcBorders>
                  <w:noWrap w:val="0"/>
                  <w:vAlign w:val="center"/>
                </w:tcPr>
                <w:p w14:paraId="5AE8D3F9">
                  <w:pPr>
                    <w:adjustRightInd w:val="0"/>
                    <w:snapToGrid w:val="0"/>
                    <w:jc w:val="center"/>
                    <w:rPr>
                      <w:bCs/>
                      <w:color w:val="000000"/>
                      <w:kern w:val="0"/>
                      <w:szCs w:val="21"/>
                      <w:u w:val="none"/>
                    </w:rPr>
                  </w:pPr>
                  <w:r>
                    <w:rPr>
                      <w:bCs/>
                      <w:color w:val="000000"/>
                      <w:kern w:val="0"/>
                      <w:szCs w:val="21"/>
                      <w:u w:val="none"/>
                    </w:rPr>
                    <w:t>分布情况</w:t>
                  </w:r>
                </w:p>
              </w:tc>
            </w:tr>
            <w:tr w14:paraId="1AAB940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6" w:hRule="atLeast"/>
                <w:jc w:val="center"/>
              </w:trPr>
              <w:tc>
                <w:tcPr>
                  <w:tcW w:w="2542" w:type="dxa"/>
                  <w:tcBorders>
                    <w:tl2br w:val="nil"/>
                    <w:tr2bl w:val="nil"/>
                  </w:tcBorders>
                  <w:noWrap w:val="0"/>
                  <w:vAlign w:val="center"/>
                </w:tcPr>
                <w:p w14:paraId="26C5920C">
                  <w:pPr>
                    <w:adjustRightInd w:val="0"/>
                    <w:snapToGrid w:val="0"/>
                    <w:jc w:val="center"/>
                    <w:rPr>
                      <w:rFonts w:hint="eastAsia" w:eastAsia="宋体"/>
                      <w:bCs/>
                      <w:color w:val="000000"/>
                      <w:kern w:val="0"/>
                      <w:szCs w:val="21"/>
                      <w:highlight w:val="none"/>
                      <w:u w:val="none"/>
                      <w:lang w:val="en-US" w:eastAsia="zh-CN"/>
                    </w:rPr>
                  </w:pPr>
                  <w:r>
                    <w:rPr>
                      <w:rFonts w:hint="eastAsia"/>
                      <w:bCs/>
                      <w:color w:val="000000"/>
                      <w:kern w:val="0"/>
                      <w:szCs w:val="21"/>
                      <w:highlight w:val="none"/>
                      <w:u w:val="none"/>
                      <w:lang w:val="en-US" w:eastAsia="zh-CN"/>
                    </w:rPr>
                    <w:t>润滑油</w:t>
                  </w:r>
                </w:p>
              </w:tc>
              <w:tc>
                <w:tcPr>
                  <w:tcW w:w="2553" w:type="dxa"/>
                  <w:tcBorders>
                    <w:tl2br w:val="nil"/>
                    <w:tr2bl w:val="nil"/>
                  </w:tcBorders>
                  <w:noWrap w:val="0"/>
                  <w:vAlign w:val="center"/>
                </w:tcPr>
                <w:p w14:paraId="58557C03">
                  <w:pPr>
                    <w:jc w:val="center"/>
                    <w:rPr>
                      <w:rFonts w:hint="default" w:eastAsia="宋体"/>
                      <w:color w:val="000000"/>
                      <w:szCs w:val="21"/>
                      <w:highlight w:val="none"/>
                      <w:u w:val="none"/>
                      <w:lang w:val="en-US" w:eastAsia="zh-CN"/>
                    </w:rPr>
                  </w:pPr>
                  <w:r>
                    <w:rPr>
                      <w:rFonts w:hint="eastAsia"/>
                      <w:color w:val="000000"/>
                      <w:szCs w:val="21"/>
                      <w:highlight w:val="none"/>
                      <w:u w:val="none"/>
                      <w:lang w:val="en-US" w:eastAsia="zh-CN"/>
                    </w:rPr>
                    <w:t>0.1</w:t>
                  </w:r>
                </w:p>
              </w:tc>
              <w:tc>
                <w:tcPr>
                  <w:tcW w:w="2804" w:type="dxa"/>
                  <w:tcBorders>
                    <w:tl2br w:val="nil"/>
                    <w:tr2bl w:val="nil"/>
                  </w:tcBorders>
                  <w:noWrap w:val="0"/>
                  <w:vAlign w:val="center"/>
                </w:tcPr>
                <w:p w14:paraId="2AF84706">
                  <w:pPr>
                    <w:adjustRightInd w:val="0"/>
                    <w:snapToGrid w:val="0"/>
                    <w:jc w:val="center"/>
                    <w:rPr>
                      <w:bCs/>
                      <w:color w:val="000000"/>
                      <w:kern w:val="0"/>
                      <w:szCs w:val="21"/>
                      <w:u w:val="none"/>
                    </w:rPr>
                  </w:pPr>
                  <w:r>
                    <w:rPr>
                      <w:rFonts w:hint="eastAsia"/>
                      <w:bCs/>
                      <w:color w:val="000000"/>
                      <w:kern w:val="0"/>
                      <w:szCs w:val="21"/>
                      <w:u w:val="none"/>
                      <w:lang w:val="en-US" w:eastAsia="zh-CN"/>
                    </w:rPr>
                    <w:t>原辅料存放区</w:t>
                  </w:r>
                </w:p>
              </w:tc>
            </w:tr>
            <w:tr w14:paraId="5223537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6" w:hRule="atLeast"/>
                <w:jc w:val="center"/>
              </w:trPr>
              <w:tc>
                <w:tcPr>
                  <w:tcW w:w="2542" w:type="dxa"/>
                  <w:tcBorders>
                    <w:tl2br w:val="nil"/>
                    <w:tr2bl w:val="nil"/>
                  </w:tcBorders>
                  <w:noWrap w:val="0"/>
                  <w:vAlign w:val="center"/>
                </w:tcPr>
                <w:p w14:paraId="71F5D34A">
                  <w:pPr>
                    <w:adjustRightInd w:val="0"/>
                    <w:snapToGrid w:val="0"/>
                    <w:jc w:val="center"/>
                    <w:rPr>
                      <w:rFonts w:hint="eastAsia" w:eastAsia="宋体"/>
                      <w:bCs/>
                      <w:color w:val="000000"/>
                      <w:kern w:val="0"/>
                      <w:szCs w:val="21"/>
                      <w:highlight w:val="none"/>
                      <w:u w:val="none"/>
                      <w:lang w:val="en-US" w:eastAsia="zh-CN"/>
                    </w:rPr>
                  </w:pPr>
                  <w:r>
                    <w:rPr>
                      <w:bCs/>
                      <w:color w:val="000000"/>
                      <w:kern w:val="0"/>
                      <w:szCs w:val="21"/>
                      <w:highlight w:val="none"/>
                      <w:u w:val="none"/>
                    </w:rPr>
                    <w:t>废</w:t>
                  </w:r>
                  <w:r>
                    <w:rPr>
                      <w:rFonts w:hint="eastAsia"/>
                      <w:bCs/>
                      <w:color w:val="000000"/>
                      <w:kern w:val="0"/>
                      <w:szCs w:val="21"/>
                      <w:highlight w:val="none"/>
                      <w:u w:val="none"/>
                      <w:lang w:val="en-US" w:eastAsia="zh-CN"/>
                    </w:rPr>
                    <w:t>润滑油</w:t>
                  </w:r>
                </w:p>
              </w:tc>
              <w:tc>
                <w:tcPr>
                  <w:tcW w:w="2553" w:type="dxa"/>
                  <w:tcBorders>
                    <w:tl2br w:val="nil"/>
                    <w:tr2bl w:val="nil"/>
                  </w:tcBorders>
                  <w:noWrap w:val="0"/>
                  <w:vAlign w:val="center"/>
                </w:tcPr>
                <w:p w14:paraId="3BE6C67A">
                  <w:pPr>
                    <w:jc w:val="center"/>
                    <w:rPr>
                      <w:rFonts w:hint="default" w:eastAsia="宋体"/>
                      <w:color w:val="000000"/>
                      <w:szCs w:val="21"/>
                      <w:highlight w:val="none"/>
                      <w:u w:val="none"/>
                      <w:lang w:val="en-US" w:eastAsia="zh-CN"/>
                    </w:rPr>
                  </w:pPr>
                  <w:r>
                    <w:rPr>
                      <w:color w:val="000000"/>
                      <w:szCs w:val="21"/>
                      <w:highlight w:val="none"/>
                      <w:u w:val="none"/>
                    </w:rPr>
                    <w:t>0.</w:t>
                  </w:r>
                  <w:r>
                    <w:rPr>
                      <w:rFonts w:hint="eastAsia"/>
                      <w:color w:val="000000"/>
                      <w:szCs w:val="21"/>
                      <w:highlight w:val="none"/>
                      <w:u w:val="none"/>
                      <w:lang w:val="en-US" w:eastAsia="zh-CN"/>
                    </w:rPr>
                    <w:t>02</w:t>
                  </w:r>
                </w:p>
              </w:tc>
              <w:tc>
                <w:tcPr>
                  <w:tcW w:w="2804" w:type="dxa"/>
                  <w:tcBorders>
                    <w:tl2br w:val="nil"/>
                    <w:tr2bl w:val="nil"/>
                  </w:tcBorders>
                  <w:noWrap w:val="0"/>
                  <w:vAlign w:val="center"/>
                </w:tcPr>
                <w:p w14:paraId="5FDC718E">
                  <w:pPr>
                    <w:adjustRightInd w:val="0"/>
                    <w:snapToGrid w:val="0"/>
                    <w:jc w:val="center"/>
                    <w:rPr>
                      <w:bCs/>
                      <w:color w:val="000000"/>
                      <w:kern w:val="0"/>
                      <w:szCs w:val="21"/>
                      <w:u w:val="none"/>
                    </w:rPr>
                  </w:pPr>
                  <w:r>
                    <w:rPr>
                      <w:bCs/>
                      <w:color w:val="000000"/>
                      <w:kern w:val="0"/>
                      <w:szCs w:val="21"/>
                      <w:u w:val="none"/>
                    </w:rPr>
                    <w:t>危废暂存间</w:t>
                  </w:r>
                </w:p>
              </w:tc>
            </w:tr>
            <w:tr w14:paraId="406A60C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6" w:hRule="atLeast"/>
                <w:jc w:val="center"/>
              </w:trPr>
              <w:tc>
                <w:tcPr>
                  <w:tcW w:w="2542" w:type="dxa"/>
                  <w:tcBorders>
                    <w:tl2br w:val="nil"/>
                    <w:tr2bl w:val="nil"/>
                  </w:tcBorders>
                  <w:noWrap w:val="0"/>
                  <w:vAlign w:val="center"/>
                </w:tcPr>
                <w:p w14:paraId="7C5271D1">
                  <w:pPr>
                    <w:adjustRightInd w:val="0"/>
                    <w:snapToGrid w:val="0"/>
                    <w:jc w:val="center"/>
                    <w:rPr>
                      <w:rFonts w:hint="default" w:eastAsia="宋体"/>
                      <w:bCs/>
                      <w:color w:val="000000"/>
                      <w:kern w:val="0"/>
                      <w:szCs w:val="21"/>
                      <w:u w:val="none"/>
                      <w:lang w:val="en-US" w:eastAsia="zh-CN"/>
                    </w:rPr>
                  </w:pPr>
                  <w:r>
                    <w:rPr>
                      <w:rFonts w:hint="eastAsia"/>
                      <w:bCs/>
                      <w:color w:val="000000"/>
                      <w:kern w:val="0"/>
                      <w:szCs w:val="21"/>
                      <w:u w:val="none"/>
                      <w:lang w:val="en-US" w:eastAsia="zh-CN"/>
                    </w:rPr>
                    <w:t>废润滑油桶</w:t>
                  </w:r>
                </w:p>
              </w:tc>
              <w:tc>
                <w:tcPr>
                  <w:tcW w:w="2553" w:type="dxa"/>
                  <w:tcBorders>
                    <w:tl2br w:val="nil"/>
                    <w:tr2bl w:val="nil"/>
                  </w:tcBorders>
                  <w:noWrap w:val="0"/>
                  <w:vAlign w:val="center"/>
                </w:tcPr>
                <w:p w14:paraId="1B7C66AA">
                  <w:pPr>
                    <w:jc w:val="center"/>
                    <w:rPr>
                      <w:rFonts w:hint="default" w:eastAsia="宋体"/>
                      <w:color w:val="000000"/>
                      <w:szCs w:val="21"/>
                      <w:u w:val="none"/>
                      <w:lang w:val="en-US" w:eastAsia="zh-CN"/>
                    </w:rPr>
                  </w:pPr>
                  <w:r>
                    <w:rPr>
                      <w:rFonts w:hint="eastAsia"/>
                      <w:color w:val="000000"/>
                      <w:szCs w:val="21"/>
                      <w:u w:val="none"/>
                      <w:lang w:val="en-US" w:eastAsia="zh-CN"/>
                    </w:rPr>
                    <w:t>0.02</w:t>
                  </w:r>
                </w:p>
              </w:tc>
              <w:tc>
                <w:tcPr>
                  <w:tcW w:w="2804" w:type="dxa"/>
                  <w:tcBorders>
                    <w:tl2br w:val="nil"/>
                    <w:tr2bl w:val="nil"/>
                  </w:tcBorders>
                  <w:noWrap w:val="0"/>
                  <w:vAlign w:val="center"/>
                </w:tcPr>
                <w:p w14:paraId="53799D0A">
                  <w:pPr>
                    <w:adjustRightInd w:val="0"/>
                    <w:snapToGrid w:val="0"/>
                    <w:jc w:val="center"/>
                    <w:rPr>
                      <w:bCs/>
                      <w:color w:val="000000"/>
                      <w:kern w:val="0"/>
                      <w:szCs w:val="21"/>
                      <w:u w:val="none"/>
                    </w:rPr>
                  </w:pPr>
                  <w:r>
                    <w:rPr>
                      <w:bCs/>
                      <w:color w:val="000000"/>
                      <w:kern w:val="0"/>
                      <w:szCs w:val="21"/>
                      <w:u w:val="none"/>
                    </w:rPr>
                    <w:t>危废暂存间</w:t>
                  </w:r>
                </w:p>
              </w:tc>
            </w:tr>
            <w:tr w14:paraId="59D5066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3" w:hRule="atLeast"/>
                <w:jc w:val="center"/>
              </w:trPr>
              <w:tc>
                <w:tcPr>
                  <w:tcW w:w="2542" w:type="dxa"/>
                  <w:tcBorders>
                    <w:tl2br w:val="nil"/>
                    <w:tr2bl w:val="nil"/>
                  </w:tcBorders>
                  <w:noWrap w:val="0"/>
                  <w:vAlign w:val="center"/>
                </w:tcPr>
                <w:p w14:paraId="6983E993">
                  <w:pPr>
                    <w:adjustRightInd w:val="0"/>
                    <w:snapToGrid w:val="0"/>
                    <w:jc w:val="center"/>
                    <w:rPr>
                      <w:rFonts w:hint="default" w:eastAsia="宋体"/>
                      <w:bCs/>
                      <w:color w:val="000000"/>
                      <w:kern w:val="0"/>
                      <w:szCs w:val="21"/>
                      <w:u w:val="none"/>
                      <w:lang w:val="en-US" w:eastAsia="zh-CN"/>
                    </w:rPr>
                  </w:pPr>
                  <w:r>
                    <w:rPr>
                      <w:rFonts w:hint="eastAsia"/>
                      <w:bCs/>
                      <w:color w:val="000000"/>
                      <w:kern w:val="0"/>
                      <w:szCs w:val="21"/>
                      <w:u w:val="none"/>
                      <w:lang w:val="en-US" w:eastAsia="zh-CN"/>
                    </w:rPr>
                    <w:t>絮凝剂</w:t>
                  </w:r>
                </w:p>
              </w:tc>
              <w:tc>
                <w:tcPr>
                  <w:tcW w:w="2553" w:type="dxa"/>
                  <w:tcBorders>
                    <w:tl2br w:val="nil"/>
                    <w:tr2bl w:val="nil"/>
                  </w:tcBorders>
                  <w:noWrap w:val="0"/>
                  <w:vAlign w:val="center"/>
                </w:tcPr>
                <w:p w14:paraId="21461963">
                  <w:pPr>
                    <w:jc w:val="center"/>
                    <w:rPr>
                      <w:rFonts w:hint="default" w:eastAsia="宋体"/>
                      <w:color w:val="000000"/>
                      <w:szCs w:val="21"/>
                      <w:u w:val="none"/>
                      <w:lang w:val="en-US" w:eastAsia="zh-CN"/>
                    </w:rPr>
                  </w:pPr>
                  <w:r>
                    <w:rPr>
                      <w:rFonts w:hint="eastAsia"/>
                      <w:color w:val="000000"/>
                      <w:szCs w:val="21"/>
                      <w:u w:val="none"/>
                      <w:lang w:val="en-US" w:eastAsia="zh-CN"/>
                    </w:rPr>
                    <w:t>0.1</w:t>
                  </w:r>
                </w:p>
              </w:tc>
              <w:tc>
                <w:tcPr>
                  <w:tcW w:w="2804" w:type="dxa"/>
                  <w:tcBorders>
                    <w:tl2br w:val="nil"/>
                    <w:tr2bl w:val="nil"/>
                  </w:tcBorders>
                  <w:noWrap w:val="0"/>
                  <w:vAlign w:val="center"/>
                </w:tcPr>
                <w:p w14:paraId="7E7DE763">
                  <w:pPr>
                    <w:adjustRightInd w:val="0"/>
                    <w:snapToGrid w:val="0"/>
                    <w:jc w:val="center"/>
                    <w:rPr>
                      <w:rFonts w:hint="default" w:eastAsia="宋体"/>
                      <w:bCs/>
                      <w:color w:val="000000"/>
                      <w:kern w:val="0"/>
                      <w:szCs w:val="21"/>
                      <w:u w:val="none"/>
                      <w:lang w:val="en-US" w:eastAsia="zh-CN"/>
                    </w:rPr>
                  </w:pPr>
                  <w:r>
                    <w:rPr>
                      <w:rFonts w:hint="eastAsia"/>
                      <w:bCs/>
                      <w:color w:val="000000"/>
                      <w:kern w:val="0"/>
                      <w:szCs w:val="21"/>
                      <w:u w:val="none"/>
                      <w:lang w:val="en-US" w:eastAsia="zh-CN"/>
                    </w:rPr>
                    <w:t>原辅料存放区</w:t>
                  </w:r>
                </w:p>
              </w:tc>
            </w:tr>
          </w:tbl>
          <w:p w14:paraId="636ECFB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cs="宋体"/>
                <w:bCs/>
                <w:color w:val="000000"/>
                <w:kern w:val="0"/>
                <w:sz w:val="24"/>
                <w:u w:val="none"/>
              </w:rPr>
            </w:pPr>
            <w:r>
              <w:rPr>
                <w:rFonts w:hint="eastAsia" w:cs="宋体"/>
                <w:bCs/>
                <w:color w:val="000000"/>
                <w:kern w:val="0"/>
                <w:sz w:val="24"/>
                <w:u w:val="none"/>
              </w:rPr>
              <w:t>项目涉及危险物质的性质见下表。</w:t>
            </w:r>
          </w:p>
          <w:p w14:paraId="735A307A">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eastAsia="黑体"/>
                <w:color w:val="000000"/>
                <w:sz w:val="24"/>
                <w:u w:val="none"/>
              </w:rPr>
            </w:pPr>
            <w:r>
              <w:rPr>
                <w:rFonts w:hint="eastAsia" w:eastAsia="黑体"/>
                <w:color w:val="000000"/>
                <w:sz w:val="24"/>
                <w:u w:val="none"/>
              </w:rPr>
              <w:t>表4-</w:t>
            </w:r>
            <w:r>
              <w:rPr>
                <w:rFonts w:hint="eastAsia" w:eastAsia="黑体"/>
                <w:color w:val="000000"/>
                <w:sz w:val="24"/>
                <w:u w:val="none"/>
                <w:lang w:val="en-US" w:eastAsia="zh-CN"/>
              </w:rPr>
              <w:t xml:space="preserve">21 </w:t>
            </w:r>
            <w:r>
              <w:rPr>
                <w:rFonts w:hint="eastAsia" w:eastAsia="黑体"/>
                <w:color w:val="000000"/>
                <w:sz w:val="24"/>
                <w:u w:val="none"/>
              </w:rPr>
              <w:t>项目涉及危险物质物化性质一览表</w:t>
            </w:r>
          </w:p>
          <w:tbl>
            <w:tblPr>
              <w:tblStyle w:val="23"/>
              <w:tblW w:w="7680"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Layout w:type="fixed"/>
              <w:tblCellMar>
                <w:top w:w="28" w:type="dxa"/>
                <w:left w:w="108" w:type="dxa"/>
                <w:bottom w:w="28" w:type="dxa"/>
                <w:right w:w="108" w:type="dxa"/>
              </w:tblCellMar>
            </w:tblPr>
            <w:tblGrid>
              <w:gridCol w:w="1299"/>
              <w:gridCol w:w="2760"/>
              <w:gridCol w:w="1602"/>
              <w:gridCol w:w="2019"/>
            </w:tblGrid>
            <w:tr w14:paraId="6BF68683">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316" w:hRule="atLeast"/>
                <w:jc w:val="center"/>
              </w:trPr>
              <w:tc>
                <w:tcPr>
                  <w:tcW w:w="5000" w:type="pct"/>
                  <w:gridSpan w:val="4"/>
                  <w:tcBorders>
                    <w:tl2br w:val="nil"/>
                    <w:tr2bl w:val="nil"/>
                  </w:tcBorders>
                  <w:noWrap w:val="0"/>
                  <w:vAlign w:val="center"/>
                </w:tcPr>
                <w:p w14:paraId="503DB3C7">
                  <w:pPr>
                    <w:jc w:val="center"/>
                    <w:rPr>
                      <w:color w:val="000000"/>
                      <w:szCs w:val="21"/>
                      <w:u w:val="none"/>
                    </w:rPr>
                  </w:pPr>
                  <w:r>
                    <w:rPr>
                      <w:color w:val="000000"/>
                      <w:szCs w:val="21"/>
                      <w:u w:val="none"/>
                    </w:rPr>
                    <w:t>化学品名称</w:t>
                  </w:r>
                </w:p>
              </w:tc>
            </w:tr>
            <w:tr w14:paraId="507BB868">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311" w:hRule="atLeast"/>
                <w:jc w:val="center"/>
              </w:trPr>
              <w:tc>
                <w:tcPr>
                  <w:tcW w:w="845" w:type="pct"/>
                  <w:tcBorders>
                    <w:tl2br w:val="nil"/>
                    <w:tr2bl w:val="nil"/>
                  </w:tcBorders>
                  <w:noWrap w:val="0"/>
                  <w:vAlign w:val="center"/>
                </w:tcPr>
                <w:p w14:paraId="769190E0">
                  <w:pPr>
                    <w:jc w:val="center"/>
                    <w:rPr>
                      <w:color w:val="000000"/>
                      <w:szCs w:val="21"/>
                      <w:u w:val="none"/>
                    </w:rPr>
                  </w:pPr>
                  <w:r>
                    <w:rPr>
                      <w:color w:val="000000"/>
                      <w:szCs w:val="21"/>
                      <w:u w:val="none"/>
                    </w:rPr>
                    <w:t>化学品中文</w:t>
                  </w:r>
                </w:p>
                <w:p w14:paraId="5F26D305">
                  <w:pPr>
                    <w:jc w:val="center"/>
                    <w:rPr>
                      <w:color w:val="000000"/>
                      <w:szCs w:val="21"/>
                      <w:u w:val="none"/>
                    </w:rPr>
                  </w:pPr>
                  <w:r>
                    <w:rPr>
                      <w:color w:val="000000"/>
                      <w:szCs w:val="21"/>
                      <w:u w:val="none"/>
                    </w:rPr>
                    <w:t>名称</w:t>
                  </w:r>
                </w:p>
              </w:tc>
              <w:tc>
                <w:tcPr>
                  <w:tcW w:w="4154" w:type="pct"/>
                  <w:gridSpan w:val="3"/>
                  <w:tcBorders>
                    <w:tl2br w:val="nil"/>
                    <w:tr2bl w:val="nil"/>
                  </w:tcBorders>
                  <w:noWrap w:val="0"/>
                  <w:vAlign w:val="center"/>
                </w:tcPr>
                <w:p w14:paraId="064C83BE">
                  <w:pPr>
                    <w:jc w:val="center"/>
                    <w:rPr>
                      <w:rFonts w:hint="eastAsia" w:eastAsia="宋体"/>
                      <w:color w:val="000000"/>
                      <w:szCs w:val="21"/>
                      <w:u w:val="none"/>
                      <w:lang w:val="en-US" w:eastAsia="zh-CN"/>
                    </w:rPr>
                  </w:pPr>
                  <w:r>
                    <w:rPr>
                      <w:rFonts w:hint="eastAsia"/>
                      <w:color w:val="000000"/>
                      <w:szCs w:val="21"/>
                      <w:u w:val="none"/>
                      <w:lang w:val="en-US" w:eastAsia="zh-CN"/>
                    </w:rPr>
                    <w:t>润滑油</w:t>
                  </w:r>
                </w:p>
              </w:tc>
            </w:tr>
            <w:tr w14:paraId="45873FBC">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379" w:hRule="atLeast"/>
                <w:jc w:val="center"/>
              </w:trPr>
              <w:tc>
                <w:tcPr>
                  <w:tcW w:w="845" w:type="pct"/>
                  <w:tcBorders>
                    <w:tl2br w:val="nil"/>
                    <w:tr2bl w:val="nil"/>
                  </w:tcBorders>
                  <w:noWrap w:val="0"/>
                  <w:vAlign w:val="center"/>
                </w:tcPr>
                <w:p w14:paraId="685C1816">
                  <w:pPr>
                    <w:jc w:val="center"/>
                    <w:rPr>
                      <w:color w:val="000000"/>
                      <w:szCs w:val="21"/>
                      <w:u w:val="none"/>
                    </w:rPr>
                  </w:pPr>
                  <w:r>
                    <w:rPr>
                      <w:color w:val="000000"/>
                      <w:szCs w:val="21"/>
                      <w:u w:val="none"/>
                    </w:rPr>
                    <w:t>技术说明书</w:t>
                  </w:r>
                </w:p>
                <w:p w14:paraId="5B9DA7FB">
                  <w:pPr>
                    <w:jc w:val="center"/>
                    <w:rPr>
                      <w:color w:val="000000"/>
                      <w:szCs w:val="21"/>
                      <w:u w:val="none"/>
                    </w:rPr>
                  </w:pPr>
                  <w:r>
                    <w:rPr>
                      <w:color w:val="000000"/>
                      <w:szCs w:val="21"/>
                      <w:u w:val="none"/>
                    </w:rPr>
                    <w:t>编码</w:t>
                  </w:r>
                </w:p>
              </w:tc>
              <w:tc>
                <w:tcPr>
                  <w:tcW w:w="1796" w:type="pct"/>
                  <w:tcBorders>
                    <w:tl2br w:val="nil"/>
                    <w:tr2bl w:val="nil"/>
                  </w:tcBorders>
                  <w:noWrap w:val="0"/>
                  <w:vAlign w:val="center"/>
                </w:tcPr>
                <w:p w14:paraId="3C20D32A">
                  <w:pPr>
                    <w:jc w:val="center"/>
                    <w:rPr>
                      <w:color w:val="000000"/>
                      <w:szCs w:val="21"/>
                      <w:u w:val="none"/>
                    </w:rPr>
                  </w:pPr>
                  <w:r>
                    <w:rPr>
                      <w:color w:val="000000"/>
                      <w:szCs w:val="21"/>
                      <w:u w:val="none"/>
                    </w:rPr>
                    <w:t>8956</w:t>
                  </w:r>
                </w:p>
              </w:tc>
              <w:tc>
                <w:tcPr>
                  <w:tcW w:w="1042" w:type="pct"/>
                  <w:tcBorders>
                    <w:tl2br w:val="nil"/>
                    <w:tr2bl w:val="nil"/>
                  </w:tcBorders>
                  <w:noWrap w:val="0"/>
                  <w:vAlign w:val="center"/>
                </w:tcPr>
                <w:p w14:paraId="7857142D">
                  <w:pPr>
                    <w:jc w:val="center"/>
                    <w:rPr>
                      <w:color w:val="000000"/>
                      <w:szCs w:val="21"/>
                      <w:u w:val="none"/>
                    </w:rPr>
                  </w:pPr>
                  <w:r>
                    <w:rPr>
                      <w:color w:val="000000"/>
                      <w:szCs w:val="21"/>
                      <w:u w:val="none"/>
                    </w:rPr>
                    <w:t>CAS.</w:t>
                  </w:r>
                </w:p>
              </w:tc>
              <w:tc>
                <w:tcPr>
                  <w:tcW w:w="1314" w:type="pct"/>
                  <w:tcBorders>
                    <w:tl2br w:val="nil"/>
                    <w:tr2bl w:val="nil"/>
                  </w:tcBorders>
                  <w:noWrap w:val="0"/>
                  <w:vAlign w:val="center"/>
                </w:tcPr>
                <w:p w14:paraId="17F9B546">
                  <w:pPr>
                    <w:jc w:val="center"/>
                    <w:rPr>
                      <w:color w:val="000000"/>
                      <w:szCs w:val="21"/>
                      <w:u w:val="none"/>
                    </w:rPr>
                  </w:pPr>
                  <w:r>
                    <w:rPr>
                      <w:rFonts w:hint="eastAsia"/>
                      <w:color w:val="000000"/>
                      <w:szCs w:val="21"/>
                      <w:u w:val="none"/>
                    </w:rPr>
                    <w:t>/</w:t>
                  </w:r>
                </w:p>
              </w:tc>
            </w:tr>
            <w:tr w14:paraId="0C58301C">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358" w:hRule="atLeast"/>
                <w:jc w:val="center"/>
              </w:trPr>
              <w:tc>
                <w:tcPr>
                  <w:tcW w:w="5000" w:type="pct"/>
                  <w:gridSpan w:val="4"/>
                  <w:tcBorders>
                    <w:tl2br w:val="nil"/>
                    <w:tr2bl w:val="nil"/>
                  </w:tcBorders>
                  <w:noWrap w:val="0"/>
                  <w:vAlign w:val="center"/>
                </w:tcPr>
                <w:p w14:paraId="3E4F11E7">
                  <w:pPr>
                    <w:jc w:val="center"/>
                    <w:rPr>
                      <w:color w:val="000000"/>
                      <w:szCs w:val="21"/>
                      <w:u w:val="none"/>
                    </w:rPr>
                  </w:pPr>
                  <w:r>
                    <w:rPr>
                      <w:color w:val="000000"/>
                      <w:szCs w:val="21"/>
                      <w:u w:val="none"/>
                    </w:rPr>
                    <w:t>危险性概述</w:t>
                  </w:r>
                </w:p>
              </w:tc>
            </w:tr>
            <w:tr w14:paraId="389EE336">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539" w:hRule="atLeast"/>
                <w:jc w:val="center"/>
              </w:trPr>
              <w:tc>
                <w:tcPr>
                  <w:tcW w:w="845" w:type="pct"/>
                  <w:tcBorders>
                    <w:tl2br w:val="nil"/>
                    <w:tr2bl w:val="nil"/>
                  </w:tcBorders>
                  <w:noWrap w:val="0"/>
                  <w:vAlign w:val="center"/>
                </w:tcPr>
                <w:p w14:paraId="266F2465">
                  <w:pPr>
                    <w:widowControl/>
                    <w:jc w:val="center"/>
                    <w:rPr>
                      <w:color w:val="000000"/>
                      <w:szCs w:val="21"/>
                      <w:u w:val="none"/>
                    </w:rPr>
                  </w:pPr>
                  <w:r>
                    <w:rPr>
                      <w:color w:val="000000"/>
                      <w:szCs w:val="21"/>
                      <w:u w:val="none"/>
                    </w:rPr>
                    <w:t>危险性类别</w:t>
                  </w:r>
                </w:p>
              </w:tc>
              <w:tc>
                <w:tcPr>
                  <w:tcW w:w="1796" w:type="pct"/>
                  <w:tcBorders>
                    <w:tl2br w:val="nil"/>
                    <w:tr2bl w:val="nil"/>
                  </w:tcBorders>
                  <w:noWrap w:val="0"/>
                  <w:vAlign w:val="center"/>
                </w:tcPr>
                <w:p w14:paraId="658D197F">
                  <w:pPr>
                    <w:widowControl/>
                    <w:jc w:val="center"/>
                    <w:rPr>
                      <w:color w:val="000000"/>
                      <w:szCs w:val="21"/>
                      <w:u w:val="none"/>
                    </w:rPr>
                  </w:pPr>
                  <w:r>
                    <w:rPr>
                      <w:rFonts w:hint="eastAsia"/>
                      <w:color w:val="000000"/>
                      <w:szCs w:val="21"/>
                      <w:u w:val="none"/>
                      <w:lang w:val="en-US" w:eastAsia="zh-CN"/>
                    </w:rPr>
                    <w:t>可燃</w:t>
                  </w:r>
                  <w:r>
                    <w:rPr>
                      <w:color w:val="000000"/>
                      <w:szCs w:val="21"/>
                      <w:u w:val="none"/>
                    </w:rPr>
                    <w:t>液体</w:t>
                  </w:r>
                </w:p>
              </w:tc>
              <w:tc>
                <w:tcPr>
                  <w:tcW w:w="1042" w:type="pct"/>
                  <w:tcBorders>
                    <w:tl2br w:val="nil"/>
                    <w:tr2bl w:val="nil"/>
                  </w:tcBorders>
                  <w:noWrap w:val="0"/>
                  <w:vAlign w:val="center"/>
                </w:tcPr>
                <w:p w14:paraId="06961D96">
                  <w:pPr>
                    <w:widowControl/>
                    <w:jc w:val="center"/>
                    <w:rPr>
                      <w:color w:val="000000"/>
                      <w:szCs w:val="21"/>
                      <w:u w:val="none"/>
                    </w:rPr>
                  </w:pPr>
                  <w:r>
                    <w:rPr>
                      <w:color w:val="000000"/>
                      <w:szCs w:val="21"/>
                      <w:u w:val="none"/>
                    </w:rPr>
                    <w:t>燃爆危险</w:t>
                  </w:r>
                </w:p>
              </w:tc>
              <w:tc>
                <w:tcPr>
                  <w:tcW w:w="1314" w:type="pct"/>
                  <w:tcBorders>
                    <w:tl2br w:val="nil"/>
                    <w:tr2bl w:val="nil"/>
                  </w:tcBorders>
                  <w:noWrap w:val="0"/>
                  <w:vAlign w:val="center"/>
                </w:tcPr>
                <w:p w14:paraId="34A504C9">
                  <w:pPr>
                    <w:jc w:val="center"/>
                    <w:rPr>
                      <w:rFonts w:hint="eastAsia" w:eastAsia="宋体"/>
                      <w:color w:val="000000"/>
                      <w:szCs w:val="21"/>
                      <w:u w:val="none"/>
                      <w:lang w:val="en-US" w:eastAsia="zh-CN"/>
                    </w:rPr>
                  </w:pPr>
                  <w:r>
                    <w:rPr>
                      <w:rFonts w:hint="eastAsia"/>
                      <w:color w:val="000000"/>
                      <w:szCs w:val="21"/>
                      <w:u w:val="none"/>
                      <w:lang w:val="en-US" w:eastAsia="zh-CN"/>
                    </w:rPr>
                    <w:t>其中基础油</w:t>
                  </w:r>
                  <w:r>
                    <w:rPr>
                      <w:color w:val="000000"/>
                      <w:szCs w:val="21"/>
                      <w:u w:val="none"/>
                    </w:rPr>
                    <w:t>易燃，</w:t>
                  </w:r>
                  <w:r>
                    <w:rPr>
                      <w:rFonts w:hint="eastAsia"/>
                      <w:color w:val="000000"/>
                      <w:szCs w:val="21"/>
                      <w:u w:val="none"/>
                      <w:lang w:val="en-US" w:eastAsia="zh-CN"/>
                    </w:rPr>
                    <w:t>添加剂</w:t>
                  </w:r>
                  <w:r>
                    <w:rPr>
                      <w:color w:val="000000"/>
                      <w:szCs w:val="21"/>
                      <w:u w:val="none"/>
                    </w:rPr>
                    <w:t>具有刺激</w:t>
                  </w:r>
                  <w:r>
                    <w:rPr>
                      <w:rFonts w:hint="eastAsia"/>
                      <w:color w:val="000000"/>
                      <w:szCs w:val="21"/>
                      <w:u w:val="none"/>
                      <w:lang w:val="en-US" w:eastAsia="zh-CN"/>
                    </w:rPr>
                    <w:t>性</w:t>
                  </w:r>
                </w:p>
              </w:tc>
            </w:tr>
            <w:tr w14:paraId="014634D7">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431" w:hRule="atLeast"/>
                <w:jc w:val="center"/>
              </w:trPr>
              <w:tc>
                <w:tcPr>
                  <w:tcW w:w="845" w:type="pct"/>
                  <w:tcBorders>
                    <w:tl2br w:val="nil"/>
                    <w:tr2bl w:val="nil"/>
                  </w:tcBorders>
                  <w:noWrap w:val="0"/>
                  <w:vAlign w:val="center"/>
                </w:tcPr>
                <w:p w14:paraId="25E6A59B">
                  <w:pPr>
                    <w:widowControl/>
                    <w:jc w:val="center"/>
                    <w:rPr>
                      <w:color w:val="000000"/>
                      <w:szCs w:val="21"/>
                      <w:u w:val="none"/>
                    </w:rPr>
                  </w:pPr>
                  <w:r>
                    <w:rPr>
                      <w:color w:val="000000"/>
                      <w:szCs w:val="21"/>
                      <w:u w:val="none"/>
                    </w:rPr>
                    <w:t>侵入途径</w:t>
                  </w:r>
                </w:p>
              </w:tc>
              <w:tc>
                <w:tcPr>
                  <w:tcW w:w="1796" w:type="pct"/>
                  <w:tcBorders>
                    <w:tl2br w:val="nil"/>
                    <w:tr2bl w:val="nil"/>
                  </w:tcBorders>
                  <w:noWrap w:val="0"/>
                  <w:vAlign w:val="center"/>
                </w:tcPr>
                <w:p w14:paraId="64719F02">
                  <w:pPr>
                    <w:widowControl/>
                    <w:jc w:val="center"/>
                    <w:rPr>
                      <w:rFonts w:hint="eastAsia" w:eastAsia="宋体"/>
                      <w:color w:val="000000"/>
                      <w:szCs w:val="21"/>
                      <w:u w:val="none"/>
                      <w:lang w:val="en-US" w:eastAsia="zh-CN"/>
                    </w:rPr>
                  </w:pPr>
                  <w:r>
                    <w:rPr>
                      <w:color w:val="000000"/>
                      <w:szCs w:val="21"/>
                      <w:u w:val="none"/>
                    </w:rPr>
                    <w:t>皮肤、消化道、呼吸道等</w:t>
                  </w:r>
                </w:p>
              </w:tc>
              <w:tc>
                <w:tcPr>
                  <w:tcW w:w="1042" w:type="pct"/>
                  <w:tcBorders>
                    <w:tl2br w:val="nil"/>
                    <w:tr2bl w:val="nil"/>
                  </w:tcBorders>
                  <w:noWrap w:val="0"/>
                  <w:vAlign w:val="center"/>
                </w:tcPr>
                <w:p w14:paraId="02134B24">
                  <w:pPr>
                    <w:jc w:val="center"/>
                    <w:rPr>
                      <w:color w:val="000000"/>
                      <w:kern w:val="0"/>
                      <w:szCs w:val="21"/>
                      <w:u w:val="none"/>
                    </w:rPr>
                  </w:pPr>
                  <w:r>
                    <w:rPr>
                      <w:color w:val="000000"/>
                      <w:kern w:val="0"/>
                      <w:szCs w:val="21"/>
                      <w:u w:val="none"/>
                    </w:rPr>
                    <w:t>有害燃烧产物</w:t>
                  </w:r>
                </w:p>
              </w:tc>
              <w:tc>
                <w:tcPr>
                  <w:tcW w:w="1314" w:type="pct"/>
                  <w:tcBorders>
                    <w:tl2br w:val="nil"/>
                    <w:tr2bl w:val="nil"/>
                  </w:tcBorders>
                  <w:noWrap w:val="0"/>
                  <w:vAlign w:val="center"/>
                </w:tcPr>
                <w:p w14:paraId="2A2AE1A6">
                  <w:pPr>
                    <w:jc w:val="center"/>
                    <w:rPr>
                      <w:color w:val="000000"/>
                      <w:szCs w:val="21"/>
                      <w:u w:val="none"/>
                    </w:rPr>
                  </w:pPr>
                  <w:r>
                    <w:rPr>
                      <w:color w:val="000000"/>
                      <w:kern w:val="0"/>
                      <w:szCs w:val="21"/>
                      <w:u w:val="none"/>
                    </w:rPr>
                    <w:t>CO、CO</w:t>
                  </w:r>
                  <w:r>
                    <w:rPr>
                      <w:color w:val="000000"/>
                      <w:kern w:val="0"/>
                      <w:szCs w:val="21"/>
                      <w:u w:val="none"/>
                      <w:vertAlign w:val="subscript"/>
                    </w:rPr>
                    <w:t>2</w:t>
                  </w:r>
                </w:p>
              </w:tc>
            </w:tr>
            <w:tr w14:paraId="5050AC7F">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431" w:hRule="atLeast"/>
                <w:jc w:val="center"/>
              </w:trPr>
              <w:tc>
                <w:tcPr>
                  <w:tcW w:w="845" w:type="pct"/>
                  <w:tcBorders>
                    <w:tl2br w:val="nil"/>
                    <w:tr2bl w:val="nil"/>
                  </w:tcBorders>
                  <w:noWrap w:val="0"/>
                  <w:vAlign w:val="center"/>
                </w:tcPr>
                <w:p w14:paraId="42BE1307">
                  <w:pPr>
                    <w:widowControl/>
                    <w:jc w:val="center"/>
                    <w:rPr>
                      <w:color w:val="000000"/>
                      <w:szCs w:val="21"/>
                      <w:u w:val="none"/>
                    </w:rPr>
                  </w:pPr>
                  <w:r>
                    <w:rPr>
                      <w:color w:val="000000"/>
                      <w:szCs w:val="21"/>
                      <w:u w:val="none"/>
                    </w:rPr>
                    <w:t>健康危害</w:t>
                  </w:r>
                </w:p>
              </w:tc>
              <w:tc>
                <w:tcPr>
                  <w:tcW w:w="4154" w:type="pct"/>
                  <w:gridSpan w:val="3"/>
                  <w:tcBorders>
                    <w:tl2br w:val="nil"/>
                    <w:tr2bl w:val="nil"/>
                  </w:tcBorders>
                  <w:noWrap w:val="0"/>
                  <w:vAlign w:val="center"/>
                </w:tcPr>
                <w:p w14:paraId="1BCB0E19">
                  <w:pPr>
                    <w:autoSpaceDE w:val="0"/>
                    <w:autoSpaceDN w:val="0"/>
                    <w:adjustRightInd w:val="0"/>
                    <w:jc w:val="center"/>
                    <w:rPr>
                      <w:color w:val="000000"/>
                      <w:kern w:val="0"/>
                      <w:szCs w:val="21"/>
                      <w:u w:val="none"/>
                    </w:rPr>
                  </w:pPr>
                  <w:r>
                    <w:rPr>
                      <w:color w:val="000000"/>
                      <w:kern w:val="0"/>
                      <w:szCs w:val="21"/>
                      <w:u w:val="none"/>
                    </w:rPr>
                    <w:t>皮肤接触可能导致肾脏危害，吸入滴雾或者液体可引起吸入性肺炎。</w:t>
                  </w:r>
                </w:p>
              </w:tc>
            </w:tr>
            <w:tr w14:paraId="04EA0FAB">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621" w:hRule="atLeast"/>
                <w:jc w:val="center"/>
              </w:trPr>
              <w:tc>
                <w:tcPr>
                  <w:tcW w:w="845" w:type="pct"/>
                  <w:tcBorders>
                    <w:tl2br w:val="nil"/>
                    <w:tr2bl w:val="nil"/>
                  </w:tcBorders>
                  <w:noWrap w:val="0"/>
                  <w:vAlign w:val="center"/>
                </w:tcPr>
                <w:p w14:paraId="25C3A6BE">
                  <w:pPr>
                    <w:widowControl/>
                    <w:jc w:val="center"/>
                    <w:rPr>
                      <w:color w:val="000000"/>
                      <w:szCs w:val="21"/>
                      <w:u w:val="none"/>
                    </w:rPr>
                  </w:pPr>
                  <w:r>
                    <w:rPr>
                      <w:color w:val="000000"/>
                      <w:szCs w:val="21"/>
                      <w:u w:val="none"/>
                    </w:rPr>
                    <w:t>危险特性</w:t>
                  </w:r>
                </w:p>
              </w:tc>
              <w:tc>
                <w:tcPr>
                  <w:tcW w:w="4154" w:type="pct"/>
                  <w:gridSpan w:val="3"/>
                  <w:tcBorders>
                    <w:tl2br w:val="nil"/>
                    <w:tr2bl w:val="nil"/>
                  </w:tcBorders>
                  <w:noWrap w:val="0"/>
                  <w:vAlign w:val="center"/>
                </w:tcPr>
                <w:p w14:paraId="589EF95C">
                  <w:pPr>
                    <w:autoSpaceDE w:val="0"/>
                    <w:autoSpaceDN w:val="0"/>
                    <w:adjustRightInd w:val="0"/>
                    <w:jc w:val="center"/>
                    <w:rPr>
                      <w:color w:val="000000"/>
                      <w:kern w:val="0"/>
                      <w:szCs w:val="21"/>
                      <w:u w:val="none"/>
                    </w:rPr>
                  </w:pPr>
                  <w:r>
                    <w:rPr>
                      <w:rFonts w:hint="eastAsia"/>
                      <w:color w:val="000000"/>
                      <w:kern w:val="0"/>
                      <w:szCs w:val="21"/>
                      <w:u w:val="none"/>
                      <w:lang w:val="en-US" w:eastAsia="zh-CN"/>
                    </w:rPr>
                    <w:t>可</w:t>
                  </w:r>
                  <w:r>
                    <w:rPr>
                      <w:color w:val="000000"/>
                      <w:kern w:val="0"/>
                      <w:szCs w:val="21"/>
                      <w:u w:val="none"/>
                    </w:rPr>
                    <w:t>燃，遇明火、高热或氧化剂接触，有引起燃烧的危险。若遇高热，容器内压增大，有开裂和爆炸的危险。</w:t>
                  </w:r>
                </w:p>
              </w:tc>
            </w:tr>
            <w:tr w14:paraId="2A05F196">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429" w:hRule="atLeast"/>
                <w:jc w:val="center"/>
              </w:trPr>
              <w:tc>
                <w:tcPr>
                  <w:tcW w:w="5000" w:type="pct"/>
                  <w:gridSpan w:val="4"/>
                  <w:tcBorders>
                    <w:tl2br w:val="nil"/>
                    <w:tr2bl w:val="nil"/>
                  </w:tcBorders>
                  <w:noWrap w:val="0"/>
                  <w:vAlign w:val="center"/>
                </w:tcPr>
                <w:p w14:paraId="5B5C57CA">
                  <w:pPr>
                    <w:jc w:val="center"/>
                    <w:rPr>
                      <w:color w:val="000000"/>
                      <w:szCs w:val="21"/>
                      <w:u w:val="none"/>
                    </w:rPr>
                  </w:pPr>
                  <w:r>
                    <w:rPr>
                      <w:color w:val="000000"/>
                      <w:szCs w:val="21"/>
                      <w:u w:val="none"/>
                    </w:rPr>
                    <w:t>理化性质</w:t>
                  </w:r>
                </w:p>
              </w:tc>
            </w:tr>
            <w:tr w14:paraId="3DF0133D">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391" w:hRule="atLeast"/>
                <w:jc w:val="center"/>
              </w:trPr>
              <w:tc>
                <w:tcPr>
                  <w:tcW w:w="845" w:type="pct"/>
                  <w:tcBorders>
                    <w:tl2br w:val="nil"/>
                    <w:tr2bl w:val="nil"/>
                  </w:tcBorders>
                  <w:noWrap w:val="0"/>
                  <w:vAlign w:val="center"/>
                </w:tcPr>
                <w:p w14:paraId="2B96FBC8">
                  <w:pPr>
                    <w:widowControl/>
                    <w:jc w:val="center"/>
                    <w:rPr>
                      <w:color w:val="000000"/>
                      <w:szCs w:val="21"/>
                      <w:u w:val="none"/>
                    </w:rPr>
                  </w:pPr>
                  <w:r>
                    <w:rPr>
                      <w:rFonts w:hint="eastAsia"/>
                      <w:color w:val="000000"/>
                      <w:szCs w:val="21"/>
                      <w:u w:val="none"/>
                      <w:lang w:val="en-US" w:eastAsia="zh-CN"/>
                    </w:rPr>
                    <w:t>闪</w:t>
                  </w:r>
                  <w:r>
                    <w:rPr>
                      <w:color w:val="000000"/>
                      <w:szCs w:val="21"/>
                      <w:u w:val="none"/>
                    </w:rPr>
                    <w:t>点（</w:t>
                  </w:r>
                  <w:r>
                    <w:rPr>
                      <w:rFonts w:hint="eastAsia" w:ascii="宋体" w:hAnsi="宋体" w:cs="宋体"/>
                      <w:color w:val="000000"/>
                      <w:szCs w:val="21"/>
                      <w:u w:val="none"/>
                    </w:rPr>
                    <w:t>℃</w:t>
                  </w:r>
                  <w:r>
                    <w:rPr>
                      <w:color w:val="000000"/>
                      <w:szCs w:val="21"/>
                      <w:u w:val="none"/>
                    </w:rPr>
                    <w:t>）</w:t>
                  </w:r>
                </w:p>
              </w:tc>
              <w:tc>
                <w:tcPr>
                  <w:tcW w:w="1796" w:type="pct"/>
                  <w:tcBorders>
                    <w:tl2br w:val="nil"/>
                    <w:tr2bl w:val="nil"/>
                  </w:tcBorders>
                  <w:noWrap w:val="0"/>
                  <w:vAlign w:val="center"/>
                </w:tcPr>
                <w:p w14:paraId="4548C55E">
                  <w:pPr>
                    <w:widowControl/>
                    <w:jc w:val="center"/>
                    <w:rPr>
                      <w:rFonts w:hint="eastAsia" w:eastAsia="宋体"/>
                      <w:color w:val="000000"/>
                      <w:szCs w:val="21"/>
                      <w:u w:val="none"/>
                      <w:lang w:val="en-US" w:eastAsia="zh-CN"/>
                    </w:rPr>
                  </w:pPr>
                  <w:r>
                    <w:rPr>
                      <w:rFonts w:hint="eastAsia"/>
                      <w:color w:val="000000"/>
                      <w:szCs w:val="21"/>
                      <w:u w:val="none"/>
                      <w:lang w:val="en-US" w:eastAsia="zh-CN"/>
                    </w:rPr>
                    <w:t>220</w:t>
                  </w:r>
                  <w:r>
                    <w:rPr>
                      <w:rFonts w:hint="eastAsia" w:ascii="宋体" w:hAnsi="宋体" w:cs="宋体"/>
                      <w:color w:val="000000"/>
                      <w:szCs w:val="21"/>
                      <w:u w:val="none"/>
                    </w:rPr>
                    <w:t>℃</w:t>
                  </w:r>
                  <w:r>
                    <w:rPr>
                      <w:rFonts w:hint="eastAsia" w:ascii="宋体" w:hAnsi="宋体" w:cs="宋体"/>
                      <w:color w:val="000000"/>
                      <w:szCs w:val="21"/>
                      <w:u w:val="none"/>
                      <w:lang w:val="en-US" w:eastAsia="zh-CN"/>
                    </w:rPr>
                    <w:t>左右</w:t>
                  </w:r>
                </w:p>
              </w:tc>
              <w:tc>
                <w:tcPr>
                  <w:tcW w:w="1042" w:type="pct"/>
                  <w:tcBorders>
                    <w:tl2br w:val="nil"/>
                    <w:tr2bl w:val="nil"/>
                  </w:tcBorders>
                  <w:noWrap w:val="0"/>
                  <w:vAlign w:val="center"/>
                </w:tcPr>
                <w:p w14:paraId="1226A961">
                  <w:pPr>
                    <w:jc w:val="center"/>
                    <w:rPr>
                      <w:color w:val="000000"/>
                      <w:szCs w:val="21"/>
                      <w:u w:val="none"/>
                    </w:rPr>
                  </w:pPr>
                  <w:r>
                    <w:rPr>
                      <w:color w:val="000000"/>
                      <w:szCs w:val="21"/>
                      <w:u w:val="none"/>
                    </w:rPr>
                    <w:t>相对密度</w:t>
                  </w:r>
                </w:p>
                <w:p w14:paraId="5E0BF4B7">
                  <w:pPr>
                    <w:jc w:val="center"/>
                    <w:rPr>
                      <w:color w:val="000000"/>
                      <w:szCs w:val="21"/>
                      <w:u w:val="none"/>
                    </w:rPr>
                  </w:pPr>
                  <w:r>
                    <w:rPr>
                      <w:color w:val="000000"/>
                      <w:szCs w:val="21"/>
                      <w:u w:val="none"/>
                    </w:rPr>
                    <w:t>（水=1）</w:t>
                  </w:r>
                </w:p>
              </w:tc>
              <w:tc>
                <w:tcPr>
                  <w:tcW w:w="1314" w:type="pct"/>
                  <w:tcBorders>
                    <w:tl2br w:val="nil"/>
                    <w:tr2bl w:val="nil"/>
                  </w:tcBorders>
                  <w:noWrap w:val="0"/>
                  <w:vAlign w:val="center"/>
                </w:tcPr>
                <w:p w14:paraId="6B9481E0">
                  <w:pPr>
                    <w:jc w:val="center"/>
                    <w:rPr>
                      <w:color w:val="000000"/>
                      <w:szCs w:val="21"/>
                      <w:u w:val="none"/>
                    </w:rPr>
                  </w:pPr>
                  <w:r>
                    <w:rPr>
                      <w:color w:val="000000"/>
                      <w:szCs w:val="21"/>
                      <w:u w:val="none"/>
                    </w:rPr>
                    <w:t>0.87-0.9</w:t>
                  </w:r>
                </w:p>
              </w:tc>
            </w:tr>
            <w:tr w14:paraId="63CD88E2">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499" w:hRule="atLeast"/>
                <w:jc w:val="center"/>
              </w:trPr>
              <w:tc>
                <w:tcPr>
                  <w:tcW w:w="845" w:type="pct"/>
                  <w:tcBorders>
                    <w:tl2br w:val="nil"/>
                    <w:tr2bl w:val="nil"/>
                  </w:tcBorders>
                  <w:noWrap w:val="0"/>
                  <w:vAlign w:val="center"/>
                </w:tcPr>
                <w:p w14:paraId="7997E71D">
                  <w:pPr>
                    <w:widowControl/>
                    <w:jc w:val="center"/>
                    <w:rPr>
                      <w:color w:val="000000"/>
                      <w:szCs w:val="21"/>
                      <w:u w:val="none"/>
                    </w:rPr>
                  </w:pPr>
                  <w:r>
                    <w:rPr>
                      <w:color w:val="000000"/>
                      <w:szCs w:val="21"/>
                      <w:u w:val="none"/>
                    </w:rPr>
                    <w:t>沸点（</w:t>
                  </w:r>
                  <w:r>
                    <w:rPr>
                      <w:rFonts w:hint="eastAsia" w:ascii="宋体" w:hAnsi="宋体" w:cs="宋体"/>
                      <w:color w:val="000000"/>
                      <w:szCs w:val="21"/>
                      <w:u w:val="none"/>
                    </w:rPr>
                    <w:t>℃</w:t>
                  </w:r>
                  <w:r>
                    <w:rPr>
                      <w:color w:val="000000"/>
                      <w:szCs w:val="21"/>
                      <w:u w:val="none"/>
                    </w:rPr>
                    <w:t>）</w:t>
                  </w:r>
                </w:p>
              </w:tc>
              <w:tc>
                <w:tcPr>
                  <w:tcW w:w="1796" w:type="pct"/>
                  <w:tcBorders>
                    <w:tl2br w:val="nil"/>
                    <w:tr2bl w:val="nil"/>
                  </w:tcBorders>
                  <w:noWrap w:val="0"/>
                  <w:vAlign w:val="center"/>
                </w:tcPr>
                <w:p w14:paraId="3045DAA3">
                  <w:pPr>
                    <w:widowControl/>
                    <w:jc w:val="center"/>
                    <w:rPr>
                      <w:rFonts w:hint="eastAsia" w:eastAsia="宋体"/>
                      <w:color w:val="000000"/>
                      <w:szCs w:val="21"/>
                      <w:u w:val="none"/>
                      <w:lang w:val="en-US" w:eastAsia="zh-CN"/>
                    </w:rPr>
                  </w:pPr>
                  <w:r>
                    <w:rPr>
                      <w:rFonts w:hint="eastAsia"/>
                      <w:color w:val="000000"/>
                      <w:szCs w:val="21"/>
                      <w:u w:val="none"/>
                      <w:lang w:val="en-US" w:eastAsia="zh-CN"/>
                    </w:rPr>
                    <w:t>150</w:t>
                  </w:r>
                  <w:r>
                    <w:rPr>
                      <w:rFonts w:hint="eastAsia" w:ascii="宋体" w:hAnsi="宋体" w:cs="宋体"/>
                      <w:color w:val="000000"/>
                      <w:szCs w:val="21"/>
                      <w:u w:val="none"/>
                    </w:rPr>
                    <w:t>℃</w:t>
                  </w:r>
                  <w:r>
                    <w:rPr>
                      <w:rFonts w:hint="eastAsia" w:ascii="宋体" w:hAnsi="宋体" w:cs="宋体"/>
                      <w:color w:val="000000"/>
                      <w:szCs w:val="21"/>
                      <w:u w:val="none"/>
                      <w:lang w:val="en-US" w:eastAsia="zh-CN"/>
                    </w:rPr>
                    <w:t>左右</w:t>
                  </w:r>
                </w:p>
              </w:tc>
              <w:tc>
                <w:tcPr>
                  <w:tcW w:w="1042" w:type="pct"/>
                  <w:tcBorders>
                    <w:tl2br w:val="nil"/>
                    <w:tr2bl w:val="nil"/>
                  </w:tcBorders>
                  <w:noWrap w:val="0"/>
                  <w:vAlign w:val="center"/>
                </w:tcPr>
                <w:p w14:paraId="39742CC3">
                  <w:pPr>
                    <w:widowControl/>
                    <w:jc w:val="center"/>
                    <w:rPr>
                      <w:color w:val="000000"/>
                      <w:szCs w:val="21"/>
                      <w:u w:val="none"/>
                    </w:rPr>
                  </w:pPr>
                  <w:r>
                    <w:rPr>
                      <w:color w:val="000000"/>
                      <w:szCs w:val="21"/>
                      <w:u w:val="none"/>
                    </w:rPr>
                    <w:t>外观及外形</w:t>
                  </w:r>
                </w:p>
              </w:tc>
              <w:tc>
                <w:tcPr>
                  <w:tcW w:w="1314" w:type="pct"/>
                  <w:tcBorders>
                    <w:tl2br w:val="nil"/>
                    <w:tr2bl w:val="nil"/>
                  </w:tcBorders>
                  <w:noWrap w:val="0"/>
                  <w:vAlign w:val="center"/>
                </w:tcPr>
                <w:p w14:paraId="33CB59E5">
                  <w:pPr>
                    <w:jc w:val="center"/>
                    <w:rPr>
                      <w:color w:val="000000"/>
                      <w:szCs w:val="21"/>
                      <w:u w:val="none"/>
                    </w:rPr>
                  </w:pPr>
                  <w:r>
                    <w:rPr>
                      <w:color w:val="000000"/>
                      <w:szCs w:val="21"/>
                      <w:u w:val="none"/>
                    </w:rPr>
                    <w:t>稍有粘性的棕色</w:t>
                  </w:r>
                </w:p>
                <w:p w14:paraId="552B45DC">
                  <w:pPr>
                    <w:jc w:val="center"/>
                    <w:rPr>
                      <w:color w:val="000000"/>
                      <w:szCs w:val="21"/>
                      <w:u w:val="none"/>
                    </w:rPr>
                  </w:pPr>
                  <w:r>
                    <w:rPr>
                      <w:color w:val="000000"/>
                      <w:szCs w:val="21"/>
                      <w:u w:val="none"/>
                    </w:rPr>
                    <w:t>液体</w:t>
                  </w:r>
                </w:p>
              </w:tc>
            </w:tr>
            <w:tr w14:paraId="1FD6D9C0">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323" w:hRule="atLeast"/>
                <w:jc w:val="center"/>
              </w:trPr>
              <w:tc>
                <w:tcPr>
                  <w:tcW w:w="5000" w:type="pct"/>
                  <w:gridSpan w:val="4"/>
                  <w:tcBorders>
                    <w:tl2br w:val="nil"/>
                    <w:tr2bl w:val="nil"/>
                  </w:tcBorders>
                  <w:noWrap w:val="0"/>
                  <w:vAlign w:val="center"/>
                </w:tcPr>
                <w:p w14:paraId="71CA6C41">
                  <w:pPr>
                    <w:jc w:val="center"/>
                    <w:rPr>
                      <w:color w:val="000000"/>
                      <w:szCs w:val="21"/>
                      <w:u w:val="none"/>
                    </w:rPr>
                  </w:pPr>
                  <w:r>
                    <w:rPr>
                      <w:color w:val="000000"/>
                      <w:kern w:val="0"/>
                      <w:szCs w:val="21"/>
                      <w:u w:val="none"/>
                    </w:rPr>
                    <w:t>稳定性及化学活性</w:t>
                  </w:r>
                </w:p>
              </w:tc>
            </w:tr>
            <w:tr w14:paraId="5DDD0041">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535" w:hRule="atLeast"/>
                <w:jc w:val="center"/>
              </w:trPr>
              <w:tc>
                <w:tcPr>
                  <w:tcW w:w="845" w:type="pct"/>
                  <w:tcBorders>
                    <w:tl2br w:val="nil"/>
                    <w:tr2bl w:val="nil"/>
                  </w:tcBorders>
                  <w:noWrap w:val="0"/>
                  <w:vAlign w:val="center"/>
                </w:tcPr>
                <w:p w14:paraId="0715E373">
                  <w:pPr>
                    <w:widowControl/>
                    <w:jc w:val="center"/>
                    <w:rPr>
                      <w:color w:val="000000"/>
                      <w:kern w:val="0"/>
                      <w:szCs w:val="21"/>
                      <w:u w:val="none"/>
                    </w:rPr>
                  </w:pPr>
                  <w:r>
                    <w:rPr>
                      <w:color w:val="000000"/>
                      <w:kern w:val="0"/>
                      <w:szCs w:val="21"/>
                      <w:u w:val="none"/>
                    </w:rPr>
                    <w:t>稳定性</w:t>
                  </w:r>
                </w:p>
              </w:tc>
              <w:tc>
                <w:tcPr>
                  <w:tcW w:w="1796" w:type="pct"/>
                  <w:tcBorders>
                    <w:tl2br w:val="nil"/>
                    <w:tr2bl w:val="nil"/>
                  </w:tcBorders>
                  <w:noWrap w:val="0"/>
                  <w:vAlign w:val="center"/>
                </w:tcPr>
                <w:p w14:paraId="21C751D3">
                  <w:pPr>
                    <w:widowControl/>
                    <w:jc w:val="center"/>
                    <w:rPr>
                      <w:color w:val="000000"/>
                      <w:kern w:val="0"/>
                      <w:szCs w:val="21"/>
                      <w:u w:val="none"/>
                    </w:rPr>
                  </w:pPr>
                  <w:r>
                    <w:rPr>
                      <w:color w:val="000000"/>
                      <w:kern w:val="0"/>
                      <w:szCs w:val="21"/>
                      <w:u w:val="none"/>
                    </w:rPr>
                    <w:t>稳定</w:t>
                  </w:r>
                </w:p>
              </w:tc>
              <w:tc>
                <w:tcPr>
                  <w:tcW w:w="1042" w:type="pct"/>
                  <w:tcBorders>
                    <w:tl2br w:val="nil"/>
                    <w:tr2bl w:val="nil"/>
                  </w:tcBorders>
                  <w:noWrap w:val="0"/>
                  <w:vAlign w:val="center"/>
                </w:tcPr>
                <w:p w14:paraId="6EDCA08C">
                  <w:pPr>
                    <w:jc w:val="center"/>
                    <w:rPr>
                      <w:color w:val="000000"/>
                      <w:kern w:val="0"/>
                      <w:szCs w:val="21"/>
                      <w:u w:val="none"/>
                    </w:rPr>
                  </w:pPr>
                  <w:r>
                    <w:rPr>
                      <w:color w:val="000000"/>
                      <w:kern w:val="0"/>
                      <w:szCs w:val="21"/>
                      <w:u w:val="none"/>
                    </w:rPr>
                    <w:t>避免接触的</w:t>
                  </w:r>
                </w:p>
                <w:p w14:paraId="75003E9D">
                  <w:pPr>
                    <w:jc w:val="center"/>
                    <w:rPr>
                      <w:color w:val="000000"/>
                      <w:szCs w:val="21"/>
                      <w:u w:val="none"/>
                    </w:rPr>
                  </w:pPr>
                  <w:r>
                    <w:rPr>
                      <w:color w:val="000000"/>
                      <w:kern w:val="0"/>
                      <w:szCs w:val="21"/>
                      <w:u w:val="none"/>
                    </w:rPr>
                    <w:t>条件</w:t>
                  </w:r>
                </w:p>
              </w:tc>
              <w:tc>
                <w:tcPr>
                  <w:tcW w:w="1314" w:type="pct"/>
                  <w:tcBorders>
                    <w:tl2br w:val="nil"/>
                    <w:tr2bl w:val="nil"/>
                  </w:tcBorders>
                  <w:noWrap w:val="0"/>
                  <w:vAlign w:val="center"/>
                </w:tcPr>
                <w:p w14:paraId="3F7B697E">
                  <w:pPr>
                    <w:jc w:val="center"/>
                    <w:rPr>
                      <w:color w:val="000000"/>
                      <w:szCs w:val="21"/>
                      <w:u w:val="none"/>
                    </w:rPr>
                  </w:pPr>
                  <w:r>
                    <w:rPr>
                      <w:color w:val="000000"/>
                      <w:kern w:val="0"/>
                      <w:szCs w:val="21"/>
                      <w:u w:val="none"/>
                    </w:rPr>
                    <w:t>明火、高热</w:t>
                  </w:r>
                </w:p>
              </w:tc>
            </w:tr>
            <w:tr w14:paraId="2F4F0D94">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374" w:hRule="atLeast"/>
                <w:jc w:val="center"/>
              </w:trPr>
              <w:tc>
                <w:tcPr>
                  <w:tcW w:w="845" w:type="pct"/>
                  <w:tcBorders>
                    <w:tl2br w:val="nil"/>
                    <w:tr2bl w:val="nil"/>
                  </w:tcBorders>
                  <w:noWrap w:val="0"/>
                  <w:vAlign w:val="center"/>
                </w:tcPr>
                <w:p w14:paraId="4D25CCE0">
                  <w:pPr>
                    <w:widowControl/>
                    <w:jc w:val="center"/>
                    <w:rPr>
                      <w:color w:val="000000"/>
                      <w:kern w:val="0"/>
                      <w:szCs w:val="21"/>
                      <w:u w:val="none"/>
                    </w:rPr>
                  </w:pPr>
                  <w:r>
                    <w:rPr>
                      <w:color w:val="000000"/>
                      <w:kern w:val="0"/>
                      <w:szCs w:val="21"/>
                      <w:u w:val="none"/>
                    </w:rPr>
                    <w:t>禁配物</w:t>
                  </w:r>
                </w:p>
              </w:tc>
              <w:tc>
                <w:tcPr>
                  <w:tcW w:w="1796" w:type="pct"/>
                  <w:tcBorders>
                    <w:tl2br w:val="nil"/>
                    <w:tr2bl w:val="nil"/>
                  </w:tcBorders>
                  <w:noWrap w:val="0"/>
                  <w:vAlign w:val="center"/>
                </w:tcPr>
                <w:p w14:paraId="6651D7C4">
                  <w:pPr>
                    <w:widowControl/>
                    <w:jc w:val="center"/>
                    <w:rPr>
                      <w:color w:val="000000"/>
                      <w:kern w:val="0"/>
                      <w:szCs w:val="21"/>
                      <w:u w:val="none"/>
                    </w:rPr>
                  </w:pPr>
                  <w:r>
                    <w:rPr>
                      <w:color w:val="000000"/>
                      <w:kern w:val="0"/>
                      <w:szCs w:val="21"/>
                      <w:u w:val="none"/>
                    </w:rPr>
                    <w:t>强氧化剂、卤素</w:t>
                  </w:r>
                </w:p>
              </w:tc>
              <w:tc>
                <w:tcPr>
                  <w:tcW w:w="1042" w:type="pct"/>
                  <w:tcBorders>
                    <w:tl2br w:val="nil"/>
                    <w:tr2bl w:val="nil"/>
                  </w:tcBorders>
                  <w:noWrap w:val="0"/>
                  <w:vAlign w:val="center"/>
                </w:tcPr>
                <w:p w14:paraId="4BC59E3D">
                  <w:pPr>
                    <w:jc w:val="center"/>
                    <w:rPr>
                      <w:color w:val="000000"/>
                      <w:szCs w:val="21"/>
                      <w:u w:val="none"/>
                    </w:rPr>
                  </w:pPr>
                  <w:r>
                    <w:rPr>
                      <w:color w:val="000000"/>
                      <w:kern w:val="0"/>
                      <w:szCs w:val="21"/>
                      <w:u w:val="none"/>
                    </w:rPr>
                    <w:t>聚合危害</w:t>
                  </w:r>
                </w:p>
              </w:tc>
              <w:tc>
                <w:tcPr>
                  <w:tcW w:w="1314" w:type="pct"/>
                  <w:tcBorders>
                    <w:tl2br w:val="nil"/>
                    <w:tr2bl w:val="nil"/>
                  </w:tcBorders>
                  <w:noWrap w:val="0"/>
                  <w:vAlign w:val="center"/>
                </w:tcPr>
                <w:p w14:paraId="736699BF">
                  <w:pPr>
                    <w:jc w:val="center"/>
                    <w:rPr>
                      <w:color w:val="000000"/>
                      <w:szCs w:val="21"/>
                      <w:u w:val="none"/>
                    </w:rPr>
                  </w:pPr>
                  <w:r>
                    <w:rPr>
                      <w:color w:val="000000"/>
                      <w:kern w:val="0"/>
                      <w:szCs w:val="21"/>
                      <w:u w:val="none"/>
                    </w:rPr>
                    <w:t>不聚合</w:t>
                  </w:r>
                </w:p>
              </w:tc>
            </w:tr>
            <w:tr w14:paraId="6976D874">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322" w:hRule="atLeast"/>
                <w:jc w:val="center"/>
              </w:trPr>
              <w:tc>
                <w:tcPr>
                  <w:tcW w:w="5000" w:type="pct"/>
                  <w:gridSpan w:val="4"/>
                  <w:tcBorders>
                    <w:tl2br w:val="nil"/>
                    <w:tr2bl w:val="nil"/>
                  </w:tcBorders>
                  <w:noWrap w:val="0"/>
                  <w:vAlign w:val="center"/>
                </w:tcPr>
                <w:p w14:paraId="1F6CD515">
                  <w:pPr>
                    <w:jc w:val="center"/>
                    <w:rPr>
                      <w:color w:val="000000"/>
                      <w:szCs w:val="21"/>
                      <w:u w:val="none"/>
                    </w:rPr>
                  </w:pPr>
                  <w:r>
                    <w:rPr>
                      <w:color w:val="000000"/>
                      <w:szCs w:val="21"/>
                      <w:u w:val="none"/>
                    </w:rPr>
                    <w:t>毒理性资料</w:t>
                  </w:r>
                </w:p>
              </w:tc>
            </w:tr>
            <w:tr w14:paraId="7B608EDD">
              <w:tblPrEx>
                <w:tblBorders>
                  <w:top w:val="single" w:color="auto" w:sz="8" w:space="0"/>
                  <w:left w:val="single" w:color="auto" w:sz="8" w:space="0"/>
                  <w:bottom w:val="single" w:color="auto" w:sz="8" w:space="0"/>
                  <w:right w:val="single" w:color="auto" w:sz="8" w:space="0"/>
                  <w:insideH w:val="single" w:color="auto" w:sz="2" w:space="0"/>
                  <w:insideV w:val="single" w:color="auto" w:sz="4" w:space="0"/>
                </w:tblBorders>
                <w:tblCellMar>
                  <w:top w:w="28" w:type="dxa"/>
                  <w:left w:w="108" w:type="dxa"/>
                  <w:bottom w:w="28" w:type="dxa"/>
                  <w:right w:w="108" w:type="dxa"/>
                </w:tblCellMar>
              </w:tblPrEx>
              <w:trPr>
                <w:trHeight w:val="438" w:hRule="atLeast"/>
                <w:jc w:val="center"/>
              </w:trPr>
              <w:tc>
                <w:tcPr>
                  <w:tcW w:w="845" w:type="pct"/>
                  <w:tcBorders>
                    <w:tl2br w:val="nil"/>
                    <w:tr2bl w:val="nil"/>
                  </w:tcBorders>
                  <w:noWrap w:val="0"/>
                  <w:vAlign w:val="center"/>
                </w:tcPr>
                <w:p w14:paraId="19566DED">
                  <w:pPr>
                    <w:widowControl/>
                    <w:jc w:val="center"/>
                    <w:rPr>
                      <w:color w:val="000000"/>
                      <w:kern w:val="0"/>
                      <w:szCs w:val="21"/>
                      <w:u w:val="none"/>
                    </w:rPr>
                  </w:pPr>
                  <w:r>
                    <w:rPr>
                      <w:color w:val="000000"/>
                      <w:kern w:val="0"/>
                      <w:szCs w:val="21"/>
                      <w:u w:val="none"/>
                    </w:rPr>
                    <w:t>毒性</w:t>
                  </w:r>
                </w:p>
              </w:tc>
              <w:tc>
                <w:tcPr>
                  <w:tcW w:w="4154" w:type="pct"/>
                  <w:gridSpan w:val="3"/>
                  <w:tcBorders>
                    <w:tl2br w:val="nil"/>
                    <w:tr2bl w:val="nil"/>
                  </w:tcBorders>
                  <w:noWrap w:val="0"/>
                  <w:vAlign w:val="center"/>
                </w:tcPr>
                <w:p w14:paraId="2CA689BA">
                  <w:pPr>
                    <w:autoSpaceDE w:val="0"/>
                    <w:autoSpaceDN w:val="0"/>
                    <w:adjustRightInd w:val="0"/>
                    <w:jc w:val="left"/>
                    <w:rPr>
                      <w:color w:val="000000"/>
                      <w:kern w:val="0"/>
                      <w:szCs w:val="21"/>
                      <w:u w:val="none"/>
                    </w:rPr>
                  </w:pPr>
                  <w:r>
                    <w:rPr>
                      <w:color w:val="000000"/>
                      <w:kern w:val="0"/>
                      <w:szCs w:val="21"/>
                      <w:u w:val="none"/>
                    </w:rPr>
                    <w:t>属低毒类。具有轻微刺激</w:t>
                  </w:r>
                </w:p>
              </w:tc>
            </w:tr>
          </w:tbl>
          <w:p w14:paraId="05EAAC1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（2）</w:t>
            </w:r>
            <w:r>
              <w:rPr>
                <w:rFonts w:hint="eastAsia"/>
                <w:color w:val="000000"/>
                <w:sz w:val="24"/>
                <w:u w:val="none"/>
              </w:rPr>
              <w:t>危险物质数量</w:t>
            </w:r>
            <w:r>
              <w:rPr>
                <w:color w:val="000000"/>
                <w:sz w:val="24"/>
                <w:u w:val="none"/>
              </w:rPr>
              <w:t>与临界量比值（</w:t>
            </w:r>
            <w:r>
              <w:rPr>
                <w:rFonts w:hint="eastAsia"/>
                <w:color w:val="000000"/>
                <w:sz w:val="24"/>
                <w:u w:val="none"/>
              </w:rPr>
              <w:t>Q</w:t>
            </w:r>
            <w:r>
              <w:rPr>
                <w:color w:val="000000"/>
                <w:sz w:val="24"/>
                <w:u w:val="none"/>
              </w:rPr>
              <w:t>）</w:t>
            </w:r>
          </w:p>
          <w:p w14:paraId="51ED3E2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根据《建设项目环境风险评价技术导则》（HJ169-2018）中规定，计算所涉及的每种危险物质在厂界内的最大存在总量与其在附录B 中对应临界量的比值Q。在不同厂区的同一种物质，按其在厂界内的最大存在总量计算。</w:t>
            </w:r>
          </w:p>
          <w:p w14:paraId="7EFF199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当只涉及一种危险物质时，计算该物质的总量与其临界量比值，即为Q；</w:t>
            </w:r>
          </w:p>
          <w:p w14:paraId="694CC5D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当存在多种危险物质时，则按下式计算物质总量与其临界量比值（Q）：</w:t>
            </w:r>
          </w:p>
          <w:p w14:paraId="06A26AD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Q=q</w:t>
            </w:r>
            <w:r>
              <w:rPr>
                <w:color w:val="000000"/>
                <w:sz w:val="24"/>
                <w:u w:val="none"/>
                <w:vertAlign w:val="subscript"/>
              </w:rPr>
              <w:t>1</w:t>
            </w:r>
            <w:r>
              <w:rPr>
                <w:color w:val="000000"/>
                <w:sz w:val="24"/>
                <w:u w:val="none"/>
              </w:rPr>
              <w:t>/Q</w:t>
            </w:r>
            <w:r>
              <w:rPr>
                <w:color w:val="000000"/>
                <w:sz w:val="24"/>
                <w:u w:val="none"/>
                <w:vertAlign w:val="subscript"/>
              </w:rPr>
              <w:t>1</w:t>
            </w:r>
            <w:r>
              <w:rPr>
                <w:color w:val="000000"/>
                <w:sz w:val="24"/>
                <w:u w:val="none"/>
              </w:rPr>
              <w:t xml:space="preserve"> + q</w:t>
            </w:r>
            <w:r>
              <w:rPr>
                <w:color w:val="000000"/>
                <w:sz w:val="24"/>
                <w:u w:val="none"/>
                <w:vertAlign w:val="subscript"/>
              </w:rPr>
              <w:t>2</w:t>
            </w:r>
            <w:r>
              <w:rPr>
                <w:color w:val="000000"/>
                <w:sz w:val="24"/>
                <w:u w:val="none"/>
              </w:rPr>
              <w:t>/Q</w:t>
            </w:r>
            <w:r>
              <w:rPr>
                <w:color w:val="000000"/>
                <w:sz w:val="24"/>
                <w:u w:val="none"/>
                <w:vertAlign w:val="subscript"/>
              </w:rPr>
              <w:t>2</w:t>
            </w:r>
            <w:r>
              <w:rPr>
                <w:color w:val="000000"/>
                <w:sz w:val="24"/>
                <w:u w:val="none"/>
              </w:rPr>
              <w:t xml:space="preserve"> + q</w:t>
            </w:r>
            <w:r>
              <w:rPr>
                <w:color w:val="000000"/>
                <w:sz w:val="24"/>
                <w:u w:val="none"/>
                <w:vertAlign w:val="subscript"/>
              </w:rPr>
              <w:t>3</w:t>
            </w:r>
            <w:r>
              <w:rPr>
                <w:color w:val="000000"/>
                <w:sz w:val="24"/>
                <w:u w:val="none"/>
              </w:rPr>
              <w:t>/Q</w:t>
            </w:r>
            <w:r>
              <w:rPr>
                <w:color w:val="000000"/>
                <w:sz w:val="24"/>
                <w:u w:val="none"/>
                <w:vertAlign w:val="subscript"/>
              </w:rPr>
              <w:t>3</w:t>
            </w:r>
            <w:r>
              <w:rPr>
                <w:color w:val="000000"/>
                <w:sz w:val="24"/>
                <w:u w:val="none"/>
              </w:rPr>
              <w:t>+…… + qn/Qn</w:t>
            </w:r>
          </w:p>
          <w:p w14:paraId="3F289A4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若计算结果大于或等于1，则定为重大危险源。</w:t>
            </w:r>
          </w:p>
          <w:p w14:paraId="73148A6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式中：q</w:t>
            </w:r>
            <w:r>
              <w:rPr>
                <w:color w:val="000000"/>
                <w:sz w:val="24"/>
                <w:u w:val="none"/>
                <w:vertAlign w:val="subscript"/>
              </w:rPr>
              <w:t>1</w:t>
            </w:r>
            <w:r>
              <w:rPr>
                <w:color w:val="000000"/>
                <w:sz w:val="24"/>
                <w:u w:val="none"/>
              </w:rPr>
              <w:t>，q</w:t>
            </w:r>
            <w:r>
              <w:rPr>
                <w:color w:val="000000"/>
                <w:sz w:val="24"/>
                <w:u w:val="none"/>
                <w:vertAlign w:val="subscript"/>
              </w:rPr>
              <w:t>2</w:t>
            </w:r>
            <w:r>
              <w:rPr>
                <w:color w:val="000000"/>
                <w:sz w:val="24"/>
                <w:u w:val="none"/>
              </w:rPr>
              <w:t>，……qn－每种危险物质实际存在量（吨）；</w:t>
            </w:r>
          </w:p>
          <w:p w14:paraId="5F42E9B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Q</w:t>
            </w:r>
            <w:r>
              <w:rPr>
                <w:color w:val="000000"/>
                <w:sz w:val="24"/>
                <w:u w:val="none"/>
                <w:vertAlign w:val="subscript"/>
              </w:rPr>
              <w:t>1</w:t>
            </w:r>
            <w:r>
              <w:rPr>
                <w:color w:val="000000"/>
                <w:sz w:val="24"/>
                <w:u w:val="none"/>
              </w:rPr>
              <w:t>，Q</w:t>
            </w:r>
            <w:r>
              <w:rPr>
                <w:color w:val="000000"/>
                <w:sz w:val="24"/>
                <w:u w:val="none"/>
                <w:vertAlign w:val="subscript"/>
              </w:rPr>
              <w:t>2</w:t>
            </w:r>
            <w:r>
              <w:rPr>
                <w:color w:val="000000"/>
                <w:sz w:val="24"/>
                <w:u w:val="none"/>
              </w:rPr>
              <w:t>，……Qn－与各危险物质相对应的临界量（吨）。</w:t>
            </w:r>
          </w:p>
          <w:p w14:paraId="192701A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当Q＜1 时，该项目环境风险潜势为</w:t>
            </w:r>
            <w:r>
              <w:rPr>
                <w:rFonts w:hint="eastAsia" w:ascii="宋体" w:hAnsi="宋体" w:cs="宋体"/>
                <w:color w:val="000000"/>
                <w:sz w:val="24"/>
                <w:u w:val="none"/>
              </w:rPr>
              <w:t>Ⅰ</w:t>
            </w:r>
            <w:r>
              <w:rPr>
                <w:color w:val="000000"/>
                <w:sz w:val="24"/>
                <w:u w:val="none"/>
              </w:rPr>
              <w:t>。</w:t>
            </w:r>
          </w:p>
          <w:p w14:paraId="2E71D82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当Q≥1 时，将Q值划分为：（1）1≤Q＜10；（2）10≤Q＜100；（3）Q≥100。</w:t>
            </w:r>
          </w:p>
          <w:p w14:paraId="072313B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000000"/>
                <w:sz w:val="24"/>
                <w:u w:val="none"/>
              </w:rPr>
            </w:pPr>
            <w:r>
              <w:rPr>
                <w:color w:val="000000"/>
                <w:sz w:val="24"/>
                <w:u w:val="none"/>
              </w:rPr>
              <w:t>对照《建设项目环境风险评价技术导则》（HJ169-2018）附录B里的临界量进行Q值计算。</w:t>
            </w:r>
          </w:p>
          <w:p w14:paraId="2D042D7A">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eastAsia="黑体"/>
                <w:color w:val="000000"/>
                <w:sz w:val="24"/>
                <w:u w:val="single"/>
              </w:rPr>
            </w:pPr>
            <w:r>
              <w:rPr>
                <w:rFonts w:eastAsia="黑体"/>
                <w:color w:val="000000"/>
                <w:sz w:val="24"/>
                <w:u w:val="none"/>
              </w:rPr>
              <w:t>表</w:t>
            </w:r>
            <w:r>
              <w:rPr>
                <w:rFonts w:hint="eastAsia" w:eastAsia="黑体"/>
                <w:color w:val="000000"/>
                <w:sz w:val="24"/>
                <w:u w:val="none"/>
              </w:rPr>
              <w:t>4-2</w:t>
            </w:r>
            <w:r>
              <w:rPr>
                <w:rFonts w:hint="eastAsia" w:eastAsia="黑体"/>
                <w:color w:val="000000"/>
                <w:sz w:val="24"/>
                <w:u w:val="none"/>
                <w:lang w:val="en-US" w:eastAsia="zh-CN"/>
              </w:rPr>
              <w:t>2</w:t>
            </w:r>
            <w:r>
              <w:rPr>
                <w:rFonts w:hint="eastAsia" w:eastAsia="黑体"/>
                <w:color w:val="000000"/>
                <w:sz w:val="24"/>
                <w:u w:val="none"/>
              </w:rPr>
              <w:t xml:space="preserve"> 建设项目</w:t>
            </w:r>
            <w:r>
              <w:rPr>
                <w:rFonts w:eastAsia="黑体"/>
                <w:color w:val="000000"/>
                <w:sz w:val="24"/>
                <w:u w:val="none"/>
              </w:rPr>
              <w:t>Q</w:t>
            </w:r>
            <w:r>
              <w:rPr>
                <w:rFonts w:hint="eastAsia" w:eastAsia="黑体"/>
                <w:color w:val="000000"/>
                <w:sz w:val="24"/>
                <w:u w:val="none"/>
              </w:rPr>
              <w:t>值确定表</w:t>
            </w:r>
          </w:p>
          <w:tbl>
            <w:tblPr>
              <w:tblStyle w:val="23"/>
              <w:tblW w:w="797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15"/>
              <w:gridCol w:w="1300"/>
              <w:gridCol w:w="993"/>
              <w:gridCol w:w="1436"/>
              <w:gridCol w:w="1564"/>
              <w:gridCol w:w="1769"/>
            </w:tblGrid>
            <w:tr w14:paraId="123D78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6" w:hRule="atLeast"/>
                <w:jc w:val="center"/>
              </w:trPr>
              <w:tc>
                <w:tcPr>
                  <w:tcW w:w="915" w:type="dxa"/>
                  <w:tcBorders>
                    <w:tl2br w:val="nil"/>
                    <w:tr2bl w:val="nil"/>
                  </w:tcBorders>
                  <w:noWrap w:val="0"/>
                  <w:vAlign w:val="center"/>
                </w:tcPr>
                <w:p w14:paraId="46B09349">
                  <w:pPr>
                    <w:jc w:val="center"/>
                    <w:rPr>
                      <w:color w:val="000000"/>
                      <w:szCs w:val="21"/>
                      <w:u w:val="none"/>
                    </w:rPr>
                  </w:pPr>
                  <w:r>
                    <w:rPr>
                      <w:color w:val="000000"/>
                      <w:szCs w:val="21"/>
                      <w:u w:val="none"/>
                    </w:rPr>
                    <w:t>序号</w:t>
                  </w:r>
                </w:p>
              </w:tc>
              <w:tc>
                <w:tcPr>
                  <w:tcW w:w="1300" w:type="dxa"/>
                  <w:tcBorders>
                    <w:tl2br w:val="nil"/>
                    <w:tr2bl w:val="nil"/>
                  </w:tcBorders>
                  <w:noWrap w:val="0"/>
                  <w:vAlign w:val="center"/>
                </w:tcPr>
                <w:p w14:paraId="3BB207A3">
                  <w:pPr>
                    <w:jc w:val="center"/>
                    <w:rPr>
                      <w:color w:val="000000"/>
                      <w:szCs w:val="21"/>
                      <w:u w:val="none"/>
                    </w:rPr>
                  </w:pPr>
                  <w:r>
                    <w:rPr>
                      <w:color w:val="000000"/>
                      <w:szCs w:val="21"/>
                      <w:u w:val="none"/>
                    </w:rPr>
                    <w:t>危险物质</w:t>
                  </w:r>
                </w:p>
                <w:p w14:paraId="3A590568">
                  <w:pPr>
                    <w:jc w:val="center"/>
                    <w:rPr>
                      <w:color w:val="000000"/>
                      <w:szCs w:val="21"/>
                      <w:u w:val="none"/>
                    </w:rPr>
                  </w:pPr>
                  <w:r>
                    <w:rPr>
                      <w:color w:val="000000"/>
                      <w:szCs w:val="21"/>
                      <w:u w:val="none"/>
                    </w:rPr>
                    <w:t>名称</w:t>
                  </w:r>
                </w:p>
              </w:tc>
              <w:tc>
                <w:tcPr>
                  <w:tcW w:w="993" w:type="dxa"/>
                  <w:tcBorders>
                    <w:tl2br w:val="nil"/>
                    <w:tr2bl w:val="nil"/>
                  </w:tcBorders>
                  <w:noWrap w:val="0"/>
                  <w:vAlign w:val="center"/>
                </w:tcPr>
                <w:p w14:paraId="49338017">
                  <w:pPr>
                    <w:jc w:val="center"/>
                    <w:rPr>
                      <w:color w:val="000000"/>
                      <w:szCs w:val="21"/>
                      <w:u w:val="none"/>
                    </w:rPr>
                  </w:pPr>
                  <w:r>
                    <w:rPr>
                      <w:color w:val="000000"/>
                      <w:szCs w:val="21"/>
                      <w:u w:val="none"/>
                    </w:rPr>
                    <w:t>CAS号</w:t>
                  </w:r>
                </w:p>
              </w:tc>
              <w:tc>
                <w:tcPr>
                  <w:tcW w:w="1436" w:type="dxa"/>
                  <w:tcBorders>
                    <w:tl2br w:val="nil"/>
                    <w:tr2bl w:val="nil"/>
                  </w:tcBorders>
                  <w:noWrap w:val="0"/>
                  <w:vAlign w:val="center"/>
                </w:tcPr>
                <w:p w14:paraId="380CE2C6">
                  <w:pPr>
                    <w:jc w:val="center"/>
                    <w:rPr>
                      <w:color w:val="000000"/>
                      <w:szCs w:val="21"/>
                      <w:u w:val="none"/>
                    </w:rPr>
                  </w:pPr>
                  <w:r>
                    <w:rPr>
                      <w:color w:val="000000"/>
                      <w:szCs w:val="21"/>
                      <w:u w:val="none"/>
                    </w:rPr>
                    <w:t>最大储存</w:t>
                  </w:r>
                </w:p>
                <w:p w14:paraId="5CD78094">
                  <w:pPr>
                    <w:jc w:val="center"/>
                    <w:rPr>
                      <w:color w:val="000000"/>
                      <w:szCs w:val="21"/>
                      <w:u w:val="none"/>
                    </w:rPr>
                  </w:pPr>
                  <w:r>
                    <w:rPr>
                      <w:color w:val="000000"/>
                      <w:szCs w:val="21"/>
                      <w:u w:val="none"/>
                    </w:rPr>
                    <w:t>量qn/t</w:t>
                  </w:r>
                </w:p>
              </w:tc>
              <w:tc>
                <w:tcPr>
                  <w:tcW w:w="1564" w:type="dxa"/>
                  <w:tcBorders>
                    <w:tl2br w:val="nil"/>
                    <w:tr2bl w:val="nil"/>
                  </w:tcBorders>
                  <w:noWrap w:val="0"/>
                  <w:vAlign w:val="center"/>
                </w:tcPr>
                <w:p w14:paraId="4E452596">
                  <w:pPr>
                    <w:jc w:val="center"/>
                    <w:rPr>
                      <w:color w:val="000000"/>
                      <w:szCs w:val="21"/>
                      <w:u w:val="none"/>
                    </w:rPr>
                  </w:pPr>
                  <w:r>
                    <w:rPr>
                      <w:color w:val="000000"/>
                      <w:szCs w:val="21"/>
                      <w:u w:val="none"/>
                    </w:rPr>
                    <w:t>临界量Qn/t</w:t>
                  </w:r>
                </w:p>
              </w:tc>
              <w:tc>
                <w:tcPr>
                  <w:tcW w:w="1769" w:type="dxa"/>
                  <w:tcBorders>
                    <w:tl2br w:val="nil"/>
                    <w:tr2bl w:val="nil"/>
                  </w:tcBorders>
                  <w:noWrap w:val="0"/>
                  <w:vAlign w:val="center"/>
                </w:tcPr>
                <w:p w14:paraId="39A528BA">
                  <w:pPr>
                    <w:jc w:val="center"/>
                    <w:rPr>
                      <w:color w:val="000000"/>
                      <w:szCs w:val="21"/>
                      <w:u w:val="none"/>
                    </w:rPr>
                  </w:pPr>
                  <w:r>
                    <w:rPr>
                      <w:color w:val="000000"/>
                      <w:szCs w:val="21"/>
                      <w:u w:val="none"/>
                    </w:rPr>
                    <w:t>该种危险</w:t>
                  </w:r>
                </w:p>
                <w:p w14:paraId="62A501C8">
                  <w:pPr>
                    <w:jc w:val="center"/>
                    <w:rPr>
                      <w:color w:val="000000"/>
                      <w:szCs w:val="21"/>
                      <w:u w:val="none"/>
                    </w:rPr>
                  </w:pPr>
                  <w:r>
                    <w:rPr>
                      <w:color w:val="000000"/>
                      <w:szCs w:val="21"/>
                      <w:u w:val="none"/>
                    </w:rPr>
                    <w:t>物质Q值</w:t>
                  </w:r>
                </w:p>
              </w:tc>
            </w:tr>
            <w:tr w14:paraId="1DA75F1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39D67D3C">
                  <w:pPr>
                    <w:jc w:val="center"/>
                    <w:rPr>
                      <w:color w:val="000000"/>
                      <w:szCs w:val="21"/>
                      <w:u w:val="none"/>
                    </w:rPr>
                  </w:pPr>
                  <w:r>
                    <w:rPr>
                      <w:color w:val="000000"/>
                      <w:szCs w:val="21"/>
                      <w:u w:val="none"/>
                    </w:rPr>
                    <w:t>1</w:t>
                  </w:r>
                </w:p>
              </w:tc>
              <w:tc>
                <w:tcPr>
                  <w:tcW w:w="1300" w:type="dxa"/>
                  <w:tcBorders>
                    <w:tl2br w:val="nil"/>
                    <w:tr2bl w:val="nil"/>
                  </w:tcBorders>
                  <w:noWrap w:val="0"/>
                  <w:vAlign w:val="center"/>
                </w:tcPr>
                <w:p w14:paraId="7ED40E8D">
                  <w:pPr>
                    <w:jc w:val="center"/>
                    <w:rPr>
                      <w:rFonts w:hint="eastAsia" w:eastAsia="宋体"/>
                      <w:color w:val="000000"/>
                      <w:szCs w:val="21"/>
                      <w:u w:val="none"/>
                      <w:lang w:val="en-US" w:eastAsia="zh-CN"/>
                    </w:rPr>
                  </w:pPr>
                  <w:r>
                    <w:rPr>
                      <w:rFonts w:hint="eastAsia"/>
                      <w:color w:val="000000"/>
                      <w:szCs w:val="21"/>
                      <w:u w:val="none"/>
                      <w:lang w:val="en-US" w:eastAsia="zh-CN"/>
                    </w:rPr>
                    <w:t>润滑油</w:t>
                  </w:r>
                </w:p>
              </w:tc>
              <w:tc>
                <w:tcPr>
                  <w:tcW w:w="993" w:type="dxa"/>
                  <w:tcBorders>
                    <w:tl2br w:val="nil"/>
                    <w:tr2bl w:val="nil"/>
                  </w:tcBorders>
                  <w:noWrap w:val="0"/>
                  <w:vAlign w:val="center"/>
                </w:tcPr>
                <w:p w14:paraId="6DE7F320">
                  <w:pPr>
                    <w:jc w:val="center"/>
                    <w:rPr>
                      <w:color w:val="000000"/>
                      <w:szCs w:val="21"/>
                      <w:u w:val="none"/>
                    </w:rPr>
                  </w:pPr>
                  <w:r>
                    <w:rPr>
                      <w:rFonts w:hint="eastAsia"/>
                      <w:color w:val="000000"/>
                      <w:szCs w:val="21"/>
                      <w:u w:val="none"/>
                    </w:rPr>
                    <w:t>/</w:t>
                  </w:r>
                </w:p>
              </w:tc>
              <w:tc>
                <w:tcPr>
                  <w:tcW w:w="1436" w:type="dxa"/>
                  <w:tcBorders>
                    <w:tl2br w:val="nil"/>
                    <w:tr2bl w:val="nil"/>
                  </w:tcBorders>
                  <w:noWrap w:val="0"/>
                  <w:vAlign w:val="center"/>
                </w:tcPr>
                <w:p w14:paraId="7E026B20">
                  <w:pPr>
                    <w:jc w:val="center"/>
                    <w:rPr>
                      <w:rFonts w:hint="default" w:eastAsia="宋体"/>
                      <w:color w:val="000000"/>
                      <w:szCs w:val="21"/>
                      <w:u w:val="none"/>
                      <w:lang w:val="en-US" w:eastAsia="zh-CN"/>
                    </w:rPr>
                  </w:pPr>
                  <w:r>
                    <w:rPr>
                      <w:rFonts w:hint="eastAsia"/>
                      <w:color w:val="000000"/>
                      <w:szCs w:val="21"/>
                      <w:u w:val="none"/>
                      <w:lang w:val="en-US" w:eastAsia="zh-CN"/>
                    </w:rPr>
                    <w:t>0.1</w:t>
                  </w:r>
                </w:p>
              </w:tc>
              <w:tc>
                <w:tcPr>
                  <w:tcW w:w="1564" w:type="dxa"/>
                  <w:tcBorders>
                    <w:tl2br w:val="nil"/>
                    <w:tr2bl w:val="nil"/>
                  </w:tcBorders>
                  <w:noWrap w:val="0"/>
                  <w:vAlign w:val="center"/>
                </w:tcPr>
                <w:p w14:paraId="2FE8EBA1">
                  <w:pPr>
                    <w:jc w:val="center"/>
                    <w:rPr>
                      <w:color w:val="000000"/>
                      <w:szCs w:val="21"/>
                      <w:u w:val="none"/>
                    </w:rPr>
                  </w:pPr>
                  <w:r>
                    <w:rPr>
                      <w:rFonts w:hint="eastAsia"/>
                      <w:color w:val="000000"/>
                      <w:szCs w:val="21"/>
                      <w:u w:val="none"/>
                    </w:rPr>
                    <w:t>2500</w:t>
                  </w:r>
                </w:p>
              </w:tc>
              <w:tc>
                <w:tcPr>
                  <w:tcW w:w="1769" w:type="dxa"/>
                  <w:tcBorders>
                    <w:tl2br w:val="nil"/>
                    <w:tr2bl w:val="nil"/>
                  </w:tcBorders>
                  <w:noWrap w:val="0"/>
                  <w:vAlign w:val="center"/>
                </w:tcPr>
                <w:p w14:paraId="6BF3E994">
                  <w:pPr>
                    <w:jc w:val="center"/>
                    <w:rPr>
                      <w:rFonts w:hint="default" w:eastAsia="宋体"/>
                      <w:color w:val="000000"/>
                      <w:szCs w:val="21"/>
                      <w:u w:val="none"/>
                      <w:lang w:val="en-US" w:eastAsia="zh-CN"/>
                    </w:rPr>
                  </w:pPr>
                  <w:r>
                    <w:rPr>
                      <w:rFonts w:hint="eastAsia"/>
                      <w:color w:val="000000"/>
                      <w:szCs w:val="21"/>
                      <w:u w:val="none"/>
                      <w:lang w:val="en-US" w:eastAsia="zh-CN"/>
                    </w:rPr>
                    <w:t>0.00016</w:t>
                  </w:r>
                </w:p>
              </w:tc>
            </w:tr>
            <w:tr w14:paraId="4C428F1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2B679F66">
                  <w:pPr>
                    <w:jc w:val="center"/>
                    <w:rPr>
                      <w:rFonts w:hint="eastAsia" w:eastAsia="宋体"/>
                      <w:color w:val="000000"/>
                      <w:szCs w:val="21"/>
                      <w:u w:val="none"/>
                      <w:lang w:val="en-US" w:eastAsia="zh-CN"/>
                    </w:rPr>
                  </w:pPr>
                  <w:r>
                    <w:rPr>
                      <w:rFonts w:hint="eastAsia"/>
                      <w:color w:val="000000"/>
                      <w:szCs w:val="21"/>
                      <w:u w:val="none"/>
                      <w:lang w:val="en-US" w:eastAsia="zh-CN"/>
                    </w:rPr>
                    <w:t>2</w:t>
                  </w:r>
                </w:p>
              </w:tc>
              <w:tc>
                <w:tcPr>
                  <w:tcW w:w="1300" w:type="dxa"/>
                  <w:tcBorders>
                    <w:tl2br w:val="nil"/>
                    <w:tr2bl w:val="nil"/>
                  </w:tcBorders>
                  <w:noWrap w:val="0"/>
                  <w:vAlign w:val="center"/>
                </w:tcPr>
                <w:p w14:paraId="0553750E">
                  <w:pPr>
                    <w:jc w:val="center"/>
                    <w:rPr>
                      <w:rFonts w:hint="default"/>
                      <w:color w:val="000000"/>
                      <w:szCs w:val="21"/>
                      <w:u w:val="none"/>
                      <w:lang w:val="en-US" w:eastAsia="zh-CN"/>
                    </w:rPr>
                  </w:pPr>
                  <w:r>
                    <w:rPr>
                      <w:rFonts w:hint="eastAsia"/>
                      <w:color w:val="000000"/>
                      <w:szCs w:val="21"/>
                      <w:u w:val="none"/>
                      <w:lang w:val="en-US" w:eastAsia="zh-CN"/>
                    </w:rPr>
                    <w:t>废润滑油</w:t>
                  </w:r>
                </w:p>
              </w:tc>
              <w:tc>
                <w:tcPr>
                  <w:tcW w:w="993" w:type="dxa"/>
                  <w:tcBorders>
                    <w:tl2br w:val="nil"/>
                    <w:tr2bl w:val="nil"/>
                  </w:tcBorders>
                  <w:noWrap w:val="0"/>
                  <w:vAlign w:val="center"/>
                </w:tcPr>
                <w:p w14:paraId="657ACC67">
                  <w:pPr>
                    <w:jc w:val="center"/>
                    <w:rPr>
                      <w:rFonts w:hint="default" w:eastAsia="宋体"/>
                      <w:color w:val="000000"/>
                      <w:szCs w:val="21"/>
                      <w:u w:val="none"/>
                      <w:lang w:val="en-US" w:eastAsia="zh-CN"/>
                    </w:rPr>
                  </w:pPr>
                  <w:r>
                    <w:rPr>
                      <w:rFonts w:hint="eastAsia"/>
                      <w:color w:val="000000"/>
                      <w:szCs w:val="21"/>
                      <w:u w:val="none"/>
                      <w:lang w:val="en-US" w:eastAsia="zh-CN"/>
                    </w:rPr>
                    <w:t>/</w:t>
                  </w:r>
                </w:p>
              </w:tc>
              <w:tc>
                <w:tcPr>
                  <w:tcW w:w="1436" w:type="dxa"/>
                  <w:tcBorders>
                    <w:tl2br w:val="nil"/>
                    <w:tr2bl w:val="nil"/>
                  </w:tcBorders>
                  <w:noWrap w:val="0"/>
                  <w:vAlign w:val="center"/>
                </w:tcPr>
                <w:p w14:paraId="78088BF8">
                  <w:pPr>
                    <w:jc w:val="center"/>
                    <w:rPr>
                      <w:rFonts w:hint="default"/>
                      <w:color w:val="000000"/>
                      <w:szCs w:val="21"/>
                      <w:highlight w:val="none"/>
                      <w:u w:val="none"/>
                      <w:lang w:val="en-US" w:eastAsia="zh-CN"/>
                    </w:rPr>
                  </w:pPr>
                  <w:r>
                    <w:rPr>
                      <w:rFonts w:hint="eastAsia"/>
                      <w:color w:val="000000"/>
                      <w:szCs w:val="21"/>
                      <w:highlight w:val="none"/>
                      <w:u w:val="none"/>
                      <w:lang w:val="en-US" w:eastAsia="zh-CN"/>
                    </w:rPr>
                    <w:t>0.02</w:t>
                  </w:r>
                </w:p>
              </w:tc>
              <w:tc>
                <w:tcPr>
                  <w:tcW w:w="1564" w:type="dxa"/>
                  <w:tcBorders>
                    <w:tl2br w:val="nil"/>
                    <w:tr2bl w:val="nil"/>
                  </w:tcBorders>
                  <w:noWrap w:val="0"/>
                  <w:vAlign w:val="center"/>
                </w:tcPr>
                <w:p w14:paraId="5AB8E73E">
                  <w:pPr>
                    <w:jc w:val="center"/>
                    <w:rPr>
                      <w:rFonts w:hint="default" w:eastAsia="宋体"/>
                      <w:color w:val="000000"/>
                      <w:szCs w:val="21"/>
                      <w:u w:val="none"/>
                      <w:lang w:val="en-US" w:eastAsia="zh-CN"/>
                    </w:rPr>
                  </w:pPr>
                  <w:r>
                    <w:rPr>
                      <w:rFonts w:hint="eastAsia"/>
                      <w:color w:val="000000"/>
                      <w:szCs w:val="21"/>
                      <w:u w:val="none"/>
                      <w:lang w:val="en-US" w:eastAsia="zh-CN"/>
                    </w:rPr>
                    <w:t>2500</w:t>
                  </w:r>
                </w:p>
              </w:tc>
              <w:tc>
                <w:tcPr>
                  <w:tcW w:w="1769" w:type="dxa"/>
                  <w:tcBorders>
                    <w:tl2br w:val="nil"/>
                    <w:tr2bl w:val="nil"/>
                  </w:tcBorders>
                  <w:noWrap w:val="0"/>
                  <w:vAlign w:val="center"/>
                </w:tcPr>
                <w:p w14:paraId="750862A7">
                  <w:pPr>
                    <w:jc w:val="center"/>
                    <w:rPr>
                      <w:rFonts w:hint="default"/>
                      <w:color w:val="000000"/>
                      <w:szCs w:val="21"/>
                      <w:u w:val="none"/>
                      <w:lang w:val="en-US" w:eastAsia="zh-CN"/>
                    </w:rPr>
                  </w:pPr>
                  <w:r>
                    <w:rPr>
                      <w:rFonts w:hint="eastAsia"/>
                      <w:color w:val="000000"/>
                      <w:szCs w:val="21"/>
                      <w:u w:val="none"/>
                      <w:lang w:val="en-US" w:eastAsia="zh-CN"/>
                    </w:rPr>
                    <w:t>0.000008</w:t>
                  </w:r>
                </w:p>
              </w:tc>
            </w:tr>
            <w:tr w14:paraId="0251C3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3" w:hRule="atLeast"/>
                <w:jc w:val="center"/>
              </w:trPr>
              <w:tc>
                <w:tcPr>
                  <w:tcW w:w="6208" w:type="dxa"/>
                  <w:gridSpan w:val="5"/>
                  <w:tcBorders>
                    <w:tl2br w:val="nil"/>
                    <w:tr2bl w:val="nil"/>
                  </w:tcBorders>
                  <w:noWrap w:val="0"/>
                  <w:vAlign w:val="center"/>
                </w:tcPr>
                <w:p w14:paraId="659DD373">
                  <w:pPr>
                    <w:jc w:val="center"/>
                    <w:rPr>
                      <w:color w:val="000000"/>
                      <w:szCs w:val="21"/>
                      <w:u w:val="none"/>
                    </w:rPr>
                  </w:pPr>
                  <w:r>
                    <w:rPr>
                      <w:color w:val="000000"/>
                      <w:szCs w:val="21"/>
                      <w:u w:val="none"/>
                    </w:rPr>
                    <w:t>项目Q值Σ</w:t>
                  </w:r>
                </w:p>
              </w:tc>
              <w:tc>
                <w:tcPr>
                  <w:tcW w:w="1769" w:type="dxa"/>
                  <w:tcBorders>
                    <w:tl2br w:val="nil"/>
                    <w:tr2bl w:val="nil"/>
                  </w:tcBorders>
                  <w:noWrap w:val="0"/>
                  <w:vAlign w:val="center"/>
                </w:tcPr>
                <w:p w14:paraId="20260643">
                  <w:pPr>
                    <w:jc w:val="center"/>
                    <w:rPr>
                      <w:rFonts w:hint="default" w:eastAsia="宋体"/>
                      <w:color w:val="000000"/>
                      <w:szCs w:val="21"/>
                      <w:u w:val="none"/>
                      <w:lang w:val="en-US" w:eastAsia="zh-CN"/>
                    </w:rPr>
                  </w:pPr>
                  <w:r>
                    <w:rPr>
                      <w:rFonts w:hint="eastAsia"/>
                      <w:color w:val="000000"/>
                      <w:szCs w:val="21"/>
                      <w:u w:val="none"/>
                      <w:lang w:val="en-US" w:eastAsia="zh-CN"/>
                    </w:rPr>
                    <w:t>0.000168</w:t>
                  </w:r>
                </w:p>
              </w:tc>
            </w:tr>
          </w:tbl>
          <w:p w14:paraId="21F4A4B5">
            <w:pPr>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eastAsia"/>
                <w:color w:val="000000"/>
                <w:sz w:val="24"/>
                <w:u w:val="none"/>
              </w:rPr>
            </w:pPr>
            <w:r>
              <w:rPr>
                <w:rFonts w:hint="eastAsia"/>
                <w:color w:val="000000"/>
                <w:sz w:val="24"/>
                <w:u w:val="none"/>
              </w:rPr>
              <w:t>项目危险物质厂区储存及存在量小于临界量</w:t>
            </w:r>
            <w:r>
              <w:rPr>
                <w:color w:val="000000"/>
                <w:sz w:val="24"/>
                <w:u w:val="none"/>
              </w:rPr>
              <w:t>，</w:t>
            </w:r>
            <w:r>
              <w:rPr>
                <w:rFonts w:hint="eastAsia"/>
                <w:color w:val="000000"/>
                <w:sz w:val="24"/>
                <w:u w:val="none"/>
              </w:rPr>
              <w:t>危险物质</w:t>
            </w:r>
            <w:r>
              <w:rPr>
                <w:color w:val="000000"/>
                <w:sz w:val="24"/>
                <w:u w:val="none"/>
              </w:rPr>
              <w:t>Q</w:t>
            </w:r>
            <w:r>
              <w:rPr>
                <w:rFonts w:hint="eastAsia"/>
                <w:color w:val="000000"/>
                <w:sz w:val="24"/>
                <w:u w:val="none"/>
              </w:rPr>
              <w:t>=</w:t>
            </w:r>
            <w:r>
              <w:rPr>
                <w:rFonts w:hint="eastAsia"/>
                <w:color w:val="000000"/>
                <w:sz w:val="24"/>
                <w:u w:val="none"/>
                <w:lang w:val="en-US" w:eastAsia="zh-CN"/>
              </w:rPr>
              <w:t>0.000168</w:t>
            </w:r>
            <w:r>
              <w:rPr>
                <w:color w:val="000000"/>
                <w:sz w:val="24"/>
                <w:u w:val="none"/>
              </w:rPr>
              <w:t>＜1，</w:t>
            </w:r>
            <w:r>
              <w:rPr>
                <w:rFonts w:hint="eastAsia" w:ascii="Times New Roman" w:hAnsi="Times New Roman" w:eastAsia="宋体" w:cs="Times New Roman"/>
                <w:b w:val="0"/>
                <w:color w:val="auto"/>
                <w:kern w:val="2"/>
                <w:sz w:val="24"/>
                <w:szCs w:val="32"/>
                <w:u w:val="none"/>
                <w:lang w:val="en-US" w:eastAsia="zh-CN" w:bidi="ar-SA"/>
              </w:rPr>
              <w:t>环境风险潜势为Ⅰ级</w:t>
            </w:r>
            <w:r>
              <w:rPr>
                <w:rFonts w:hint="eastAsia" w:ascii="Times New Roman" w:hAnsi="Times New Roman" w:cs="Times New Roman"/>
                <w:b w:val="0"/>
                <w:color w:val="auto"/>
                <w:kern w:val="2"/>
                <w:sz w:val="24"/>
                <w:szCs w:val="32"/>
                <w:u w:val="none"/>
                <w:lang w:val="en-US" w:eastAsia="zh-CN" w:bidi="ar-SA"/>
              </w:rPr>
              <w:t>，</w:t>
            </w:r>
            <w:r>
              <w:rPr>
                <w:rFonts w:hint="default" w:ascii="Times New Roman" w:hAnsi="Times New Roman" w:eastAsia="宋体" w:cs="Times New Roman"/>
                <w:color w:val="auto"/>
                <w:kern w:val="2"/>
                <w:sz w:val="24"/>
                <w:szCs w:val="32"/>
                <w:u w:val="none"/>
                <w:lang w:val="en-US" w:eastAsia="zh-CN" w:bidi="ar-SA"/>
              </w:rPr>
              <w:t>进行简单分析</w:t>
            </w:r>
            <w:r>
              <w:rPr>
                <w:rFonts w:hint="eastAsia"/>
                <w:color w:val="000000"/>
                <w:sz w:val="24"/>
                <w:u w:val="none"/>
              </w:rPr>
              <w:t>。</w:t>
            </w:r>
          </w:p>
          <w:p w14:paraId="1E5FB1A5">
            <w:pPr>
              <w:keepNext w:val="0"/>
              <w:keepLines w:val="0"/>
              <w:pageBreakBefore w:val="0"/>
              <w:suppressLineNumbers w:val="0"/>
              <w:kinsoku/>
              <w:wordWrap w:val="0"/>
              <w:overflowPunct/>
              <w:topLinePunct/>
              <w:autoSpaceDE/>
              <w:autoSpaceDN/>
              <w:bidi w:val="0"/>
              <w:adjustRightInd/>
              <w:snapToGrid/>
              <w:spacing w:before="0" w:beforeAutospacing="0" w:after="0" w:afterAutospacing="0" w:line="500" w:lineRule="exact"/>
              <w:ind w:left="0" w:right="0" w:firstLine="480" w:firstLineChars="200"/>
              <w:textAlignment w:val="auto"/>
              <w:rPr>
                <w:rFonts w:hint="default" w:ascii="Times New Roman" w:hAnsi="Times New Roman" w:cs="Times New Roman"/>
                <w:color w:val="auto"/>
                <w:sz w:val="24"/>
              </w:rPr>
            </w:pPr>
            <w:r>
              <w:rPr>
                <w:rFonts w:hint="default" w:ascii="Times New Roman" w:hAnsi="宋体" w:cs="Times New Roman"/>
                <w:color w:val="auto"/>
                <w:sz w:val="24"/>
              </w:rPr>
              <w:t>（</w:t>
            </w:r>
            <w:r>
              <w:rPr>
                <w:rFonts w:hint="eastAsia" w:ascii="Times New Roman" w:hAnsi="宋体" w:cs="Times New Roman"/>
                <w:color w:val="auto"/>
                <w:sz w:val="24"/>
                <w:lang w:val="en-US" w:eastAsia="zh-CN"/>
              </w:rPr>
              <w:t>3</w:t>
            </w:r>
            <w:r>
              <w:rPr>
                <w:rFonts w:hint="default" w:ascii="Times New Roman" w:hAnsi="宋体" w:cs="Times New Roman"/>
                <w:color w:val="auto"/>
                <w:sz w:val="24"/>
              </w:rPr>
              <w:t>）评价工作等级划分</w:t>
            </w:r>
          </w:p>
          <w:p w14:paraId="76E4A840">
            <w:pPr>
              <w:keepNext w:val="0"/>
              <w:keepLines w:val="0"/>
              <w:pageBreakBefore w:val="0"/>
              <w:suppressLineNumbers w:val="0"/>
              <w:kinsoku/>
              <w:wordWrap w:val="0"/>
              <w:overflowPunct/>
              <w:topLinePunct/>
              <w:autoSpaceDE/>
              <w:autoSpaceDN/>
              <w:bidi w:val="0"/>
              <w:adjustRightInd/>
              <w:snapToGrid/>
              <w:spacing w:before="0" w:beforeAutospacing="0" w:after="0" w:afterAutospacing="0" w:line="500" w:lineRule="exact"/>
              <w:ind w:left="0" w:right="0" w:firstLine="482"/>
              <w:textAlignment w:val="auto"/>
              <w:rPr>
                <w:rFonts w:hint="default" w:ascii="Times New Roman" w:hAnsi="Times New Roman" w:cs="Times New Roman"/>
                <w:color w:val="auto"/>
                <w:sz w:val="24"/>
              </w:rPr>
            </w:pPr>
            <w:r>
              <w:rPr>
                <w:rFonts w:hint="default" w:ascii="Times New Roman" w:hAnsi="宋体" w:cs="Times New Roman"/>
                <w:color w:val="auto"/>
                <w:sz w:val="24"/>
              </w:rPr>
              <w:t>按照《建设项目环境风险评价技术导则》（</w:t>
            </w:r>
            <w:r>
              <w:rPr>
                <w:rFonts w:hint="default" w:ascii="Times New Roman" w:hAnsi="Times New Roman" w:cs="Times New Roman"/>
                <w:color w:val="auto"/>
                <w:sz w:val="24"/>
              </w:rPr>
              <w:t>HJ/T169-2018</w:t>
            </w:r>
            <w:r>
              <w:rPr>
                <w:rFonts w:hint="default" w:ascii="Times New Roman" w:hAnsi="宋体" w:cs="Times New Roman"/>
                <w:color w:val="auto"/>
                <w:sz w:val="24"/>
              </w:rPr>
              <w:t>）中的划分依据和原则，环境风险潜势为</w:t>
            </w: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1 \* ROMAN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I</w:t>
            </w:r>
            <w:r>
              <w:rPr>
                <w:rFonts w:hint="default" w:ascii="Times New Roman" w:hAnsi="Times New Roman" w:cs="Times New Roman"/>
                <w:color w:val="auto"/>
                <w:sz w:val="24"/>
              </w:rPr>
              <w:fldChar w:fldCharType="end"/>
            </w:r>
            <w:r>
              <w:rPr>
                <w:rFonts w:hint="default" w:ascii="Times New Roman" w:hAnsi="宋体" w:cs="Times New Roman"/>
                <w:color w:val="auto"/>
                <w:sz w:val="24"/>
              </w:rPr>
              <w:t>级，进行简单分析。评价工作级别见下表。</w:t>
            </w:r>
          </w:p>
          <w:p w14:paraId="1844E5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黑体" w:cs="Times New Roman"/>
                <w:color w:val="auto"/>
                <w:kern w:val="0"/>
                <w:sz w:val="24"/>
                <w:szCs w:val="20"/>
                <w:lang w:val="en-US" w:eastAsia="zh-CN" w:bidi="zh-CN"/>
              </w:rPr>
            </w:pPr>
            <w:r>
              <w:rPr>
                <w:rFonts w:hint="eastAsia" w:ascii="Times New Roman" w:hAnsi="Times New Roman" w:eastAsia="黑体" w:cs="Times New Roman"/>
                <w:color w:val="auto"/>
                <w:kern w:val="0"/>
                <w:sz w:val="24"/>
                <w:szCs w:val="20"/>
                <w:lang w:val="en-US" w:eastAsia="zh-CN" w:bidi="zh-CN"/>
              </w:rPr>
              <w:t>表4-</w:t>
            </w:r>
            <w:r>
              <w:rPr>
                <w:rFonts w:hint="eastAsia" w:eastAsia="黑体" w:cs="Times New Roman"/>
                <w:color w:val="auto"/>
                <w:kern w:val="0"/>
                <w:sz w:val="24"/>
                <w:szCs w:val="20"/>
                <w:lang w:val="en-US" w:eastAsia="zh-CN" w:bidi="zh-CN"/>
              </w:rPr>
              <w:t>23</w:t>
            </w:r>
            <w:r>
              <w:rPr>
                <w:rFonts w:hint="eastAsia" w:ascii="Times New Roman" w:hAnsi="Times New Roman" w:eastAsia="黑体" w:cs="Times New Roman"/>
                <w:color w:val="auto"/>
                <w:kern w:val="0"/>
                <w:sz w:val="24"/>
                <w:szCs w:val="20"/>
                <w:lang w:val="en-US" w:eastAsia="zh-CN" w:bidi="zh-CN"/>
              </w:rPr>
              <w:t xml:space="preserve"> 评价工作等级划分</w:t>
            </w:r>
          </w:p>
          <w:tbl>
            <w:tblPr>
              <w:tblStyle w:val="23"/>
              <w:tblW w:w="79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600"/>
              <w:gridCol w:w="1599"/>
              <w:gridCol w:w="1600"/>
              <w:gridCol w:w="1600"/>
            </w:tblGrid>
            <w:tr w14:paraId="24DBF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36" w:hRule="atLeast"/>
                <w:jc w:val="center"/>
              </w:trPr>
              <w:tc>
                <w:tcPr>
                  <w:tcW w:w="1600" w:type="dxa"/>
                  <w:tcBorders>
                    <w:top w:val="single" w:color="auto" w:sz="4" w:space="0"/>
                    <w:left w:val="single" w:color="auto" w:sz="0" w:space="0"/>
                  </w:tcBorders>
                  <w:noWrap w:val="0"/>
                  <w:vAlign w:val="center"/>
                </w:tcPr>
                <w:p w14:paraId="0656AB73">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宋体" w:cs="Times New Roman"/>
                      <w:b/>
                      <w:bCs/>
                      <w:color w:val="auto"/>
                      <w:szCs w:val="21"/>
                    </w:rPr>
                    <w:t>环境风险潜势</w:t>
                  </w:r>
                </w:p>
              </w:tc>
              <w:tc>
                <w:tcPr>
                  <w:tcW w:w="1600" w:type="dxa"/>
                  <w:tcBorders>
                    <w:top w:val="single" w:color="auto" w:sz="4" w:space="0"/>
                  </w:tcBorders>
                  <w:noWrap w:val="0"/>
                  <w:vAlign w:val="center"/>
                </w:tcPr>
                <w:p w14:paraId="12B07B66">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Times New Roman" w:cs="Times New Roman"/>
                      <w:b/>
                      <w:bCs/>
                      <w:color w:val="auto"/>
                      <w:szCs w:val="21"/>
                    </w:rPr>
                    <w:fldChar w:fldCharType="begin"/>
                  </w:r>
                  <w:r>
                    <w:rPr>
                      <w:rFonts w:hint="default" w:ascii="Times New Roman" w:hAnsi="Times New Roman" w:cs="Times New Roman"/>
                      <w:b/>
                      <w:bCs/>
                      <w:color w:val="auto"/>
                      <w:szCs w:val="21"/>
                    </w:rPr>
                    <w:instrText xml:space="preserve"> = 4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IV</w:t>
                  </w:r>
                  <w:r>
                    <w:rPr>
                      <w:rFonts w:hint="default" w:ascii="Times New Roman" w:hAnsi="Times New Roman" w:cs="Times New Roman"/>
                      <w:b/>
                      <w:bCs/>
                      <w:color w:val="auto"/>
                      <w:szCs w:val="21"/>
                    </w:rPr>
                    <w:fldChar w:fldCharType="end"/>
                  </w:r>
                  <w:r>
                    <w:rPr>
                      <w:rFonts w:hint="default" w:ascii="Times New Roman" w:hAnsi="Times New Roman" w:cs="Times New Roman"/>
                      <w:b/>
                      <w:bCs/>
                      <w:color w:val="auto"/>
                      <w:szCs w:val="21"/>
                      <w:vertAlign w:val="superscript"/>
                    </w:rPr>
                    <w:t>+</w:t>
                  </w:r>
                  <w:r>
                    <w:rPr>
                      <w:rFonts w:hint="default" w:ascii="Times New Roman" w:hAnsi="宋体" w:cs="Times New Roman"/>
                      <w:b/>
                      <w:bCs/>
                      <w:color w:val="auto"/>
                      <w:szCs w:val="21"/>
                    </w:rPr>
                    <w:t>、</w:t>
                  </w:r>
                  <w:r>
                    <w:rPr>
                      <w:rFonts w:hint="default" w:ascii="Times New Roman" w:hAnsi="Times New Roman" w:cs="Times New Roman"/>
                      <w:b/>
                      <w:bCs/>
                      <w:color w:val="auto"/>
                      <w:szCs w:val="21"/>
                    </w:rPr>
                    <w:fldChar w:fldCharType="begin"/>
                  </w:r>
                  <w:r>
                    <w:rPr>
                      <w:rFonts w:hint="default" w:ascii="Times New Roman" w:hAnsi="Times New Roman" w:cs="Times New Roman"/>
                      <w:b/>
                      <w:bCs/>
                      <w:color w:val="auto"/>
                      <w:szCs w:val="21"/>
                    </w:rPr>
                    <w:instrText xml:space="preserve"> = 4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IV</w:t>
                  </w:r>
                  <w:r>
                    <w:rPr>
                      <w:rFonts w:hint="default" w:ascii="Times New Roman" w:hAnsi="Times New Roman" w:cs="Times New Roman"/>
                      <w:b/>
                      <w:bCs/>
                      <w:color w:val="auto"/>
                      <w:szCs w:val="21"/>
                    </w:rPr>
                    <w:fldChar w:fldCharType="end"/>
                  </w:r>
                </w:p>
              </w:tc>
              <w:tc>
                <w:tcPr>
                  <w:tcW w:w="1599" w:type="dxa"/>
                  <w:tcBorders>
                    <w:top w:val="single" w:color="auto" w:sz="4" w:space="0"/>
                  </w:tcBorders>
                  <w:noWrap w:val="0"/>
                  <w:vAlign w:val="center"/>
                </w:tcPr>
                <w:p w14:paraId="50AAF02A">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Times New Roman" w:cs="Times New Roman"/>
                      <w:b/>
                      <w:bCs/>
                      <w:color w:val="auto"/>
                      <w:szCs w:val="21"/>
                    </w:rPr>
                    <w:fldChar w:fldCharType="begin"/>
                  </w:r>
                  <w:r>
                    <w:rPr>
                      <w:rFonts w:hint="default" w:ascii="Times New Roman" w:hAnsi="Times New Roman" w:cs="Times New Roman"/>
                      <w:b/>
                      <w:bCs/>
                      <w:color w:val="auto"/>
                      <w:szCs w:val="21"/>
                    </w:rPr>
                    <w:instrText xml:space="preserve"> = 3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III</w:t>
                  </w:r>
                  <w:r>
                    <w:rPr>
                      <w:rFonts w:hint="default" w:ascii="Times New Roman" w:hAnsi="Times New Roman" w:cs="Times New Roman"/>
                      <w:b/>
                      <w:bCs/>
                      <w:color w:val="auto"/>
                      <w:szCs w:val="21"/>
                    </w:rPr>
                    <w:fldChar w:fldCharType="end"/>
                  </w:r>
                </w:p>
              </w:tc>
              <w:tc>
                <w:tcPr>
                  <w:tcW w:w="1600" w:type="dxa"/>
                  <w:tcBorders>
                    <w:top w:val="single" w:color="auto" w:sz="4" w:space="0"/>
                  </w:tcBorders>
                  <w:noWrap w:val="0"/>
                  <w:vAlign w:val="center"/>
                </w:tcPr>
                <w:p w14:paraId="05B10E60">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Times New Roman" w:cs="Times New Roman"/>
                      <w:b/>
                      <w:bCs/>
                      <w:color w:val="auto"/>
                      <w:szCs w:val="21"/>
                    </w:rPr>
                    <w:fldChar w:fldCharType="begin"/>
                  </w:r>
                  <w:r>
                    <w:rPr>
                      <w:rStyle w:val="29"/>
                      <w:rFonts w:hint="default" w:ascii="Times New Roman" w:hAnsi="Times New Roman" w:cs="Times New Roman"/>
                      <w:b/>
                      <w:bCs/>
                      <w:color w:val="auto"/>
                    </w:rPr>
                    <w:instrText xml:space="preserve"> = 2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II</w:t>
                  </w:r>
                  <w:r>
                    <w:rPr>
                      <w:rFonts w:hint="default" w:ascii="Times New Roman" w:hAnsi="Times New Roman" w:cs="Times New Roman"/>
                      <w:b/>
                      <w:bCs/>
                      <w:color w:val="auto"/>
                      <w:szCs w:val="21"/>
                    </w:rPr>
                    <w:fldChar w:fldCharType="end"/>
                  </w:r>
                </w:p>
              </w:tc>
              <w:tc>
                <w:tcPr>
                  <w:tcW w:w="1600" w:type="dxa"/>
                  <w:tcBorders>
                    <w:top w:val="single" w:color="auto" w:sz="4" w:space="0"/>
                    <w:right w:val="single" w:color="auto" w:sz="4" w:space="0"/>
                  </w:tcBorders>
                  <w:noWrap w:val="0"/>
                  <w:vAlign w:val="center"/>
                </w:tcPr>
                <w:p w14:paraId="4401E0A4">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Times New Roman" w:cs="Times New Roman"/>
                      <w:b/>
                      <w:bCs/>
                      <w:color w:val="auto"/>
                      <w:szCs w:val="21"/>
                    </w:rPr>
                    <w:fldChar w:fldCharType="begin"/>
                  </w:r>
                  <w:r>
                    <w:rPr>
                      <w:rFonts w:hint="default" w:ascii="Times New Roman" w:hAnsi="Times New Roman" w:cs="Times New Roman"/>
                      <w:b/>
                      <w:bCs/>
                      <w:color w:val="auto"/>
                      <w:szCs w:val="21"/>
                    </w:rPr>
                    <w:instrText xml:space="preserve"> = 1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w:t>
                  </w:r>
                  <w:r>
                    <w:rPr>
                      <w:rFonts w:hint="default" w:ascii="Times New Roman" w:hAnsi="Times New Roman" w:cs="Times New Roman"/>
                      <w:b/>
                      <w:bCs/>
                      <w:color w:val="auto"/>
                      <w:szCs w:val="21"/>
                    </w:rPr>
                    <w:fldChar w:fldCharType="end"/>
                  </w:r>
                </w:p>
              </w:tc>
            </w:tr>
            <w:tr w14:paraId="2E7DC5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600" w:type="dxa"/>
                  <w:tcBorders>
                    <w:left w:val="single" w:color="auto" w:sz="4" w:space="0"/>
                  </w:tcBorders>
                  <w:shd w:val="clear" w:color="auto" w:fill="auto"/>
                  <w:noWrap w:val="0"/>
                  <w:vAlign w:val="center"/>
                </w:tcPr>
                <w:p w14:paraId="34C6E7E0">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rPr>
                  </w:pPr>
                  <w:r>
                    <w:rPr>
                      <w:rFonts w:hint="default" w:ascii="Times New Roman" w:hAnsi="宋体" w:cs="Times New Roman"/>
                      <w:color w:val="auto"/>
                      <w:szCs w:val="21"/>
                    </w:rPr>
                    <w:t>评价工作等级</w:t>
                  </w:r>
                </w:p>
              </w:tc>
              <w:tc>
                <w:tcPr>
                  <w:tcW w:w="1600" w:type="dxa"/>
                  <w:shd w:val="clear" w:color="auto" w:fill="auto"/>
                  <w:noWrap w:val="0"/>
                  <w:vAlign w:val="center"/>
                </w:tcPr>
                <w:p w14:paraId="2271463F">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rPr>
                  </w:pPr>
                  <w:r>
                    <w:rPr>
                      <w:rFonts w:hint="default" w:ascii="Times New Roman" w:hAnsi="宋体" w:cs="Times New Roman"/>
                      <w:color w:val="auto"/>
                      <w:szCs w:val="21"/>
                    </w:rPr>
                    <w:t>一</w:t>
                  </w:r>
                </w:p>
              </w:tc>
              <w:tc>
                <w:tcPr>
                  <w:tcW w:w="1599" w:type="dxa"/>
                  <w:shd w:val="clear" w:color="auto" w:fill="auto"/>
                  <w:noWrap w:val="0"/>
                  <w:vAlign w:val="center"/>
                </w:tcPr>
                <w:p w14:paraId="6840D54A">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rPr>
                  </w:pPr>
                  <w:r>
                    <w:rPr>
                      <w:rFonts w:hint="default" w:ascii="Times New Roman" w:hAnsi="宋体" w:cs="Times New Roman"/>
                      <w:color w:val="auto"/>
                      <w:szCs w:val="21"/>
                    </w:rPr>
                    <w:t>二</w:t>
                  </w:r>
                </w:p>
              </w:tc>
              <w:tc>
                <w:tcPr>
                  <w:tcW w:w="1600" w:type="dxa"/>
                  <w:shd w:val="clear" w:color="auto" w:fill="auto"/>
                  <w:noWrap w:val="0"/>
                  <w:vAlign w:val="center"/>
                </w:tcPr>
                <w:p w14:paraId="2BD9FDD8">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rPr>
                  </w:pPr>
                  <w:r>
                    <w:rPr>
                      <w:rFonts w:hint="default" w:ascii="Times New Roman" w:hAnsi="宋体" w:cs="Times New Roman"/>
                      <w:color w:val="auto"/>
                      <w:szCs w:val="21"/>
                    </w:rPr>
                    <w:t>三</w:t>
                  </w:r>
                </w:p>
              </w:tc>
              <w:tc>
                <w:tcPr>
                  <w:tcW w:w="1600" w:type="dxa"/>
                  <w:tcBorders>
                    <w:right w:val="single" w:color="auto" w:sz="4" w:space="0"/>
                  </w:tcBorders>
                  <w:shd w:val="clear" w:color="auto" w:fill="D7D7D7"/>
                  <w:noWrap w:val="0"/>
                  <w:vAlign w:val="center"/>
                </w:tcPr>
                <w:p w14:paraId="239DD9AE">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vertAlign w:val="superscript"/>
                    </w:rPr>
                  </w:pPr>
                  <w:r>
                    <w:rPr>
                      <w:rFonts w:hint="default" w:ascii="Times New Roman" w:hAnsi="宋体" w:cs="Times New Roman"/>
                      <w:color w:val="auto"/>
                      <w:szCs w:val="21"/>
                    </w:rPr>
                    <w:t>简单分析</w:t>
                  </w:r>
                  <w:r>
                    <w:rPr>
                      <w:rFonts w:hint="default" w:ascii="Times New Roman" w:hAnsi="Times New Roman" w:cs="Times New Roman"/>
                      <w:color w:val="auto"/>
                      <w:szCs w:val="21"/>
                      <w:vertAlign w:val="superscript"/>
                    </w:rPr>
                    <w:t>a</w:t>
                  </w:r>
                </w:p>
              </w:tc>
            </w:tr>
            <w:tr w14:paraId="5A3F2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7999" w:type="dxa"/>
                  <w:gridSpan w:val="5"/>
                  <w:tcBorders>
                    <w:left w:val="single" w:color="auto" w:sz="4" w:space="0"/>
                    <w:bottom w:val="single" w:color="auto" w:sz="4" w:space="0"/>
                    <w:right w:val="single" w:color="auto" w:sz="4" w:space="0"/>
                  </w:tcBorders>
                  <w:noWrap w:val="0"/>
                  <w:vAlign w:val="center"/>
                </w:tcPr>
                <w:p w14:paraId="5889502B">
                  <w:pPr>
                    <w:keepNext w:val="0"/>
                    <w:keepLines w:val="0"/>
                    <w:widowControl/>
                    <w:suppressLineNumbers w:val="0"/>
                    <w:autoSpaceDE w:val="0"/>
                    <w:autoSpaceDN w:val="0"/>
                    <w:spacing w:before="0" w:beforeAutospacing="0" w:after="0" w:afterAutospacing="0"/>
                    <w:ind w:left="0" w:right="0"/>
                    <w:textAlignment w:val="bottom"/>
                    <w:rPr>
                      <w:rFonts w:hint="default" w:ascii="Times New Roman" w:hAnsi="Times New Roman" w:cs="Times New Roman"/>
                      <w:color w:val="auto"/>
                      <w:szCs w:val="21"/>
                    </w:rPr>
                  </w:pPr>
                  <w:r>
                    <w:rPr>
                      <w:rFonts w:hint="default" w:ascii="Times New Roman" w:hAnsi="Times New Roman" w:cs="Times New Roman"/>
                      <w:color w:val="auto"/>
                      <w:szCs w:val="21"/>
                      <w:vertAlign w:val="superscript"/>
                    </w:rPr>
                    <w:t>a</w:t>
                  </w:r>
                  <w:r>
                    <w:rPr>
                      <w:rFonts w:hint="default" w:ascii="Times New Roman" w:hAnsi="宋体" w:cs="Times New Roman"/>
                      <w:color w:val="auto"/>
                      <w:szCs w:val="21"/>
                    </w:rPr>
                    <w:t>是相对详细评价工作内容而言，在描述危险物质、环境影响途径、环境危害后果、风险防范措施等方面给出定性说明。见导则附录</w:t>
                  </w:r>
                  <w:r>
                    <w:rPr>
                      <w:rFonts w:hint="default" w:ascii="Times New Roman" w:hAnsi="Times New Roman" w:cs="Times New Roman"/>
                      <w:color w:val="auto"/>
                      <w:szCs w:val="21"/>
                    </w:rPr>
                    <w:t>A</w:t>
                  </w:r>
                </w:p>
              </w:tc>
            </w:tr>
          </w:tbl>
          <w:p w14:paraId="269C64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default" w:ascii="Times New Roman" w:hAnsi="Times New Roman" w:cs="Times New Roman"/>
                <w:color w:val="auto"/>
                <w:sz w:val="24"/>
              </w:rPr>
            </w:pPr>
            <w:r>
              <w:rPr>
                <w:rFonts w:hint="default" w:ascii="Times New Roman" w:hAnsi="宋体" w:cs="Times New Roman"/>
                <w:color w:val="auto"/>
                <w:sz w:val="24"/>
              </w:rPr>
              <w:t>由上表可知，本项目环境风险潜势</w:t>
            </w: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1 \* ROMAN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I</w:t>
            </w:r>
            <w:r>
              <w:rPr>
                <w:rFonts w:hint="default" w:ascii="Times New Roman" w:hAnsi="Times New Roman" w:cs="Times New Roman"/>
                <w:color w:val="auto"/>
                <w:sz w:val="24"/>
              </w:rPr>
              <w:fldChar w:fldCharType="end"/>
            </w:r>
            <w:r>
              <w:rPr>
                <w:rFonts w:hint="default" w:ascii="Times New Roman" w:hAnsi="宋体" w:cs="Times New Roman"/>
                <w:color w:val="auto"/>
                <w:sz w:val="24"/>
              </w:rPr>
              <w:t>类，环境风险评价为简单分析。根据本项目的生产特征，项目无重大危险源。本项目的风险主要为</w:t>
            </w:r>
            <w:r>
              <w:rPr>
                <w:rFonts w:hint="eastAsia" w:ascii="Times New Roman" w:hAnsi="宋体" w:cs="Times New Roman"/>
                <w:color w:val="auto"/>
                <w:sz w:val="24"/>
                <w:lang w:val="en-US" w:eastAsia="zh-CN"/>
              </w:rPr>
              <w:t>发生</w:t>
            </w:r>
            <w:r>
              <w:rPr>
                <w:rFonts w:hint="eastAsia" w:hAnsi="宋体" w:cs="Times New Roman"/>
                <w:color w:val="auto"/>
                <w:sz w:val="24"/>
                <w:lang w:val="en-US" w:eastAsia="zh-CN"/>
              </w:rPr>
              <w:t>原辅材料和危险废物</w:t>
            </w:r>
            <w:r>
              <w:rPr>
                <w:rFonts w:hint="eastAsia" w:ascii="Times New Roman" w:hAnsi="宋体" w:cs="Times New Roman"/>
                <w:color w:val="auto"/>
                <w:sz w:val="24"/>
                <w:lang w:val="en-US" w:eastAsia="zh-CN"/>
              </w:rPr>
              <w:t>泄</w:t>
            </w:r>
            <w:r>
              <w:rPr>
                <w:rFonts w:hint="eastAsia" w:hAnsi="宋体" w:cs="Times New Roman"/>
                <w:color w:val="auto"/>
                <w:sz w:val="24"/>
                <w:lang w:val="en-US" w:eastAsia="zh-CN"/>
              </w:rPr>
              <w:t>漏</w:t>
            </w:r>
            <w:r>
              <w:rPr>
                <w:rFonts w:hint="default" w:ascii="Times New Roman" w:hAnsi="宋体" w:cs="Times New Roman"/>
                <w:color w:val="auto"/>
                <w:sz w:val="24"/>
              </w:rPr>
              <w:t>。</w:t>
            </w:r>
          </w:p>
          <w:p w14:paraId="4168E437">
            <w:pPr>
              <w:pStyle w:val="13"/>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200"/>
              <w:textAlignment w:val="auto"/>
              <w:rPr>
                <w:rFonts w:hint="eastAsia"/>
                <w:color w:val="000000"/>
                <w:sz w:val="24"/>
                <w:highlight w:val="none"/>
                <w:u w:val="none"/>
                <w:lang w:val="en-US" w:eastAsia="zh-CN"/>
              </w:rPr>
            </w:pPr>
            <w:r>
              <w:rPr>
                <w:rFonts w:hint="eastAsia"/>
                <w:color w:val="000000"/>
                <w:sz w:val="24"/>
                <w:highlight w:val="none"/>
                <w:u w:val="none"/>
                <w:lang w:val="en-US" w:eastAsia="zh-CN"/>
              </w:rPr>
              <w:t>6.2环境风险分析</w:t>
            </w:r>
          </w:p>
          <w:p w14:paraId="36CF9A0F">
            <w:pPr>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eastAsia" w:ascii="Times New Roman" w:hAnsi="Times New Roman" w:eastAsia="宋体" w:cs="Times New Roman"/>
                <w:color w:val="000000"/>
                <w:sz w:val="24"/>
                <w:u w:val="none"/>
              </w:rPr>
            </w:pPr>
            <w:r>
              <w:rPr>
                <w:rFonts w:hint="eastAsia" w:ascii="Times New Roman" w:hAnsi="Times New Roman" w:eastAsia="宋体" w:cs="Times New Roman"/>
                <w:color w:val="000000"/>
                <w:sz w:val="24"/>
                <w:u w:val="none"/>
                <w:lang w:val="en-US" w:eastAsia="zh-CN"/>
              </w:rPr>
              <w:t>（</w:t>
            </w:r>
            <w:r>
              <w:rPr>
                <w:rFonts w:hint="default" w:ascii="Times New Roman" w:hAnsi="Times New Roman" w:eastAsia="宋体" w:cs="Times New Roman"/>
                <w:color w:val="000000"/>
                <w:sz w:val="24"/>
                <w:u w:val="none"/>
                <w:lang w:val="en-US" w:eastAsia="zh-CN"/>
              </w:rPr>
              <w:t>1</w:t>
            </w:r>
            <w:r>
              <w:rPr>
                <w:rFonts w:hint="eastAsia" w:ascii="Times New Roman" w:hAnsi="Times New Roman" w:eastAsia="宋体" w:cs="Times New Roman"/>
                <w:color w:val="000000"/>
                <w:sz w:val="24"/>
                <w:u w:val="none"/>
                <w:lang w:val="en-US" w:eastAsia="zh-CN"/>
              </w:rPr>
              <w:t>）大气环境风险影响分析</w:t>
            </w:r>
          </w:p>
          <w:p w14:paraId="55CE44A8">
            <w:pPr>
              <w:keepNext w:val="0"/>
              <w:keepLines w:val="0"/>
              <w:pageBreakBefore w:val="0"/>
              <w:widowControl w:val="0"/>
              <w:kinsoku/>
              <w:wordWrap/>
              <w:overflowPunct/>
              <w:topLinePunct w:val="0"/>
              <w:autoSpaceDE/>
              <w:autoSpaceDN/>
              <w:bidi w:val="0"/>
              <w:adjustRightInd/>
              <w:snapToGrid/>
              <w:spacing w:line="500" w:lineRule="exact"/>
              <w:ind w:firstLine="482"/>
              <w:textAlignment w:val="auto"/>
              <w:rPr>
                <w:u w:val="none"/>
              </w:rPr>
            </w:pPr>
            <w:r>
              <w:rPr>
                <w:rFonts w:hint="eastAsia" w:cs="Times New Roman"/>
                <w:color w:val="000000"/>
                <w:sz w:val="24"/>
                <w:u w:val="none"/>
                <w:lang w:val="en-US" w:eastAsia="zh-CN"/>
              </w:rPr>
              <w:t>润滑油</w:t>
            </w:r>
            <w:r>
              <w:rPr>
                <w:rFonts w:hint="eastAsia" w:ascii="Times New Roman" w:hAnsi="Times New Roman" w:eastAsia="宋体" w:cs="Times New Roman"/>
                <w:color w:val="000000"/>
                <w:sz w:val="24"/>
                <w:u w:val="none"/>
                <w:lang w:val="en-US" w:eastAsia="zh-CN"/>
              </w:rPr>
              <w:t>及废</w:t>
            </w:r>
            <w:r>
              <w:rPr>
                <w:rFonts w:hint="eastAsia" w:cs="Times New Roman"/>
                <w:color w:val="000000"/>
                <w:sz w:val="24"/>
                <w:u w:val="none"/>
                <w:lang w:val="en-US" w:eastAsia="zh-CN"/>
              </w:rPr>
              <w:t>润滑油</w:t>
            </w:r>
            <w:r>
              <w:rPr>
                <w:rFonts w:hint="eastAsia" w:ascii="Times New Roman" w:hAnsi="Times New Roman" w:eastAsia="宋体" w:cs="Times New Roman"/>
                <w:color w:val="000000"/>
                <w:sz w:val="24"/>
                <w:u w:val="none"/>
                <w:lang w:val="en-US" w:eastAsia="zh-CN"/>
              </w:rPr>
              <w:t>具有</w:t>
            </w:r>
            <w:r>
              <w:rPr>
                <w:rFonts w:hint="eastAsia" w:cs="Times New Roman"/>
                <w:color w:val="000000"/>
                <w:sz w:val="24"/>
                <w:u w:val="none"/>
                <w:lang w:val="en-US" w:eastAsia="zh-CN"/>
              </w:rPr>
              <w:t>引发</w:t>
            </w:r>
            <w:r>
              <w:rPr>
                <w:rFonts w:hint="eastAsia" w:ascii="Times New Roman" w:hAnsi="Times New Roman" w:eastAsia="宋体" w:cs="Times New Roman"/>
                <w:color w:val="000000"/>
                <w:sz w:val="24"/>
                <w:u w:val="none"/>
                <w:lang w:val="en-US" w:eastAsia="zh-CN"/>
              </w:rPr>
              <w:t>火灾发生的危险</w:t>
            </w:r>
            <w:r>
              <w:rPr>
                <w:rFonts w:hint="eastAsia" w:cs="Times New Roman"/>
                <w:color w:val="000000"/>
                <w:sz w:val="24"/>
                <w:u w:val="none"/>
                <w:lang w:val="en-US" w:eastAsia="zh-CN"/>
              </w:rPr>
              <w:t>性</w:t>
            </w:r>
            <w:r>
              <w:rPr>
                <w:rFonts w:hint="eastAsia" w:ascii="Times New Roman" w:hAnsi="Times New Roman" w:eastAsia="宋体" w:cs="Times New Roman"/>
                <w:color w:val="000000"/>
                <w:sz w:val="24"/>
                <w:u w:val="none"/>
                <w:lang w:val="en-US" w:eastAsia="zh-CN"/>
              </w:rPr>
              <w:t>。</w:t>
            </w:r>
            <w:r>
              <w:rPr>
                <w:rFonts w:hint="eastAsia" w:cs="Times New Roman"/>
                <w:color w:val="000000"/>
                <w:sz w:val="24"/>
                <w:u w:val="none"/>
                <w:lang w:val="en-US" w:eastAsia="zh-CN"/>
              </w:rPr>
              <w:t>如果发生火灾</w:t>
            </w:r>
            <w:r>
              <w:rPr>
                <w:rFonts w:hint="eastAsia" w:ascii="Times New Roman" w:hAnsi="Times New Roman" w:eastAsia="宋体" w:cs="Times New Roman"/>
                <w:color w:val="000000"/>
                <w:sz w:val="24"/>
                <w:u w:val="none"/>
                <w:lang w:val="en-US" w:eastAsia="zh-CN"/>
              </w:rPr>
              <w:t>燃烧过程中产生的烟气中含有烟尘、</w:t>
            </w:r>
            <w:r>
              <w:rPr>
                <w:rFonts w:hint="default" w:ascii="Times New Roman" w:hAnsi="Times New Roman" w:eastAsia="宋体" w:cs="Times New Roman"/>
                <w:color w:val="000000"/>
                <w:sz w:val="24"/>
                <w:u w:val="none"/>
                <w:lang w:val="en-US" w:eastAsia="zh-CN"/>
              </w:rPr>
              <w:t>CO</w:t>
            </w:r>
            <w:r>
              <w:rPr>
                <w:rFonts w:hint="eastAsia" w:ascii="Times New Roman" w:hAnsi="Times New Roman" w:eastAsia="宋体" w:cs="Times New Roman"/>
                <w:color w:val="000000"/>
                <w:sz w:val="24"/>
                <w:u w:val="none"/>
                <w:lang w:val="en-US" w:eastAsia="zh-CN"/>
              </w:rPr>
              <w:t>、</w:t>
            </w:r>
            <w:r>
              <w:rPr>
                <w:rFonts w:hint="default" w:ascii="Times New Roman" w:hAnsi="Times New Roman" w:eastAsia="宋体" w:cs="Times New Roman"/>
                <w:color w:val="000000"/>
                <w:sz w:val="24"/>
                <w:u w:val="none"/>
                <w:lang w:val="en-US" w:eastAsia="zh-CN"/>
              </w:rPr>
              <w:t>CO</w:t>
            </w:r>
            <w:r>
              <w:rPr>
                <w:rFonts w:hint="default" w:ascii="Times New Roman" w:hAnsi="Times New Roman" w:eastAsia="宋体" w:cs="Times New Roman"/>
                <w:color w:val="000000"/>
                <w:sz w:val="24"/>
                <w:u w:val="none"/>
                <w:vertAlign w:val="subscript"/>
                <w:lang w:val="en-US" w:eastAsia="zh-CN"/>
              </w:rPr>
              <w:t>2</w:t>
            </w:r>
            <w:r>
              <w:rPr>
                <w:rFonts w:hint="eastAsia" w:ascii="Times New Roman" w:hAnsi="Times New Roman" w:eastAsia="宋体" w:cs="Times New Roman"/>
                <w:color w:val="000000"/>
                <w:sz w:val="24"/>
                <w:u w:val="none"/>
                <w:lang w:val="en-US" w:eastAsia="zh-CN"/>
              </w:rPr>
              <w:t>及其他未完全燃烧的烃类等物质，具有一定的毒性和窒息性，因此在</w:t>
            </w:r>
            <w:r>
              <w:rPr>
                <w:rFonts w:hint="eastAsia" w:cs="Times New Roman"/>
                <w:color w:val="000000"/>
                <w:sz w:val="24"/>
                <w:u w:val="none"/>
                <w:lang w:val="en-US" w:eastAsia="zh-CN"/>
              </w:rPr>
              <w:t>润滑油</w:t>
            </w:r>
            <w:r>
              <w:rPr>
                <w:rFonts w:hint="eastAsia" w:ascii="Times New Roman" w:hAnsi="Times New Roman" w:eastAsia="宋体" w:cs="Times New Roman"/>
                <w:color w:val="000000"/>
                <w:sz w:val="24"/>
                <w:u w:val="none"/>
                <w:lang w:val="en-US" w:eastAsia="zh-CN"/>
              </w:rPr>
              <w:t>及废</w:t>
            </w:r>
            <w:r>
              <w:rPr>
                <w:rFonts w:hint="eastAsia" w:cs="Times New Roman"/>
                <w:color w:val="000000"/>
                <w:sz w:val="24"/>
                <w:u w:val="none"/>
                <w:lang w:val="en-US" w:eastAsia="zh-CN"/>
              </w:rPr>
              <w:t>润滑油</w:t>
            </w:r>
            <w:r>
              <w:rPr>
                <w:rFonts w:hint="eastAsia" w:ascii="Times New Roman" w:hAnsi="Times New Roman" w:eastAsia="宋体" w:cs="Times New Roman"/>
                <w:color w:val="000000"/>
                <w:sz w:val="24"/>
                <w:u w:val="none"/>
                <w:lang w:val="en-US" w:eastAsia="zh-CN"/>
              </w:rPr>
              <w:t>燃烧期间会对周边的大气环境和人群会产生一定的不利影响，将会对厂内员工及周边距离较近的居民造成人身伤害及财产损失等严重不利影响。</w:t>
            </w:r>
            <w:r>
              <w:rPr>
                <w:rFonts w:hint="eastAsia" w:cs="Times New Roman"/>
                <w:color w:val="000000"/>
                <w:sz w:val="24"/>
                <w:u w:val="none"/>
                <w:lang w:val="en-US" w:eastAsia="zh-CN"/>
              </w:rPr>
              <w:t>但厂区最大储存量较小，较好控制。</w:t>
            </w:r>
          </w:p>
          <w:p w14:paraId="1114C591">
            <w:pPr>
              <w:keepNext w:val="0"/>
              <w:keepLines w:val="0"/>
              <w:pageBreakBefore w:val="0"/>
              <w:widowControl w:val="0"/>
              <w:kinsoku/>
              <w:wordWrap/>
              <w:overflowPunct/>
              <w:topLinePunct w:val="0"/>
              <w:bidi w:val="0"/>
              <w:spacing w:line="500" w:lineRule="exact"/>
              <w:ind w:firstLine="482"/>
              <w:textAlignment w:val="auto"/>
              <w:rPr>
                <w:rFonts w:hint="eastAsia" w:ascii="Times New Roman" w:hAnsi="Times New Roman" w:eastAsia="宋体" w:cs="Times New Roman"/>
                <w:color w:val="000000"/>
                <w:sz w:val="24"/>
                <w:u w:val="none"/>
                <w:lang w:val="en-US" w:eastAsia="zh-CN"/>
              </w:rPr>
            </w:pPr>
            <w:r>
              <w:rPr>
                <w:rFonts w:hint="eastAsia" w:ascii="Times New Roman" w:hAnsi="Times New Roman" w:eastAsia="宋体" w:cs="Times New Roman"/>
                <w:color w:val="000000"/>
                <w:sz w:val="24"/>
                <w:u w:val="none"/>
                <w:lang w:val="en-US" w:eastAsia="zh-CN"/>
              </w:rPr>
              <w:t>（</w:t>
            </w:r>
            <w:r>
              <w:rPr>
                <w:rFonts w:hint="eastAsia" w:cs="Times New Roman"/>
                <w:color w:val="000000"/>
                <w:sz w:val="24"/>
                <w:u w:val="none"/>
                <w:lang w:val="en-US" w:eastAsia="zh-CN"/>
              </w:rPr>
              <w:t>2</w:t>
            </w:r>
            <w:r>
              <w:rPr>
                <w:rFonts w:hint="eastAsia" w:ascii="Times New Roman" w:hAnsi="Times New Roman" w:eastAsia="宋体" w:cs="Times New Roman"/>
                <w:color w:val="000000"/>
                <w:sz w:val="24"/>
                <w:u w:val="none"/>
                <w:lang w:val="en-US" w:eastAsia="zh-CN"/>
              </w:rPr>
              <w:t>）</w:t>
            </w:r>
            <w:r>
              <w:rPr>
                <w:rFonts w:hint="eastAsia" w:cs="Times New Roman"/>
                <w:color w:val="000000"/>
                <w:sz w:val="24"/>
                <w:u w:val="none"/>
                <w:lang w:val="en-US" w:eastAsia="zh-CN"/>
              </w:rPr>
              <w:t>废</w:t>
            </w:r>
            <w:r>
              <w:rPr>
                <w:rFonts w:hint="eastAsia" w:ascii="Times New Roman" w:hAnsi="Times New Roman" w:eastAsia="宋体" w:cs="Times New Roman"/>
                <w:color w:val="000000"/>
                <w:sz w:val="24"/>
                <w:u w:val="none"/>
                <w:lang w:val="en-US" w:eastAsia="zh-CN"/>
              </w:rPr>
              <w:t>水</w:t>
            </w:r>
            <w:r>
              <w:rPr>
                <w:rFonts w:hint="eastAsia" w:cs="Times New Roman"/>
                <w:color w:val="000000"/>
                <w:sz w:val="24"/>
                <w:u w:val="none"/>
                <w:lang w:val="en-US" w:eastAsia="zh-CN"/>
              </w:rPr>
              <w:t>泄漏</w:t>
            </w:r>
            <w:r>
              <w:rPr>
                <w:rFonts w:hint="eastAsia" w:ascii="Times New Roman" w:hAnsi="Times New Roman" w:eastAsia="宋体" w:cs="Times New Roman"/>
                <w:color w:val="000000"/>
                <w:sz w:val="24"/>
                <w:u w:val="none"/>
                <w:lang w:val="en-US" w:eastAsia="zh-CN"/>
              </w:rPr>
              <w:t>环境风险分析</w:t>
            </w:r>
          </w:p>
          <w:p w14:paraId="7FBE05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textAlignment w:val="auto"/>
              <w:rPr>
                <w:rFonts w:hint="default" w:ascii="Times New Roman" w:hAnsi="Times New Roman" w:eastAsia="宋体" w:cs="Times New Roman"/>
                <w:bCs/>
                <w:color w:val="auto"/>
                <w:sz w:val="24"/>
                <w:u w:val="none"/>
                <w:lang w:val="en-US" w:eastAsia="zh-CN"/>
              </w:rPr>
            </w:pPr>
            <w:r>
              <w:rPr>
                <w:rFonts w:hint="eastAsia" w:cs="Times New Roman"/>
                <w:bCs/>
                <w:color w:val="auto"/>
                <w:sz w:val="24"/>
                <w:u w:val="none"/>
                <w:lang w:val="en-US" w:eastAsia="zh-CN"/>
              </w:rPr>
              <w:t>本项目废水容易发生泄漏的主要有车辆冲洗时沉淀池中废水、筛分、水洗与脱水产生的废水，当清水池、污水池、浓缩罐发生破损时或防渗措施未做到位的情况下，会出现废水泄漏事件。当发现废水泄漏时应该立即将废水再收集起来或采取补漏措施来防止更多的废水发生外泄，对地表水和土壤或者周围环境造成污染影响。厂区</w:t>
            </w:r>
            <w:r>
              <w:rPr>
                <w:rFonts w:hint="eastAsia"/>
                <w:color w:val="000000"/>
                <w:sz w:val="24"/>
                <w:u w:val="none"/>
                <w:lang w:val="en-US" w:eastAsia="zh-CN"/>
              </w:rPr>
              <w:t>中清水</w:t>
            </w:r>
            <w:r>
              <w:rPr>
                <w:rFonts w:hint="eastAsia"/>
                <w:color w:val="000000"/>
                <w:sz w:val="24"/>
                <w:highlight w:val="none"/>
                <w:u w:val="none"/>
                <w:lang w:val="en-US" w:eastAsia="zh-CN"/>
              </w:rPr>
              <w:t>池和污水池以及污水管线等区域进行了防渗处理来避免或减少废水外泄的风险。如厂区发生火灾会有大量的消防废水产生，对于这类废水首先要先集中收集避免进入附近的地表水体造成污染影响，</w:t>
            </w:r>
            <w:r>
              <w:rPr>
                <w:rFonts w:hint="eastAsia" w:ascii="Times New Roman" w:hAnsi="Times New Roman" w:eastAsia="宋体" w:cs="Times New Roman"/>
                <w:color w:val="000000"/>
                <w:sz w:val="24"/>
                <w:u w:val="none"/>
                <w:lang w:val="en-US" w:eastAsia="zh-CN"/>
              </w:rPr>
              <w:t>厂区</w:t>
            </w:r>
            <w:r>
              <w:rPr>
                <w:rFonts w:hint="eastAsia" w:cs="Times New Roman"/>
                <w:color w:val="000000"/>
                <w:sz w:val="24"/>
                <w:u w:val="none"/>
                <w:lang w:val="en-US" w:eastAsia="zh-CN"/>
              </w:rPr>
              <w:t>内</w:t>
            </w:r>
            <w:r>
              <w:rPr>
                <w:rFonts w:hint="eastAsia" w:ascii="Times New Roman" w:hAnsi="Times New Roman" w:eastAsia="宋体" w:cs="Times New Roman"/>
                <w:color w:val="000000"/>
                <w:sz w:val="24"/>
                <w:u w:val="none"/>
                <w:lang w:val="en-US" w:eastAsia="zh-CN"/>
              </w:rPr>
              <w:t>设置</w:t>
            </w:r>
            <w:r>
              <w:rPr>
                <w:rFonts w:hint="eastAsia" w:cs="Times New Roman"/>
                <w:color w:val="000000"/>
                <w:sz w:val="24"/>
                <w:u w:val="none"/>
                <w:lang w:val="en-US" w:eastAsia="zh-CN"/>
              </w:rPr>
              <w:t>的车辆冲洗沉淀池或雨水收集池来代替</w:t>
            </w:r>
            <w:r>
              <w:rPr>
                <w:rFonts w:hint="eastAsia" w:ascii="Times New Roman" w:hAnsi="Times New Roman" w:eastAsia="宋体" w:cs="Times New Roman"/>
                <w:color w:val="000000"/>
                <w:sz w:val="24"/>
                <w:u w:val="none"/>
                <w:lang w:val="en-US" w:eastAsia="zh-CN"/>
              </w:rPr>
              <w:t>事故池，确保事故状态下的生产废水不外排</w:t>
            </w:r>
            <w:r>
              <w:rPr>
                <w:rFonts w:hint="eastAsia" w:cs="Times New Roman"/>
                <w:color w:val="000000"/>
                <w:sz w:val="24"/>
                <w:u w:val="none"/>
                <w:lang w:val="en-US" w:eastAsia="zh-CN"/>
              </w:rPr>
              <w:t>。</w:t>
            </w:r>
          </w:p>
          <w:p w14:paraId="1D5A76DC">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b w:val="0"/>
                <w:bCs w:val="0"/>
                <w:color w:val="000000"/>
                <w:kern w:val="0"/>
                <w:sz w:val="24"/>
                <w:u w:val="none"/>
              </w:rPr>
            </w:pPr>
            <w:r>
              <w:rPr>
                <w:rFonts w:hint="eastAsia"/>
                <w:b w:val="0"/>
                <w:bCs w:val="0"/>
                <w:color w:val="000000"/>
                <w:kern w:val="0"/>
                <w:sz w:val="24"/>
                <w:u w:val="none"/>
              </w:rPr>
              <w:t>6.</w:t>
            </w:r>
            <w:r>
              <w:rPr>
                <w:rFonts w:hint="eastAsia"/>
                <w:b w:val="0"/>
                <w:bCs w:val="0"/>
                <w:color w:val="000000"/>
                <w:kern w:val="0"/>
                <w:sz w:val="24"/>
                <w:u w:val="none"/>
                <w:lang w:val="en-US" w:eastAsia="zh-CN"/>
              </w:rPr>
              <w:t>3</w:t>
            </w:r>
            <w:r>
              <w:rPr>
                <w:rFonts w:hint="eastAsia"/>
                <w:b w:val="0"/>
                <w:bCs w:val="0"/>
                <w:color w:val="000000"/>
                <w:kern w:val="0"/>
                <w:sz w:val="24"/>
                <w:u w:val="none"/>
              </w:rPr>
              <w:t>影响途径</w:t>
            </w:r>
          </w:p>
          <w:p w14:paraId="0E32C51A">
            <w:pPr>
              <w:keepNext w:val="0"/>
              <w:keepLines w:val="0"/>
              <w:pageBreakBefore w:val="0"/>
              <w:widowControl w:val="0"/>
              <w:kinsoku/>
              <w:wordWrap/>
              <w:overflowPunct/>
              <w:topLinePunct w:val="0"/>
              <w:bidi w:val="0"/>
              <w:spacing w:line="500" w:lineRule="exact"/>
              <w:ind w:firstLine="482"/>
              <w:textAlignment w:val="auto"/>
              <w:rPr>
                <w:color w:val="000000"/>
                <w:sz w:val="24"/>
                <w:u w:val="none"/>
              </w:rPr>
            </w:pPr>
            <w:r>
              <w:rPr>
                <w:color w:val="000000"/>
                <w:sz w:val="24"/>
                <w:u w:val="none"/>
              </w:rPr>
              <w:t>本项目环境风险主要为</w:t>
            </w:r>
            <w:r>
              <w:rPr>
                <w:rFonts w:hint="eastAsia"/>
                <w:color w:val="000000"/>
                <w:sz w:val="24"/>
                <w:u w:val="none"/>
                <w:lang w:val="en-US" w:eastAsia="zh-CN"/>
              </w:rPr>
              <w:t>润滑油或</w:t>
            </w:r>
            <w:r>
              <w:rPr>
                <w:rFonts w:hint="eastAsia"/>
                <w:color w:val="000000"/>
                <w:sz w:val="24"/>
                <w:u w:val="none"/>
              </w:rPr>
              <w:t>废</w:t>
            </w:r>
            <w:r>
              <w:rPr>
                <w:rFonts w:hint="eastAsia"/>
                <w:color w:val="000000"/>
                <w:sz w:val="24"/>
                <w:u w:val="none"/>
                <w:lang w:val="en-US" w:eastAsia="zh-CN"/>
              </w:rPr>
              <w:t>润滑油</w:t>
            </w:r>
            <w:r>
              <w:rPr>
                <w:rFonts w:hint="eastAsia"/>
                <w:color w:val="000000"/>
                <w:sz w:val="24"/>
                <w:u w:val="none"/>
              </w:rPr>
              <w:t>泄漏引起的火灾爆炸事故，对</w:t>
            </w:r>
            <w:r>
              <w:rPr>
                <w:rFonts w:hint="eastAsia"/>
                <w:color w:val="000000"/>
                <w:sz w:val="24"/>
                <w:u w:val="none"/>
                <w:lang w:val="en-US" w:eastAsia="zh-CN"/>
              </w:rPr>
              <w:t>周围生态</w:t>
            </w:r>
            <w:r>
              <w:rPr>
                <w:rFonts w:hint="eastAsia"/>
                <w:color w:val="000000"/>
                <w:sz w:val="24"/>
                <w:u w:val="none"/>
              </w:rPr>
              <w:t>环境造成污染</w:t>
            </w:r>
            <w:r>
              <w:rPr>
                <w:color w:val="000000"/>
                <w:sz w:val="24"/>
                <w:u w:val="none"/>
              </w:rPr>
              <w:t>和</w:t>
            </w:r>
            <w:r>
              <w:rPr>
                <w:rFonts w:hint="eastAsia"/>
                <w:color w:val="000000"/>
                <w:sz w:val="24"/>
                <w:u w:val="none"/>
              </w:rPr>
              <w:t>对</w:t>
            </w:r>
            <w:r>
              <w:rPr>
                <w:rFonts w:hint="eastAsia"/>
                <w:color w:val="000000"/>
                <w:sz w:val="24"/>
                <w:u w:val="none"/>
                <w:lang w:val="en-US" w:eastAsia="zh-CN"/>
              </w:rPr>
              <w:t>人身健康</w:t>
            </w:r>
            <w:r>
              <w:rPr>
                <w:rFonts w:hint="eastAsia"/>
                <w:color w:val="000000"/>
                <w:sz w:val="24"/>
                <w:u w:val="none"/>
              </w:rPr>
              <w:t>造成</w:t>
            </w:r>
            <w:r>
              <w:rPr>
                <w:color w:val="000000"/>
                <w:sz w:val="24"/>
                <w:u w:val="none"/>
              </w:rPr>
              <w:t>伤害</w:t>
            </w:r>
            <w:r>
              <w:rPr>
                <w:rFonts w:hint="eastAsia"/>
                <w:color w:val="000000"/>
                <w:sz w:val="24"/>
                <w:u w:val="none"/>
                <w:lang w:eastAsia="zh-CN"/>
              </w:rPr>
              <w:t>，</w:t>
            </w:r>
            <w:r>
              <w:rPr>
                <w:rFonts w:hint="eastAsia"/>
                <w:color w:val="000000"/>
                <w:sz w:val="24"/>
                <w:u w:val="none"/>
                <w:lang w:val="en-US" w:eastAsia="zh-CN"/>
              </w:rPr>
              <w:t>生产废水的泄露对地下水和土壤的污染，颗粒物废气非正常工况下或超标排放对大气环境的影响</w:t>
            </w:r>
            <w:r>
              <w:rPr>
                <w:color w:val="000000"/>
                <w:sz w:val="24"/>
                <w:u w:val="none"/>
              </w:rPr>
              <w:t>。</w:t>
            </w:r>
          </w:p>
          <w:p w14:paraId="2404F3B7">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b w:val="0"/>
                <w:bCs w:val="0"/>
                <w:color w:val="000000"/>
                <w:kern w:val="0"/>
                <w:sz w:val="24"/>
                <w:u w:val="none"/>
              </w:rPr>
            </w:pPr>
            <w:r>
              <w:rPr>
                <w:rFonts w:hint="eastAsia"/>
                <w:b w:val="0"/>
                <w:bCs w:val="0"/>
                <w:color w:val="000000"/>
                <w:kern w:val="0"/>
                <w:sz w:val="24"/>
                <w:u w:val="none"/>
              </w:rPr>
              <w:t>6.</w:t>
            </w:r>
            <w:r>
              <w:rPr>
                <w:rFonts w:hint="eastAsia"/>
                <w:b w:val="0"/>
                <w:bCs w:val="0"/>
                <w:color w:val="000000"/>
                <w:kern w:val="0"/>
                <w:sz w:val="24"/>
                <w:u w:val="none"/>
                <w:lang w:val="en-US" w:eastAsia="zh-CN"/>
              </w:rPr>
              <w:t>4</w:t>
            </w:r>
            <w:r>
              <w:rPr>
                <w:b w:val="0"/>
                <w:bCs w:val="0"/>
                <w:color w:val="000000"/>
                <w:kern w:val="0"/>
                <w:sz w:val="24"/>
                <w:u w:val="none"/>
              </w:rPr>
              <w:t>环境风险防范措施及应急要求</w:t>
            </w:r>
          </w:p>
          <w:p w14:paraId="55ED01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A-地下水</w:t>
            </w:r>
            <w:r>
              <w:rPr>
                <w:rFonts w:hint="eastAsia" w:hAnsi="宋体" w:cs="Times New Roman"/>
                <w:color w:val="auto"/>
                <w:kern w:val="2"/>
                <w:sz w:val="24"/>
                <w:szCs w:val="24"/>
                <w:lang w:val="en-US" w:eastAsia="zh-CN" w:bidi="ar-SA"/>
              </w:rPr>
              <w:t>和土壤</w:t>
            </w:r>
            <w:r>
              <w:rPr>
                <w:rFonts w:hint="eastAsia" w:ascii="Times New Roman" w:hAnsi="宋体" w:eastAsia="宋体" w:cs="Times New Roman"/>
                <w:color w:val="auto"/>
                <w:kern w:val="2"/>
                <w:sz w:val="24"/>
                <w:szCs w:val="24"/>
                <w:lang w:val="en-US" w:eastAsia="zh-CN" w:bidi="ar-SA"/>
              </w:rPr>
              <w:t>环境风险防范措施</w:t>
            </w:r>
          </w:p>
          <w:p w14:paraId="67A51D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a、本环评要求企业对</w:t>
            </w:r>
            <w:r>
              <w:rPr>
                <w:color w:val="000000"/>
                <w:sz w:val="24"/>
                <w:u w:val="none"/>
                <w:lang w:val="zh-CN"/>
              </w:rPr>
              <w:t>危废暂存间</w:t>
            </w:r>
            <w:r>
              <w:rPr>
                <w:rFonts w:hint="eastAsia"/>
                <w:color w:val="000000"/>
                <w:sz w:val="24"/>
                <w:u w:val="none"/>
                <w:lang w:val="zh-CN"/>
              </w:rPr>
              <w:t>、</w:t>
            </w:r>
            <w:r>
              <w:rPr>
                <w:rFonts w:hint="eastAsia"/>
                <w:color w:val="000000"/>
                <w:sz w:val="24"/>
                <w:u w:val="none"/>
                <w:lang w:val="en-US" w:eastAsia="zh-CN"/>
              </w:rPr>
              <w:t>项目中清水池、</w:t>
            </w:r>
            <w:r>
              <w:rPr>
                <w:rFonts w:hint="eastAsia"/>
                <w:color w:val="000000"/>
                <w:sz w:val="24"/>
                <w:highlight w:val="none"/>
                <w:u w:val="none"/>
                <w:lang w:val="en-US" w:eastAsia="zh-CN"/>
              </w:rPr>
              <w:t>污水池以及污水管线等区域</w:t>
            </w:r>
            <w:r>
              <w:rPr>
                <w:rFonts w:hint="eastAsia" w:ascii="Times New Roman" w:hAnsi="宋体" w:eastAsia="宋体" w:cs="Times New Roman"/>
                <w:color w:val="auto"/>
                <w:kern w:val="2"/>
                <w:sz w:val="24"/>
                <w:szCs w:val="24"/>
                <w:lang w:val="en-US" w:eastAsia="zh-CN" w:bidi="ar-SA"/>
              </w:rPr>
              <w:t>地面进行严格防渗，切断与土壤及地水接触途径</w:t>
            </w:r>
            <w:r>
              <w:rPr>
                <w:rFonts w:hint="eastAsia" w:hAnsi="宋体" w:cs="Times New Roman"/>
                <w:color w:val="auto"/>
                <w:kern w:val="2"/>
                <w:sz w:val="24"/>
                <w:szCs w:val="24"/>
                <w:lang w:val="en-US" w:eastAsia="zh-CN" w:bidi="ar-SA"/>
              </w:rPr>
              <w:t>，絮凝剂和润滑油</w:t>
            </w:r>
            <w:r>
              <w:rPr>
                <w:rFonts w:hint="eastAsia" w:ascii="Times New Roman" w:hAnsi="宋体" w:cs="Times New Roman"/>
                <w:color w:val="auto"/>
                <w:sz w:val="24"/>
                <w:lang w:eastAsia="zh-CN"/>
              </w:rPr>
              <w:t>储存于</w:t>
            </w:r>
            <w:r>
              <w:rPr>
                <w:rFonts w:hint="eastAsia" w:ascii="Times New Roman" w:hAnsi="宋体" w:cs="Times New Roman"/>
                <w:color w:val="auto"/>
                <w:sz w:val="24"/>
                <w:lang w:val="en-US" w:eastAsia="zh-CN"/>
              </w:rPr>
              <w:t>原辅料仓库</w:t>
            </w:r>
            <w:r>
              <w:rPr>
                <w:rFonts w:hint="eastAsia" w:ascii="Times New Roman" w:hAnsi="宋体" w:cs="Times New Roman"/>
                <w:color w:val="auto"/>
                <w:sz w:val="24"/>
                <w:lang w:eastAsia="zh-CN"/>
              </w:rPr>
              <w:t>内，储存单元设置围堰，以保证液体材料</w:t>
            </w:r>
            <w:r>
              <w:rPr>
                <w:rFonts w:hint="eastAsia" w:ascii="Times New Roman" w:hAnsi="宋体" w:cs="Times New Roman"/>
                <w:color w:val="auto"/>
                <w:sz w:val="24"/>
                <w:lang w:val="en-US" w:eastAsia="zh-CN"/>
              </w:rPr>
              <w:t>和絮凝剂颗粒</w:t>
            </w:r>
            <w:r>
              <w:rPr>
                <w:rFonts w:hint="eastAsia" w:ascii="Times New Roman" w:hAnsi="宋体" w:cs="Times New Roman"/>
                <w:color w:val="auto"/>
                <w:sz w:val="24"/>
                <w:lang w:eastAsia="zh-CN"/>
              </w:rPr>
              <w:t>不</w:t>
            </w:r>
            <w:r>
              <w:rPr>
                <w:rFonts w:hint="eastAsia" w:hAnsi="宋体" w:cs="Times New Roman"/>
                <w:color w:val="auto"/>
                <w:sz w:val="24"/>
                <w:lang w:val="en-US" w:eastAsia="zh-CN"/>
              </w:rPr>
              <w:t>能</w:t>
            </w:r>
            <w:r>
              <w:rPr>
                <w:rFonts w:hint="eastAsia" w:ascii="Times New Roman" w:hAnsi="宋体" w:cs="Times New Roman"/>
                <w:color w:val="auto"/>
                <w:sz w:val="24"/>
                <w:lang w:eastAsia="zh-CN"/>
              </w:rPr>
              <w:t>直接排出，危废为固体</w:t>
            </w:r>
            <w:r>
              <w:rPr>
                <w:rFonts w:hint="eastAsia" w:hAnsi="宋体" w:cs="Times New Roman"/>
                <w:color w:val="auto"/>
                <w:sz w:val="24"/>
                <w:lang w:val="en-US" w:eastAsia="zh-CN"/>
              </w:rPr>
              <w:t>和液态</w:t>
            </w:r>
            <w:r>
              <w:rPr>
                <w:rFonts w:hint="eastAsia" w:ascii="Times New Roman" w:hAnsi="宋体" w:cs="Times New Roman"/>
                <w:color w:val="auto"/>
                <w:sz w:val="24"/>
                <w:lang w:eastAsia="zh-CN"/>
              </w:rPr>
              <w:t>，且</w:t>
            </w:r>
            <w:r>
              <w:rPr>
                <w:rFonts w:hint="eastAsia" w:ascii="Times New Roman" w:hAnsi="宋体" w:cs="Times New Roman"/>
                <w:color w:val="auto"/>
                <w:sz w:val="24"/>
                <w:lang w:val="en-US" w:eastAsia="zh-CN"/>
              </w:rPr>
              <w:t>危废间</w:t>
            </w:r>
            <w:r>
              <w:rPr>
                <w:rFonts w:hint="eastAsia" w:ascii="Times New Roman" w:hAnsi="宋体" w:cs="Times New Roman"/>
                <w:color w:val="auto"/>
                <w:sz w:val="24"/>
                <w:lang w:eastAsia="zh-CN"/>
              </w:rPr>
              <w:t>储存单元设置围堰，要求地面进行严格防渗，确保物料不随处遗撒。通过对项目物质及生产系统危险性的分析，项目可能发生的环境风险类型为危险物质泄漏引发的污染物排放，</w:t>
            </w:r>
            <w:r>
              <w:rPr>
                <w:rFonts w:hint="eastAsia" w:ascii="Times New Roman" w:hAnsi="宋体" w:eastAsia="宋体" w:cs="Times New Roman"/>
                <w:color w:val="auto"/>
                <w:kern w:val="2"/>
                <w:sz w:val="24"/>
                <w:szCs w:val="24"/>
                <w:lang w:val="en-US" w:eastAsia="zh-CN" w:bidi="ar-SA"/>
              </w:rPr>
              <w:t>要求围堰内有效容积必须大于危险品的最大储存量。保证满足相关安全设计规范，具有耐腐蚀性，保证泄漏物料不发生溢出情况。</w:t>
            </w:r>
          </w:p>
          <w:p w14:paraId="39F391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b、加强设备的维护和巡视，及时发现和处理跑冒滴漏的情况。</w:t>
            </w:r>
          </w:p>
          <w:p w14:paraId="74FC57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c、发现地面破裂及时进行处理和维护</w:t>
            </w:r>
            <w:r>
              <w:rPr>
                <w:rFonts w:hint="eastAsia" w:hAnsi="宋体" w:cs="Times New Roman"/>
                <w:color w:val="auto"/>
                <w:kern w:val="2"/>
                <w:sz w:val="24"/>
                <w:szCs w:val="24"/>
                <w:lang w:val="en-US" w:eastAsia="zh-CN" w:bidi="ar-SA"/>
              </w:rPr>
              <w:t>，并且上报进行维修处理</w:t>
            </w:r>
            <w:r>
              <w:rPr>
                <w:rFonts w:hint="eastAsia" w:ascii="Times New Roman" w:hAnsi="宋体" w:eastAsia="宋体" w:cs="Times New Roman"/>
                <w:color w:val="auto"/>
                <w:kern w:val="2"/>
                <w:sz w:val="24"/>
                <w:szCs w:val="24"/>
                <w:lang w:val="en-US" w:eastAsia="zh-CN" w:bidi="ar-SA"/>
              </w:rPr>
              <w:t>。</w:t>
            </w:r>
          </w:p>
          <w:p w14:paraId="3FFB79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B-大气事故风险防范措施</w:t>
            </w:r>
          </w:p>
          <w:p w14:paraId="511814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①加强对厂区原料储存过程的管理，规范操作和使用规范，降低事故发生概率；危废暂存间禁火，避免阳光直射、暴晒，远离热源、电源和火源，库房建筑及各种设备均应符合《建筑设计防火规范》中的规定。按化学品不同类别、性质、危险程度、灭火方法等分区分类贮存，并附上明显标示。</w:t>
            </w:r>
          </w:p>
          <w:p w14:paraId="4F82F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②设置管理台账，入库时应检验物品质量、数量、包装等情况；入库后采取适当的防护措施，定期检查，并建立严格的入库管理制度；</w:t>
            </w:r>
          </w:p>
          <w:p w14:paraId="3E1230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③设置原料的购置要求，采购的原辅材料品质必须符合技术安全和材质证明所规定的各项要求；要求供应商提供危险化学品安全技术说明书；</w:t>
            </w:r>
          </w:p>
          <w:p w14:paraId="51890E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④厂区原辅料储存区应做好防渗漏措施，并设置围堰，则发生泄漏时可以收集在围堰内并收集处理；</w:t>
            </w:r>
          </w:p>
          <w:p w14:paraId="5F8B37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⑤配备必要的火灾应急救援器材、设备，对消防措施定期检查。若发生火灾，迅速转移人员，并用一切可能的消防器材全力灭火，及时拨打火灾报警电话。严禁火源进入润滑油存放区，对明火严格控制，明火发生源为火柴、打火机等，维修用火控制，对设备维修检查，需进行维修焊接，应经安全部门确认、准许，并有记录在案。</w:t>
            </w:r>
          </w:p>
          <w:p w14:paraId="4E3452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另外如果废气处理设施发生故障的，会造成工艺废气直排入环境中，造成大气污染。一旦造成废气事故排放时，就可能对车间的工人、周围居民、其他厂工人、大气环境产生影响。建设单位必须严加管理，杜绝事故排放的事故发生。建设单位应认真做好设备的保养，定期维护、保修工作，使处理设施达到预期效果。为确保不发生事故性废气排放，建议建设单位采取一定的事故性防范保护措施：</w:t>
            </w:r>
          </w:p>
          <w:p w14:paraId="160ECD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①生产车间应做到相对</w:t>
            </w:r>
            <w:r>
              <w:rPr>
                <w:rFonts w:hint="eastAsia" w:hAnsi="宋体" w:cs="Times New Roman"/>
                <w:color w:val="auto"/>
                <w:kern w:val="2"/>
                <w:sz w:val="24"/>
                <w:szCs w:val="24"/>
                <w:lang w:val="en-US" w:eastAsia="zh-CN" w:bidi="ar-SA"/>
              </w:rPr>
              <w:t>封闭</w:t>
            </w:r>
            <w:r>
              <w:rPr>
                <w:rFonts w:hint="eastAsia" w:ascii="Times New Roman" w:hAnsi="宋体" w:eastAsia="宋体" w:cs="Times New Roman"/>
                <w:color w:val="auto"/>
                <w:kern w:val="2"/>
                <w:sz w:val="24"/>
                <w:szCs w:val="24"/>
                <w:lang w:val="en-US" w:eastAsia="zh-CN" w:bidi="ar-SA"/>
              </w:rPr>
              <w:t>状态，加强对各生产设备的维修及保养，设置设备管理人员，提高管理人员素质，并设置生产车间事故应急措施及管理制度，确保设备长期处于良好状态。日常环保工作中加大废气处理的力度和加强环保设施管理工作，按时对废气处理装置进行维护保养，定时更换袋式除尘器滤袋等，保证废气处理设施能有效运转。严禁出现风机失效、废气未收集无组织排放的工况。加强有机废气处理装置的运行管理，一旦出现事故性排放应及时停止生产操作，待修复后再进行生产；</w:t>
            </w:r>
          </w:p>
          <w:p w14:paraId="70462C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②现场作业人员定时记录废气处理状况，如对废气处理设施的抽风机等设备进行点检工作，并派专人巡视，遇不良工作状况立即停止生产，维修正常后再开始作业，杜绝事故性废气直排，并及时</w:t>
            </w:r>
            <w:r>
              <w:rPr>
                <w:rFonts w:hint="eastAsia" w:hAnsi="宋体" w:cs="Times New Roman"/>
                <w:color w:val="auto"/>
                <w:kern w:val="2"/>
                <w:sz w:val="24"/>
                <w:szCs w:val="24"/>
                <w:lang w:val="en-US" w:eastAsia="zh-CN" w:bidi="ar-SA"/>
              </w:rPr>
              <w:t>上报</w:t>
            </w:r>
            <w:r>
              <w:rPr>
                <w:rFonts w:hint="eastAsia" w:ascii="Times New Roman" w:hAnsi="宋体" w:eastAsia="宋体" w:cs="Times New Roman"/>
                <w:color w:val="auto"/>
                <w:kern w:val="2"/>
                <w:sz w:val="24"/>
                <w:szCs w:val="24"/>
                <w:lang w:val="en-US" w:eastAsia="zh-CN" w:bidi="ar-SA"/>
              </w:rPr>
              <w:t>单位</w:t>
            </w:r>
            <w:r>
              <w:rPr>
                <w:rFonts w:hint="eastAsia" w:hAnsi="宋体" w:cs="Times New Roman"/>
                <w:color w:val="auto"/>
                <w:kern w:val="2"/>
                <w:sz w:val="24"/>
                <w:szCs w:val="24"/>
                <w:lang w:val="en-US" w:eastAsia="zh-CN" w:bidi="ar-SA"/>
              </w:rPr>
              <w:t>。</w:t>
            </w:r>
          </w:p>
          <w:p w14:paraId="528083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cs="Times New Roman"/>
                <w:b w:val="0"/>
                <w:bCs w:val="0"/>
                <w:color w:val="auto"/>
                <w:sz w:val="24"/>
              </w:rPr>
            </w:pPr>
            <w:r>
              <w:rPr>
                <w:rFonts w:hint="eastAsia" w:hAnsi="宋体" w:cs="Times New Roman"/>
                <w:color w:val="auto"/>
                <w:sz w:val="24"/>
                <w:lang w:val="en-US" w:eastAsia="zh-CN"/>
              </w:rPr>
              <w:t>6.5</w:t>
            </w:r>
            <w:r>
              <w:rPr>
                <w:rFonts w:hint="default" w:ascii="Times New Roman" w:hAnsi="宋体" w:cs="Times New Roman"/>
                <w:b w:val="0"/>
                <w:bCs w:val="0"/>
                <w:color w:val="auto"/>
                <w:sz w:val="24"/>
              </w:rPr>
              <w:t>环境风险评价结论</w:t>
            </w:r>
          </w:p>
          <w:p w14:paraId="5C39F09E">
            <w:pPr>
              <w:keepNext w:val="0"/>
              <w:keepLines w:val="0"/>
              <w:pageBreakBefore w:val="0"/>
              <w:widowControl w:val="0"/>
              <w:kinsoku/>
              <w:wordWrap/>
              <w:overflowPunct/>
              <w:topLinePunct w:val="0"/>
              <w:bidi w:val="0"/>
              <w:spacing w:line="500" w:lineRule="exact"/>
              <w:ind w:firstLine="480" w:firstLineChars="200"/>
              <w:textAlignment w:val="auto"/>
              <w:rPr>
                <w:color w:val="000000"/>
                <w:sz w:val="24"/>
                <w:u w:val="none"/>
              </w:rPr>
            </w:pPr>
            <w:r>
              <w:rPr>
                <w:rFonts w:hint="default" w:ascii="Times New Roman" w:hAnsi="宋体" w:cs="Times New Roman"/>
                <w:color w:val="auto"/>
                <w:sz w:val="24"/>
              </w:rPr>
              <w:t>在采取加强管理和本环评报告建议的各类有针对性的措施的前提下，该项目采取的风险防范措施可有效避免风险事故对周围环境产生不利影响，则该项目环境风险度在可接受范围内</w:t>
            </w:r>
            <w:r>
              <w:rPr>
                <w:rFonts w:hint="default" w:ascii="Times New Roman" w:hAnsi="宋体" w:cs="Times New Roman"/>
                <w:color w:val="auto"/>
                <w:spacing w:val="8"/>
                <w:sz w:val="24"/>
              </w:rPr>
              <w:t>。</w:t>
            </w:r>
          </w:p>
          <w:p w14:paraId="3AD8FB20">
            <w:pPr>
              <w:keepNext w:val="0"/>
              <w:keepLines w:val="0"/>
              <w:pageBreakBefore w:val="0"/>
              <w:widowControl w:val="0"/>
              <w:kinsoku/>
              <w:wordWrap/>
              <w:overflowPunct/>
              <w:topLinePunct w:val="0"/>
              <w:bidi w:val="0"/>
              <w:spacing w:line="500" w:lineRule="exact"/>
              <w:ind w:firstLine="482" w:firstLineChars="200"/>
              <w:textAlignment w:val="auto"/>
              <w:rPr>
                <w:b/>
                <w:sz w:val="24"/>
                <w:szCs w:val="24"/>
                <w:u w:val="none"/>
              </w:rPr>
            </w:pPr>
            <w:r>
              <w:rPr>
                <w:rFonts w:hint="eastAsia"/>
                <w:b/>
                <w:sz w:val="24"/>
                <w:szCs w:val="24"/>
                <w:highlight w:val="none"/>
                <w:u w:val="none"/>
                <w:lang w:val="en-US" w:eastAsia="zh-CN"/>
              </w:rPr>
              <w:t>7</w:t>
            </w:r>
            <w:r>
              <w:rPr>
                <w:b/>
                <w:sz w:val="24"/>
                <w:szCs w:val="24"/>
                <w:highlight w:val="none"/>
                <w:u w:val="none"/>
              </w:rPr>
              <w:t>、</w:t>
            </w:r>
            <w:r>
              <w:rPr>
                <w:b/>
                <w:sz w:val="24"/>
                <w:szCs w:val="24"/>
                <w:u w:val="none"/>
              </w:rPr>
              <w:t>环境管理与环境监测</w:t>
            </w:r>
          </w:p>
          <w:p w14:paraId="08DEE283">
            <w:pPr>
              <w:keepNext w:val="0"/>
              <w:keepLines w:val="0"/>
              <w:pageBreakBefore w:val="0"/>
              <w:widowControl w:val="0"/>
              <w:kinsoku/>
              <w:wordWrap/>
              <w:overflowPunct/>
              <w:topLinePunct w:val="0"/>
              <w:bidi w:val="0"/>
              <w:spacing w:line="500" w:lineRule="exact"/>
              <w:ind w:firstLine="480" w:firstLineChars="200"/>
              <w:textAlignment w:val="auto"/>
              <w:rPr>
                <w:rFonts w:hint="eastAsia" w:ascii="Times New Roman" w:hAnsi="Times New Roman" w:eastAsia="宋体" w:cs="Times New Roman"/>
                <w:sz w:val="24"/>
                <w:szCs w:val="24"/>
                <w:u w:val="none"/>
              </w:rPr>
            </w:pPr>
            <w:r>
              <w:rPr>
                <w:rFonts w:hint="eastAsia" w:cs="Times New Roman"/>
                <w:sz w:val="24"/>
                <w:szCs w:val="24"/>
                <w:u w:val="none"/>
                <w:lang w:val="en-US" w:eastAsia="zh-CN"/>
              </w:rPr>
              <w:t>7</w:t>
            </w:r>
            <w:r>
              <w:rPr>
                <w:rFonts w:hint="eastAsia" w:ascii="Times New Roman" w:hAnsi="Times New Roman" w:eastAsia="宋体" w:cs="Times New Roman"/>
                <w:sz w:val="24"/>
                <w:szCs w:val="24"/>
                <w:u w:val="none"/>
              </w:rPr>
              <w:t>.1环境管理</w:t>
            </w:r>
          </w:p>
          <w:p w14:paraId="08C8CC1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500" w:lineRule="exact"/>
              <w:ind w:left="0" w:right="0" w:firstLine="480" w:firstLineChars="200"/>
              <w:textAlignment w:val="auto"/>
              <w:rPr>
                <w:rFonts w:hint="eastAsia"/>
                <w:bCs/>
                <w:color w:val="auto"/>
                <w:sz w:val="24"/>
                <w:lang w:val="zh-CN"/>
              </w:rPr>
            </w:pPr>
            <w:r>
              <w:rPr>
                <w:rFonts w:hint="eastAsia"/>
                <w:bCs/>
                <w:color w:val="auto"/>
                <w:sz w:val="24"/>
                <w:lang w:val="zh-CN"/>
              </w:rPr>
              <w:t>加强环境管理是保证污染源稳定达标排放和污染治理设施正常运转的必要手段，建设单位环境管理直接关系到区域环境质量状况。因此，建设单位必须加强环境管理工作，实行对环境污染的有效控制与管理。</w:t>
            </w:r>
          </w:p>
          <w:p w14:paraId="56882A6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500" w:lineRule="exact"/>
              <w:ind w:left="0" w:right="0" w:firstLine="480" w:firstLineChars="200"/>
              <w:textAlignment w:val="auto"/>
              <w:rPr>
                <w:rFonts w:hint="default"/>
                <w:color w:val="auto"/>
                <w:sz w:val="24"/>
                <w:lang w:val="zh-CN"/>
              </w:rPr>
            </w:pPr>
            <w:r>
              <w:rPr>
                <w:rFonts w:hint="eastAsia" w:ascii="宋体" w:hAnsi="宋体" w:cs="宋体"/>
                <w:color w:val="auto"/>
                <w:sz w:val="24"/>
              </w:rPr>
              <w:t>①</w:t>
            </w:r>
            <w:r>
              <w:rPr>
                <w:rFonts w:hint="eastAsia"/>
                <w:color w:val="auto"/>
                <w:sz w:val="24"/>
                <w:lang w:val="zh-CN"/>
              </w:rPr>
              <w:t>认真落实“</w:t>
            </w:r>
            <w:r>
              <w:rPr>
                <w:rFonts w:hint="default"/>
                <w:color w:val="auto"/>
                <w:sz w:val="24"/>
                <w:lang w:val="zh-CN"/>
              </w:rPr>
              <w:t>三同时</w:t>
            </w:r>
            <w:r>
              <w:rPr>
                <w:rFonts w:hint="eastAsia"/>
                <w:color w:val="auto"/>
                <w:sz w:val="24"/>
                <w:lang w:val="zh-CN"/>
              </w:rPr>
              <w:t>”制度</w:t>
            </w:r>
            <w:r>
              <w:rPr>
                <w:rFonts w:hint="default"/>
                <w:color w:val="auto"/>
                <w:sz w:val="24"/>
                <w:lang w:val="zh-CN"/>
              </w:rPr>
              <w:t>，各项环境治理设施须与主体工程同时设计，同时施工、同时投入使用；</w:t>
            </w:r>
          </w:p>
          <w:p w14:paraId="2C841C4F">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default"/>
                <w:color w:val="auto"/>
                <w:sz w:val="24"/>
              </w:rPr>
            </w:pPr>
            <w:r>
              <w:rPr>
                <w:rFonts w:hint="eastAsia"/>
                <w:color w:val="auto"/>
                <w:sz w:val="24"/>
              </w:rPr>
              <w:t>②应建立环保设施定期检查制度和污染治理措施岗位责任制，实行污染治理岗位运行记录制度，以确保污染治理设施稳定高效运行。当污染治理设施发生故障时，应及时组织抢修，并根据实际情况采取措施，防止污染事故的发生。</w:t>
            </w:r>
          </w:p>
          <w:p w14:paraId="3C83D3B7">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color w:val="auto"/>
                <w:sz w:val="24"/>
              </w:rPr>
            </w:pPr>
            <w:r>
              <w:rPr>
                <w:rFonts w:hint="default" w:hAnsi="宋体"/>
                <w:color w:val="auto"/>
                <w:sz w:val="24"/>
              </w:rPr>
              <w:t>③</w:t>
            </w:r>
            <w:r>
              <w:rPr>
                <w:rFonts w:hint="default"/>
                <w:color w:val="auto"/>
                <w:sz w:val="24"/>
              </w:rPr>
              <w:t>生产过程环境管理</w:t>
            </w:r>
            <w:r>
              <w:rPr>
                <w:rFonts w:hint="eastAsia"/>
                <w:color w:val="auto"/>
                <w:sz w:val="24"/>
              </w:rPr>
              <w:t>：</w:t>
            </w:r>
            <w:r>
              <w:rPr>
                <w:rFonts w:hint="default"/>
                <w:color w:val="auto"/>
                <w:sz w:val="24"/>
              </w:rPr>
              <w:t>项目投产后，建设方</w:t>
            </w:r>
            <w:r>
              <w:rPr>
                <w:rFonts w:hint="eastAsia"/>
                <w:color w:val="auto"/>
                <w:sz w:val="24"/>
              </w:rPr>
              <w:t>应</w:t>
            </w:r>
            <w:r>
              <w:rPr>
                <w:rFonts w:hint="default"/>
                <w:color w:val="auto"/>
                <w:sz w:val="24"/>
              </w:rPr>
              <w:t>加强对生产过程的全程监管与控制，不断改进和完善生产工艺，降低能耗及物耗</w:t>
            </w:r>
            <w:r>
              <w:rPr>
                <w:rFonts w:hint="eastAsia"/>
                <w:color w:val="auto"/>
                <w:sz w:val="24"/>
              </w:rPr>
              <w:t>，</w:t>
            </w:r>
            <w:r>
              <w:rPr>
                <w:rFonts w:hint="default"/>
                <w:color w:val="auto"/>
                <w:sz w:val="24"/>
              </w:rPr>
              <w:t>努力降低残次品率，力争达到“节能、减排、降耗、增效”的清洁生产指标要求。</w:t>
            </w:r>
          </w:p>
          <w:p w14:paraId="12BB1ACF">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color w:val="auto"/>
                <w:sz w:val="24"/>
              </w:rPr>
            </w:pPr>
            <w:r>
              <w:rPr>
                <w:rFonts w:hint="eastAsia"/>
                <w:color w:val="auto"/>
                <w:sz w:val="24"/>
              </w:rPr>
              <w:t>④</w:t>
            </w:r>
            <w:r>
              <w:rPr>
                <w:rFonts w:hint="default"/>
                <w:color w:val="auto"/>
                <w:sz w:val="24"/>
              </w:rPr>
              <w:t>企业应建立台账，记录废气收集处理系统的主要运行和维护信息，如运行时间、废气处理量、操作温度、</w:t>
            </w:r>
            <w:r>
              <w:rPr>
                <w:rFonts w:hint="eastAsia"/>
                <w:color w:val="auto"/>
                <w:sz w:val="24"/>
                <w:lang w:val="en-US" w:eastAsia="zh-CN"/>
              </w:rPr>
              <w:t>滤袋</w:t>
            </w:r>
            <w:r>
              <w:rPr>
                <w:rFonts w:hint="default"/>
                <w:color w:val="auto"/>
                <w:sz w:val="24"/>
              </w:rPr>
              <w:t>更换周期和更换量等关键运行参数。台账保存期限不少于</w:t>
            </w:r>
            <w:r>
              <w:rPr>
                <w:rFonts w:hint="eastAsia"/>
                <w:color w:val="auto"/>
                <w:sz w:val="24"/>
                <w:lang w:val="en-US" w:eastAsia="zh-CN"/>
              </w:rPr>
              <w:t>5</w:t>
            </w:r>
            <w:r>
              <w:rPr>
                <w:rFonts w:hint="default"/>
                <w:color w:val="auto"/>
                <w:sz w:val="24"/>
              </w:rPr>
              <w:t>年</w:t>
            </w:r>
            <w:r>
              <w:rPr>
                <w:rFonts w:hint="eastAsia"/>
                <w:color w:val="auto"/>
                <w:sz w:val="24"/>
              </w:rPr>
              <w:t>。</w:t>
            </w:r>
          </w:p>
          <w:p w14:paraId="1CF4D59F">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20" w:firstLineChars="200"/>
              <w:textAlignment w:val="auto"/>
              <w:rPr>
                <w:rFonts w:hint="default" w:ascii="Times New Roman" w:hAnsi="Times New Roman" w:eastAsia="宋体" w:cs="Times New Roman"/>
                <w:b w:val="0"/>
                <w:bCs w:val="0"/>
                <w:color w:val="auto"/>
                <w:sz w:val="24"/>
                <w:u w:val="none"/>
              </w:rPr>
            </w:pPr>
            <w:r>
              <w:rPr>
                <w:rFonts w:hint="eastAsia"/>
                <w:b w:val="0"/>
                <w:bCs w:val="0"/>
                <w:color w:val="auto"/>
                <w:u w:val="none"/>
              </w:rPr>
              <w:fldChar w:fldCharType="begin"/>
            </w:r>
            <w:r>
              <w:rPr>
                <w:rFonts w:hint="eastAsia"/>
                <w:b w:val="0"/>
                <w:bCs w:val="0"/>
                <w:color w:val="auto"/>
                <w:u w:val="none"/>
              </w:rPr>
              <w:instrText xml:space="preserve"> = 5 \* GB3 \* MERGEFORMAT </w:instrText>
            </w:r>
            <w:r>
              <w:rPr>
                <w:rFonts w:hint="eastAsia"/>
                <w:b w:val="0"/>
                <w:bCs w:val="0"/>
                <w:color w:val="auto"/>
                <w:u w:val="none"/>
              </w:rPr>
              <w:fldChar w:fldCharType="separate"/>
            </w:r>
            <w:r>
              <w:rPr>
                <w:rFonts w:hint="default"/>
                <w:b w:val="0"/>
                <w:bCs w:val="0"/>
                <w:color w:val="auto"/>
                <w:u w:val="none"/>
              </w:rPr>
              <w:t>⑤</w:t>
            </w:r>
            <w:r>
              <w:rPr>
                <w:rFonts w:hint="eastAsia"/>
                <w:b w:val="0"/>
                <w:bCs w:val="0"/>
                <w:color w:val="auto"/>
                <w:u w:val="none"/>
              </w:rPr>
              <w:fldChar w:fldCharType="end"/>
            </w:r>
            <w:r>
              <w:rPr>
                <w:rFonts w:hint="eastAsia" w:ascii="Times New Roman" w:hAnsi="Times New Roman" w:eastAsia="宋体" w:cs="Times New Roman"/>
                <w:b w:val="0"/>
                <w:bCs w:val="0"/>
                <w:color w:val="auto"/>
                <w:sz w:val="24"/>
                <w:u w:val="none"/>
                <w:lang w:val="en-US" w:eastAsia="zh-CN"/>
              </w:rPr>
              <w:t>清洁生产审核制度</w:t>
            </w:r>
          </w:p>
          <w:p w14:paraId="09B16E4D">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b w:val="0"/>
                <w:bCs w:val="0"/>
                <w:color w:val="auto"/>
                <w:sz w:val="24"/>
                <w:u w:val="none"/>
                <w:lang w:val="en-US" w:eastAsia="zh-CN"/>
              </w:rPr>
              <w:t>根据节能减排要求，本项目要建立清洁生产审核计划，体现“以防为主”的方针，实现环境效益和经济效益的统一。主要内容为：①核对有关生产单元操作、原材料、用水、能耗、产品和废物产生等资料；②确定废物的来源、数量及类型，确定废物削减的目标，制定有效消减废物产生的对策。通过清洁生产审核，对本项目污染来源、废物产生原因及其整体解决方案的系统分析，寻找尽可能高效率地利用资源（原辅料、水、能源等），减少或消除废物产生和排放的方法，达到</w:t>
            </w:r>
            <w:r>
              <w:rPr>
                <w:rFonts w:hint="eastAsia" w:ascii="Times New Roman" w:hAnsi="Times New Roman" w:eastAsia="宋体" w:cs="Times New Roman"/>
                <w:color w:val="auto"/>
                <w:sz w:val="24"/>
                <w:szCs w:val="24"/>
                <w:lang w:val="en-US" w:eastAsia="zh-CN"/>
              </w:rPr>
              <w:t>提高生产效率、合理利用资源、降低污染的目的。</w:t>
            </w:r>
          </w:p>
          <w:p w14:paraId="5A702A21">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color w:val="auto"/>
                <w:sz w:val="24"/>
                <w:highlight w:val="none"/>
              </w:rPr>
            </w:pPr>
            <w:r>
              <w:rPr>
                <w:rFonts w:hint="eastAsia"/>
                <w:color w:val="auto"/>
                <w:sz w:val="24"/>
                <w:highlight w:val="none"/>
                <w:lang w:val="en-US" w:eastAsia="zh-CN"/>
              </w:rPr>
              <w:t>7.2</w:t>
            </w:r>
            <w:r>
              <w:rPr>
                <w:rFonts w:hint="eastAsia"/>
                <w:color w:val="auto"/>
                <w:sz w:val="24"/>
                <w:highlight w:val="none"/>
              </w:rPr>
              <w:t>环境监测</w:t>
            </w:r>
          </w:p>
          <w:p w14:paraId="0AF6050D">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default"/>
                <w:color w:val="auto"/>
                <w:sz w:val="24"/>
                <w:szCs w:val="24"/>
              </w:rPr>
            </w:pPr>
            <w:r>
              <w:rPr>
                <w:rFonts w:hint="default"/>
                <w:color w:val="auto"/>
                <w:sz w:val="24"/>
                <w:szCs w:val="24"/>
              </w:rPr>
              <w:t>环境监测是工业污染防治的依据和环境管理的基础，加强污染监控工作是了解和掌握企业排污特征，实施</w:t>
            </w:r>
            <w:r>
              <w:rPr>
                <w:rFonts w:hint="eastAsia"/>
                <w:color w:val="auto"/>
                <w:sz w:val="24"/>
                <w:szCs w:val="24"/>
              </w:rPr>
              <w:t>“</w:t>
            </w:r>
            <w:r>
              <w:rPr>
                <w:rFonts w:hint="default"/>
                <w:color w:val="auto"/>
                <w:sz w:val="24"/>
                <w:szCs w:val="24"/>
              </w:rPr>
              <w:t>生产全过程污染控制</w:t>
            </w:r>
            <w:r>
              <w:rPr>
                <w:rFonts w:hint="eastAsia"/>
                <w:color w:val="auto"/>
                <w:sz w:val="24"/>
                <w:szCs w:val="24"/>
              </w:rPr>
              <w:t>”</w:t>
            </w:r>
            <w:r>
              <w:rPr>
                <w:rFonts w:hint="default"/>
                <w:color w:val="auto"/>
                <w:sz w:val="24"/>
                <w:szCs w:val="24"/>
              </w:rPr>
              <w:t>的重要措施，是为环境管理提供科学依据的基础性工作，是执行环保法规、评价环境质量、判断环保治理措施运行效果的重要手段。</w:t>
            </w:r>
          </w:p>
          <w:p w14:paraId="680A1363">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color w:val="auto"/>
                <w:sz w:val="24"/>
                <w:szCs w:val="24"/>
              </w:rPr>
            </w:pPr>
            <w:r>
              <w:rPr>
                <w:rFonts w:hint="default"/>
                <w:color w:val="auto"/>
                <w:sz w:val="24"/>
                <w:szCs w:val="24"/>
              </w:rPr>
              <w:t>本项目</w:t>
            </w:r>
            <w:r>
              <w:rPr>
                <w:rFonts w:hint="eastAsia"/>
                <w:color w:val="auto"/>
                <w:sz w:val="24"/>
                <w:szCs w:val="24"/>
              </w:rPr>
              <w:t>营运</w:t>
            </w:r>
            <w:r>
              <w:rPr>
                <w:rFonts w:hint="default"/>
                <w:color w:val="auto"/>
                <w:sz w:val="24"/>
                <w:szCs w:val="24"/>
              </w:rPr>
              <w:t>过程中，应对厂区及其周围环境（空气、噪声等）进行定期监测，以便及时了解本项目对周围环境的污染状况，掌握其变化规律，为环境管理控制污染和保护环境提供依据。</w:t>
            </w:r>
          </w:p>
          <w:p w14:paraId="00F74B49">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color w:val="auto"/>
                <w:sz w:val="24"/>
                <w:szCs w:val="24"/>
              </w:rPr>
            </w:pPr>
            <w:r>
              <w:rPr>
                <w:rFonts w:hint="default"/>
                <w:color w:val="auto"/>
                <w:sz w:val="24"/>
                <w:szCs w:val="24"/>
              </w:rPr>
              <w:t>根据本项目实际情况，评价建议</w:t>
            </w:r>
            <w:r>
              <w:rPr>
                <w:rFonts w:hint="eastAsia"/>
                <w:color w:val="auto"/>
                <w:sz w:val="24"/>
                <w:szCs w:val="24"/>
              </w:rPr>
              <w:t>建设方委托有资质的第三方监测机构对项目营运期间的污染物排放情况进行定期监测，具体的监测计划见下表：</w:t>
            </w:r>
          </w:p>
          <w:p w14:paraId="638E5922">
            <w:pPr>
              <w:keepNext w:val="0"/>
              <w:keepLines w:val="0"/>
              <w:pageBreakBefore w:val="0"/>
              <w:widowControl w:val="0"/>
              <w:kinsoku/>
              <w:wordWrap/>
              <w:overflowPunct/>
              <w:topLinePunct w:val="0"/>
              <w:autoSpaceDE w:val="0"/>
              <w:autoSpaceDN w:val="0"/>
              <w:bidi w:val="0"/>
              <w:adjustRightInd w:val="0"/>
              <w:snapToGrid w:val="0"/>
              <w:spacing w:line="500" w:lineRule="exact"/>
              <w:jc w:val="center"/>
              <w:textAlignment w:val="auto"/>
              <w:rPr>
                <w:rFonts w:eastAsia="黑体"/>
                <w:bCs/>
                <w:color w:val="000000"/>
                <w:sz w:val="24"/>
                <w:highlight w:val="none"/>
                <w:u w:val="none"/>
              </w:rPr>
            </w:pPr>
            <w:r>
              <w:rPr>
                <w:rFonts w:eastAsia="黑体"/>
                <w:bCs/>
                <w:color w:val="000000"/>
                <w:sz w:val="24"/>
                <w:highlight w:val="none"/>
                <w:u w:val="none"/>
              </w:rPr>
              <w:t>表</w:t>
            </w:r>
            <w:r>
              <w:rPr>
                <w:rFonts w:hint="eastAsia" w:eastAsia="黑体"/>
                <w:bCs/>
                <w:color w:val="000000"/>
                <w:sz w:val="24"/>
                <w:highlight w:val="none"/>
                <w:u w:val="none"/>
                <w:lang w:val="en-US" w:eastAsia="zh-CN"/>
              </w:rPr>
              <w:t>4-24</w:t>
            </w:r>
            <w:r>
              <w:rPr>
                <w:rFonts w:hint="eastAsia" w:eastAsia="黑体"/>
                <w:bCs/>
                <w:color w:val="000000"/>
                <w:sz w:val="24"/>
                <w:highlight w:val="none"/>
                <w:u w:val="none"/>
              </w:rPr>
              <w:t xml:space="preserve"> 项目</w:t>
            </w:r>
            <w:r>
              <w:rPr>
                <w:rFonts w:eastAsia="黑体"/>
                <w:bCs/>
                <w:color w:val="000000"/>
                <w:sz w:val="24"/>
                <w:highlight w:val="none"/>
                <w:u w:val="none"/>
              </w:rPr>
              <w:t>运营期环境监测计划表</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Layout w:type="fixed"/>
              <w:tblCellMar>
                <w:top w:w="0" w:type="dxa"/>
                <w:left w:w="108" w:type="dxa"/>
                <w:bottom w:w="0" w:type="dxa"/>
                <w:right w:w="108" w:type="dxa"/>
              </w:tblCellMar>
            </w:tblPr>
            <w:tblGrid>
              <w:gridCol w:w="771"/>
              <w:gridCol w:w="873"/>
              <w:gridCol w:w="1344"/>
              <w:gridCol w:w="996"/>
              <w:gridCol w:w="1116"/>
              <w:gridCol w:w="2777"/>
            </w:tblGrid>
            <w:tr w14:paraId="4D075ABD">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344" w:hRule="atLeast"/>
                <w:jc w:val="center"/>
              </w:trPr>
              <w:tc>
                <w:tcPr>
                  <w:tcW w:w="1644" w:type="dxa"/>
                  <w:gridSpan w:val="2"/>
                  <w:tcBorders>
                    <w:tl2br w:val="nil"/>
                    <w:tr2bl w:val="nil"/>
                  </w:tcBorders>
                  <w:noWrap w:val="0"/>
                  <w:vAlign w:val="center"/>
                </w:tcPr>
                <w:p w14:paraId="655A6D45">
                  <w:pPr>
                    <w:pStyle w:val="21"/>
                    <w:spacing w:line="300" w:lineRule="exact"/>
                    <w:rPr>
                      <w:rFonts w:ascii="Times New Roman" w:hAnsi="Times New Roman"/>
                      <w:b w:val="0"/>
                      <w:sz w:val="21"/>
                      <w:szCs w:val="21"/>
                      <w:u w:val="none"/>
                    </w:rPr>
                  </w:pPr>
                  <w:r>
                    <w:rPr>
                      <w:rFonts w:ascii="Times New Roman" w:hAnsi="Times New Roman"/>
                      <w:b w:val="0"/>
                      <w:sz w:val="21"/>
                      <w:szCs w:val="21"/>
                      <w:u w:val="none"/>
                    </w:rPr>
                    <w:t>类别</w:t>
                  </w:r>
                </w:p>
              </w:tc>
              <w:tc>
                <w:tcPr>
                  <w:tcW w:w="1344" w:type="dxa"/>
                  <w:tcBorders>
                    <w:tl2br w:val="nil"/>
                    <w:tr2bl w:val="nil"/>
                  </w:tcBorders>
                  <w:noWrap w:val="0"/>
                  <w:vAlign w:val="center"/>
                </w:tcPr>
                <w:p w14:paraId="3077C8ED">
                  <w:pPr>
                    <w:pStyle w:val="21"/>
                    <w:spacing w:line="300" w:lineRule="exact"/>
                    <w:rPr>
                      <w:rFonts w:ascii="Times New Roman" w:hAnsi="Times New Roman"/>
                      <w:b w:val="0"/>
                      <w:sz w:val="21"/>
                      <w:szCs w:val="21"/>
                      <w:u w:val="none"/>
                    </w:rPr>
                  </w:pPr>
                  <w:r>
                    <w:rPr>
                      <w:rFonts w:ascii="Times New Roman" w:hAnsi="Times New Roman"/>
                      <w:b w:val="0"/>
                      <w:sz w:val="21"/>
                      <w:szCs w:val="21"/>
                      <w:u w:val="none"/>
                    </w:rPr>
                    <w:t>监测点位</w:t>
                  </w:r>
                </w:p>
              </w:tc>
              <w:tc>
                <w:tcPr>
                  <w:tcW w:w="996" w:type="dxa"/>
                  <w:tcBorders>
                    <w:tl2br w:val="nil"/>
                    <w:tr2bl w:val="nil"/>
                  </w:tcBorders>
                  <w:noWrap w:val="0"/>
                  <w:vAlign w:val="center"/>
                </w:tcPr>
                <w:p w14:paraId="2A6A716D">
                  <w:pPr>
                    <w:pStyle w:val="21"/>
                    <w:spacing w:line="300" w:lineRule="exact"/>
                    <w:rPr>
                      <w:rFonts w:ascii="Times New Roman" w:hAnsi="Times New Roman"/>
                      <w:b w:val="0"/>
                      <w:sz w:val="21"/>
                      <w:szCs w:val="21"/>
                      <w:u w:val="none"/>
                    </w:rPr>
                  </w:pPr>
                  <w:r>
                    <w:rPr>
                      <w:rFonts w:ascii="Times New Roman" w:hAnsi="Times New Roman"/>
                      <w:b w:val="0"/>
                      <w:sz w:val="21"/>
                      <w:szCs w:val="21"/>
                      <w:u w:val="none"/>
                    </w:rPr>
                    <w:t>监测</w:t>
                  </w:r>
                </w:p>
                <w:p w14:paraId="7F2D594E">
                  <w:pPr>
                    <w:pStyle w:val="21"/>
                    <w:spacing w:line="300" w:lineRule="exact"/>
                    <w:rPr>
                      <w:rFonts w:ascii="Times New Roman" w:hAnsi="Times New Roman"/>
                      <w:b w:val="0"/>
                      <w:sz w:val="21"/>
                      <w:szCs w:val="21"/>
                      <w:u w:val="none"/>
                    </w:rPr>
                  </w:pPr>
                  <w:r>
                    <w:rPr>
                      <w:rFonts w:ascii="Times New Roman" w:hAnsi="Times New Roman"/>
                      <w:b w:val="0"/>
                      <w:sz w:val="21"/>
                      <w:szCs w:val="21"/>
                      <w:u w:val="none"/>
                    </w:rPr>
                    <w:t>因子</w:t>
                  </w:r>
                </w:p>
              </w:tc>
              <w:tc>
                <w:tcPr>
                  <w:tcW w:w="1116" w:type="dxa"/>
                  <w:tcBorders>
                    <w:tl2br w:val="nil"/>
                    <w:tr2bl w:val="nil"/>
                  </w:tcBorders>
                  <w:noWrap w:val="0"/>
                  <w:vAlign w:val="center"/>
                </w:tcPr>
                <w:p w14:paraId="063BBF4F">
                  <w:pPr>
                    <w:pStyle w:val="21"/>
                    <w:spacing w:line="300" w:lineRule="exact"/>
                    <w:rPr>
                      <w:rFonts w:ascii="Times New Roman" w:hAnsi="Times New Roman"/>
                      <w:b w:val="0"/>
                      <w:sz w:val="21"/>
                      <w:szCs w:val="21"/>
                      <w:u w:val="none"/>
                    </w:rPr>
                  </w:pPr>
                  <w:r>
                    <w:rPr>
                      <w:rFonts w:ascii="Times New Roman" w:hAnsi="Times New Roman"/>
                      <w:b w:val="0"/>
                      <w:sz w:val="21"/>
                      <w:szCs w:val="21"/>
                      <w:u w:val="none"/>
                    </w:rPr>
                    <w:t>监测</w:t>
                  </w:r>
                </w:p>
                <w:p w14:paraId="1067F921">
                  <w:pPr>
                    <w:pStyle w:val="21"/>
                    <w:spacing w:line="300" w:lineRule="exact"/>
                    <w:rPr>
                      <w:rFonts w:ascii="Times New Roman" w:hAnsi="Times New Roman"/>
                      <w:b w:val="0"/>
                      <w:sz w:val="21"/>
                      <w:szCs w:val="21"/>
                      <w:u w:val="none"/>
                    </w:rPr>
                  </w:pPr>
                  <w:r>
                    <w:rPr>
                      <w:rFonts w:ascii="Times New Roman" w:hAnsi="Times New Roman"/>
                      <w:b w:val="0"/>
                      <w:sz w:val="21"/>
                      <w:szCs w:val="21"/>
                      <w:u w:val="none"/>
                    </w:rPr>
                    <w:t>频率</w:t>
                  </w:r>
                </w:p>
              </w:tc>
              <w:tc>
                <w:tcPr>
                  <w:tcW w:w="2777" w:type="dxa"/>
                  <w:tcBorders>
                    <w:tl2br w:val="nil"/>
                    <w:tr2bl w:val="nil"/>
                  </w:tcBorders>
                  <w:noWrap w:val="0"/>
                  <w:vAlign w:val="center"/>
                </w:tcPr>
                <w:p w14:paraId="1B99F598">
                  <w:pPr>
                    <w:pStyle w:val="21"/>
                    <w:spacing w:line="300" w:lineRule="exact"/>
                    <w:rPr>
                      <w:rFonts w:hint="eastAsia" w:ascii="Times New Roman" w:hAnsi="Times New Roman" w:eastAsia="宋体"/>
                      <w:b w:val="0"/>
                      <w:sz w:val="21"/>
                      <w:szCs w:val="21"/>
                      <w:u w:val="none"/>
                      <w:lang w:eastAsia="zh-CN"/>
                    </w:rPr>
                  </w:pPr>
                  <w:r>
                    <w:rPr>
                      <w:rFonts w:hint="eastAsia" w:ascii="Times New Roman" w:hAnsi="Times New Roman"/>
                      <w:b w:val="0"/>
                      <w:sz w:val="21"/>
                      <w:szCs w:val="21"/>
                      <w:u w:val="none"/>
                      <w:lang w:eastAsia="zh-CN"/>
                    </w:rPr>
                    <w:t>执行标准</w:t>
                  </w:r>
                </w:p>
              </w:tc>
            </w:tr>
            <w:tr w14:paraId="143DCD75">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2220" w:hRule="atLeast"/>
                <w:jc w:val="center"/>
              </w:trPr>
              <w:tc>
                <w:tcPr>
                  <w:tcW w:w="771" w:type="dxa"/>
                  <w:vMerge w:val="restart"/>
                  <w:tcBorders>
                    <w:tl2br w:val="nil"/>
                    <w:tr2bl w:val="nil"/>
                  </w:tcBorders>
                  <w:noWrap w:val="0"/>
                  <w:vAlign w:val="center"/>
                </w:tcPr>
                <w:p w14:paraId="09CC0D81">
                  <w:pPr>
                    <w:pStyle w:val="21"/>
                    <w:spacing w:line="300" w:lineRule="exact"/>
                    <w:rPr>
                      <w:rFonts w:ascii="Times New Roman" w:hAnsi="Times New Roman"/>
                      <w:b w:val="0"/>
                      <w:sz w:val="21"/>
                      <w:szCs w:val="21"/>
                      <w:u w:val="none"/>
                    </w:rPr>
                  </w:pPr>
                  <w:r>
                    <w:rPr>
                      <w:rFonts w:ascii="Times New Roman" w:hAnsi="Times New Roman"/>
                      <w:b w:val="0"/>
                      <w:sz w:val="21"/>
                      <w:szCs w:val="21"/>
                      <w:u w:val="none"/>
                    </w:rPr>
                    <w:t>废气</w:t>
                  </w:r>
                </w:p>
              </w:tc>
              <w:tc>
                <w:tcPr>
                  <w:tcW w:w="873" w:type="dxa"/>
                  <w:tcBorders>
                    <w:tl2br w:val="nil"/>
                    <w:tr2bl w:val="nil"/>
                  </w:tcBorders>
                  <w:noWrap w:val="0"/>
                  <w:vAlign w:val="center"/>
                </w:tcPr>
                <w:p w14:paraId="376ADBA7">
                  <w:pPr>
                    <w:pStyle w:val="21"/>
                    <w:spacing w:line="300" w:lineRule="exact"/>
                    <w:rPr>
                      <w:rFonts w:ascii="Times New Roman" w:hAnsi="Times New Roman"/>
                      <w:b w:val="0"/>
                      <w:sz w:val="21"/>
                      <w:szCs w:val="21"/>
                      <w:u w:val="none"/>
                    </w:rPr>
                  </w:pPr>
                  <w:r>
                    <w:rPr>
                      <w:rFonts w:ascii="Times New Roman" w:hAnsi="Times New Roman"/>
                      <w:b w:val="0"/>
                      <w:sz w:val="21"/>
                      <w:szCs w:val="21"/>
                      <w:u w:val="none"/>
                    </w:rPr>
                    <w:t>有组织</w:t>
                  </w:r>
                </w:p>
                <w:p w14:paraId="68C147C6">
                  <w:pPr>
                    <w:pStyle w:val="21"/>
                    <w:spacing w:line="300" w:lineRule="exact"/>
                    <w:rPr>
                      <w:rFonts w:ascii="Times New Roman" w:hAnsi="Times New Roman"/>
                      <w:b w:val="0"/>
                      <w:sz w:val="21"/>
                      <w:szCs w:val="21"/>
                      <w:u w:val="none"/>
                    </w:rPr>
                  </w:pPr>
                  <w:r>
                    <w:rPr>
                      <w:rFonts w:ascii="Times New Roman" w:hAnsi="Times New Roman"/>
                      <w:b w:val="0"/>
                      <w:sz w:val="21"/>
                      <w:szCs w:val="21"/>
                      <w:u w:val="none"/>
                    </w:rPr>
                    <w:t>废气</w:t>
                  </w:r>
                </w:p>
              </w:tc>
              <w:tc>
                <w:tcPr>
                  <w:tcW w:w="1344" w:type="dxa"/>
                  <w:tcBorders>
                    <w:tl2br w:val="nil"/>
                    <w:tr2bl w:val="nil"/>
                  </w:tcBorders>
                  <w:noWrap w:val="0"/>
                  <w:vAlign w:val="center"/>
                </w:tcPr>
                <w:p w14:paraId="70E66B18">
                  <w:pPr>
                    <w:spacing w:line="300" w:lineRule="exact"/>
                    <w:jc w:val="center"/>
                    <w:rPr>
                      <w:rFonts w:hint="default" w:eastAsia="宋体"/>
                      <w:bCs/>
                      <w:color w:val="000000"/>
                      <w:szCs w:val="21"/>
                      <w:u w:val="none"/>
                      <w:lang w:val="en-US" w:eastAsia="zh-CN"/>
                    </w:rPr>
                  </w:pPr>
                  <w:r>
                    <w:rPr>
                      <w:rFonts w:hint="eastAsia"/>
                      <w:bCs/>
                      <w:color w:val="000000"/>
                      <w:szCs w:val="21"/>
                      <w:u w:val="none"/>
                      <w:lang w:val="en-US" w:eastAsia="zh-CN"/>
                    </w:rPr>
                    <w:t>排气筒</w:t>
                  </w:r>
                  <w:r>
                    <w:rPr>
                      <w:bCs/>
                      <w:color w:val="000000"/>
                      <w:szCs w:val="21"/>
                      <w:u w:val="none"/>
                    </w:rPr>
                    <w:t>DA00</w:t>
                  </w:r>
                  <w:r>
                    <w:rPr>
                      <w:rFonts w:hint="eastAsia"/>
                      <w:bCs/>
                      <w:color w:val="000000"/>
                      <w:szCs w:val="21"/>
                      <w:u w:val="none"/>
                    </w:rPr>
                    <w:t>1</w:t>
                  </w:r>
                  <w:r>
                    <w:rPr>
                      <w:rFonts w:hint="eastAsia"/>
                      <w:bCs/>
                      <w:color w:val="000000"/>
                      <w:szCs w:val="21"/>
                      <w:u w:val="none"/>
                      <w:lang w:eastAsia="zh-CN"/>
                    </w:rPr>
                    <w:t>、</w:t>
                  </w:r>
                  <w:r>
                    <w:rPr>
                      <w:rFonts w:hint="eastAsia"/>
                      <w:bCs/>
                      <w:color w:val="000000"/>
                      <w:szCs w:val="21"/>
                      <w:u w:val="none"/>
                      <w:lang w:val="en-US" w:eastAsia="zh-CN"/>
                    </w:rPr>
                    <w:t>DA002</w:t>
                  </w:r>
                </w:p>
              </w:tc>
              <w:tc>
                <w:tcPr>
                  <w:tcW w:w="996" w:type="dxa"/>
                  <w:tcBorders>
                    <w:tl2br w:val="nil"/>
                    <w:tr2bl w:val="nil"/>
                  </w:tcBorders>
                  <w:noWrap w:val="0"/>
                  <w:vAlign w:val="center"/>
                </w:tcPr>
                <w:p w14:paraId="59902AD5">
                  <w:pPr>
                    <w:spacing w:line="300" w:lineRule="exact"/>
                    <w:jc w:val="center"/>
                    <w:rPr>
                      <w:bCs/>
                      <w:szCs w:val="21"/>
                      <w:u w:val="none"/>
                    </w:rPr>
                  </w:pPr>
                  <w:r>
                    <w:rPr>
                      <w:rFonts w:hint="eastAsia"/>
                      <w:bCs/>
                      <w:color w:val="000000"/>
                      <w:szCs w:val="21"/>
                      <w:u w:val="none"/>
                    </w:rPr>
                    <w:t>颗粒物</w:t>
                  </w:r>
                </w:p>
              </w:tc>
              <w:tc>
                <w:tcPr>
                  <w:tcW w:w="1116" w:type="dxa"/>
                  <w:tcBorders>
                    <w:tl2br w:val="nil"/>
                    <w:tr2bl w:val="nil"/>
                  </w:tcBorders>
                  <w:noWrap w:val="0"/>
                  <w:vAlign w:val="center"/>
                </w:tcPr>
                <w:p w14:paraId="1E9865E9">
                  <w:pPr>
                    <w:pStyle w:val="21"/>
                    <w:spacing w:line="300" w:lineRule="exact"/>
                    <w:rPr>
                      <w:rFonts w:hint="eastAsia" w:eastAsia="宋体"/>
                      <w:bCs/>
                      <w:color w:val="000000"/>
                      <w:szCs w:val="21"/>
                      <w:u w:val="none"/>
                      <w:lang w:val="en-US" w:eastAsia="zh-CN"/>
                    </w:rPr>
                  </w:pPr>
                  <w:r>
                    <w:rPr>
                      <w:rFonts w:ascii="Times New Roman" w:hAnsi="Times New Roman"/>
                      <w:b w:val="0"/>
                      <w:sz w:val="21"/>
                      <w:szCs w:val="21"/>
                      <w:u w:val="none"/>
                    </w:rPr>
                    <w:t>1次/</w:t>
                  </w:r>
                  <w:r>
                    <w:rPr>
                      <w:rFonts w:hint="eastAsia" w:ascii="Times New Roman" w:hAnsi="Times New Roman"/>
                      <w:b w:val="0"/>
                      <w:sz w:val="21"/>
                      <w:szCs w:val="21"/>
                      <w:u w:val="none"/>
                      <w:lang w:val="en-US" w:eastAsia="zh-CN"/>
                    </w:rPr>
                    <w:t>年</w:t>
                  </w:r>
                </w:p>
              </w:tc>
              <w:tc>
                <w:tcPr>
                  <w:tcW w:w="2777" w:type="dxa"/>
                  <w:tcBorders>
                    <w:tl2br w:val="nil"/>
                    <w:tr2bl w:val="nil"/>
                  </w:tcBorders>
                  <w:noWrap w:val="0"/>
                  <w:vAlign w:val="center"/>
                </w:tcPr>
                <w:p w14:paraId="751751A9">
                  <w:pPr>
                    <w:pStyle w:val="12"/>
                    <w:keepNext w:val="0"/>
                    <w:keepLines w:val="0"/>
                    <w:pageBreakBefore w:val="0"/>
                    <w:widowControl w:val="0"/>
                    <w:kinsoku/>
                    <w:wordWrap w:val="0"/>
                    <w:overflowPunct/>
                    <w:topLinePunct w:val="0"/>
                    <w:autoSpaceDE/>
                    <w:autoSpaceDN/>
                    <w:bidi w:val="0"/>
                    <w:adjustRightInd w:val="0"/>
                    <w:snapToGrid w:val="0"/>
                    <w:spacing w:after="0"/>
                    <w:ind w:left="0" w:leftChars="0"/>
                    <w:jc w:val="center"/>
                    <w:textAlignment w:val="auto"/>
                    <w:rPr>
                      <w:rFonts w:hint="eastAsia" w:ascii="Times New Roman" w:hAnsi="Times New Roman" w:eastAsia="宋体" w:cs="Times New Roman"/>
                      <w:color w:val="000000"/>
                      <w:kern w:val="0"/>
                      <w:sz w:val="21"/>
                      <w:szCs w:val="21"/>
                      <w:u w:val="none"/>
                      <w:lang w:val="en-US" w:eastAsia="zh-CN" w:bidi="ar-SA"/>
                    </w:rPr>
                  </w:pPr>
                  <w:r>
                    <w:rPr>
                      <w:rFonts w:hint="eastAsia"/>
                      <w:color w:val="000000"/>
                      <w:sz w:val="21"/>
                      <w:szCs w:val="21"/>
                      <w:u w:val="none"/>
                      <w:lang w:eastAsia="zh-CN"/>
                    </w:rPr>
                    <w:t>《</w:t>
                  </w:r>
                  <w:r>
                    <w:rPr>
                      <w:rFonts w:hint="eastAsia"/>
                      <w:sz w:val="21"/>
                      <w:szCs w:val="21"/>
                      <w:lang w:val="en-US" w:eastAsia="zh-CN"/>
                    </w:rPr>
                    <w:t>河南省水泥工业大气污染物排放标准</w:t>
                  </w:r>
                  <w:r>
                    <w:rPr>
                      <w:rFonts w:hint="eastAsia"/>
                      <w:color w:val="000000"/>
                      <w:sz w:val="21"/>
                      <w:szCs w:val="21"/>
                      <w:u w:val="none"/>
                      <w:lang w:eastAsia="zh-CN"/>
                    </w:rPr>
                    <w:t>》</w:t>
                  </w:r>
                  <w:r>
                    <w:rPr>
                      <w:rFonts w:hint="eastAsia"/>
                      <w:sz w:val="21"/>
                      <w:szCs w:val="21"/>
                      <w:lang w:val="en-US" w:eastAsia="zh-CN"/>
                    </w:rPr>
                    <w:t>(DB41/1953-2020)（</w:t>
                  </w:r>
                  <w:r>
                    <w:rPr>
                      <w:color w:val="000000"/>
                      <w:sz w:val="21"/>
                      <w:szCs w:val="21"/>
                      <w:u w:val="none"/>
                    </w:rPr>
                    <w:t>10mg/m</w:t>
                  </w:r>
                  <w:r>
                    <w:rPr>
                      <w:color w:val="000000"/>
                      <w:sz w:val="21"/>
                      <w:szCs w:val="21"/>
                      <w:u w:val="none"/>
                      <w:vertAlign w:val="superscript"/>
                    </w:rPr>
                    <w:t>3</w:t>
                  </w:r>
                  <w:r>
                    <w:rPr>
                      <w:rFonts w:hint="eastAsia"/>
                      <w:sz w:val="21"/>
                      <w:szCs w:val="21"/>
                      <w:lang w:val="en-US" w:eastAsia="zh-CN"/>
                    </w:rPr>
                    <w:t>）和</w:t>
                  </w:r>
                  <w:r>
                    <w:rPr>
                      <w:rFonts w:hint="eastAsia"/>
                      <w:color w:val="000000"/>
                      <w:sz w:val="21"/>
                      <w:szCs w:val="21"/>
                      <w:u w:val="none"/>
                    </w:rPr>
                    <w:t>《河南省重污染天气</w:t>
                  </w:r>
                  <w:r>
                    <w:rPr>
                      <w:rFonts w:hint="eastAsia"/>
                      <w:color w:val="000000"/>
                      <w:sz w:val="21"/>
                      <w:szCs w:val="21"/>
                      <w:u w:val="none"/>
                      <w:lang w:val="en-US" w:eastAsia="zh-CN"/>
                    </w:rPr>
                    <w:t>重点</w:t>
                  </w:r>
                  <w:r>
                    <w:rPr>
                      <w:rFonts w:hint="eastAsia"/>
                      <w:color w:val="000000"/>
                      <w:sz w:val="21"/>
                      <w:szCs w:val="21"/>
                      <w:u w:val="none"/>
                    </w:rPr>
                    <w:t>行业应急减排措施制定技术指南》</w:t>
                  </w:r>
                  <w:r>
                    <w:rPr>
                      <w:rFonts w:hint="eastAsia"/>
                      <w:sz w:val="21"/>
                      <w:szCs w:val="21"/>
                      <w:highlight w:val="none"/>
                      <w:u w:val="none"/>
                      <w:lang w:val="en-US" w:eastAsia="zh-CN"/>
                    </w:rPr>
                    <w:t>（2024年修订版）</w:t>
                  </w:r>
                  <w:r>
                    <w:rPr>
                      <w:rFonts w:hint="eastAsia"/>
                      <w:sz w:val="21"/>
                      <w:szCs w:val="21"/>
                      <w:u w:val="none"/>
                    </w:rPr>
                    <w:t>中排放限值（</w:t>
                  </w:r>
                  <w:r>
                    <w:rPr>
                      <w:rFonts w:hint="eastAsia"/>
                      <w:sz w:val="21"/>
                      <w:szCs w:val="21"/>
                      <w:u w:val="none"/>
                      <w:lang w:val="en-US" w:eastAsia="zh-CN"/>
                    </w:rPr>
                    <w:t>颗粒物</w:t>
                  </w:r>
                  <w:r>
                    <w:rPr>
                      <w:rFonts w:hint="eastAsia"/>
                      <w:sz w:val="21"/>
                      <w:szCs w:val="21"/>
                      <w:u w:val="none"/>
                    </w:rPr>
                    <w:t>有组织10mg/m</w:t>
                  </w:r>
                  <w:r>
                    <w:rPr>
                      <w:rFonts w:hint="eastAsia"/>
                      <w:sz w:val="21"/>
                      <w:szCs w:val="21"/>
                      <w:u w:val="none"/>
                      <w:vertAlign w:val="superscript"/>
                    </w:rPr>
                    <w:t>3</w:t>
                  </w:r>
                  <w:r>
                    <w:rPr>
                      <w:rFonts w:hint="eastAsia"/>
                      <w:sz w:val="21"/>
                      <w:szCs w:val="21"/>
                      <w:u w:val="none"/>
                    </w:rPr>
                    <w:t>）要求</w:t>
                  </w:r>
                  <w:r>
                    <w:rPr>
                      <w:color w:val="000000"/>
                      <w:sz w:val="21"/>
                      <w:szCs w:val="21"/>
                      <w:u w:val="none"/>
                    </w:rPr>
                    <w:t>。</w:t>
                  </w:r>
                </w:p>
              </w:tc>
            </w:tr>
            <w:tr w14:paraId="667E1917">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1416" w:hRule="atLeast"/>
                <w:jc w:val="center"/>
              </w:trPr>
              <w:tc>
                <w:tcPr>
                  <w:tcW w:w="771" w:type="dxa"/>
                  <w:vMerge w:val="continue"/>
                  <w:tcBorders>
                    <w:tl2br w:val="nil"/>
                    <w:tr2bl w:val="nil"/>
                  </w:tcBorders>
                  <w:noWrap w:val="0"/>
                  <w:vAlign w:val="center"/>
                </w:tcPr>
                <w:p w14:paraId="5948CA7C">
                  <w:pPr>
                    <w:pStyle w:val="21"/>
                    <w:spacing w:line="300" w:lineRule="exact"/>
                    <w:rPr>
                      <w:rFonts w:ascii="Times New Roman" w:hAnsi="Times New Roman"/>
                      <w:b w:val="0"/>
                      <w:sz w:val="21"/>
                      <w:szCs w:val="21"/>
                      <w:u w:val="none"/>
                    </w:rPr>
                  </w:pPr>
                </w:p>
              </w:tc>
              <w:tc>
                <w:tcPr>
                  <w:tcW w:w="873" w:type="dxa"/>
                  <w:tcBorders>
                    <w:tl2br w:val="nil"/>
                    <w:tr2bl w:val="nil"/>
                  </w:tcBorders>
                  <w:noWrap w:val="0"/>
                  <w:vAlign w:val="center"/>
                </w:tcPr>
                <w:p w14:paraId="4C86FFB0">
                  <w:pPr>
                    <w:spacing w:line="300" w:lineRule="exact"/>
                    <w:jc w:val="center"/>
                    <w:rPr>
                      <w:bCs/>
                      <w:color w:val="000000"/>
                      <w:szCs w:val="21"/>
                      <w:u w:val="none"/>
                    </w:rPr>
                  </w:pPr>
                  <w:r>
                    <w:rPr>
                      <w:bCs/>
                      <w:color w:val="000000"/>
                      <w:szCs w:val="21"/>
                      <w:u w:val="none"/>
                    </w:rPr>
                    <w:t>无组织</w:t>
                  </w:r>
                </w:p>
                <w:p w14:paraId="35FCEE62">
                  <w:pPr>
                    <w:spacing w:line="300" w:lineRule="exact"/>
                    <w:jc w:val="center"/>
                    <w:rPr>
                      <w:bCs/>
                      <w:color w:val="000000"/>
                      <w:szCs w:val="21"/>
                      <w:u w:val="none"/>
                    </w:rPr>
                  </w:pPr>
                  <w:r>
                    <w:rPr>
                      <w:bCs/>
                      <w:color w:val="000000"/>
                      <w:szCs w:val="21"/>
                      <w:u w:val="none"/>
                    </w:rPr>
                    <w:t>废气</w:t>
                  </w:r>
                </w:p>
              </w:tc>
              <w:tc>
                <w:tcPr>
                  <w:tcW w:w="1344" w:type="dxa"/>
                  <w:tcBorders>
                    <w:tl2br w:val="nil"/>
                    <w:tr2bl w:val="nil"/>
                  </w:tcBorders>
                  <w:noWrap w:val="0"/>
                  <w:vAlign w:val="center"/>
                </w:tcPr>
                <w:p w14:paraId="1B70004D">
                  <w:pPr>
                    <w:spacing w:line="300" w:lineRule="exact"/>
                    <w:jc w:val="center"/>
                    <w:rPr>
                      <w:bCs/>
                      <w:color w:val="000000"/>
                      <w:szCs w:val="21"/>
                      <w:u w:val="none"/>
                    </w:rPr>
                  </w:pPr>
                  <w:r>
                    <w:rPr>
                      <w:bCs/>
                      <w:color w:val="000000"/>
                      <w:szCs w:val="21"/>
                      <w:u w:val="none"/>
                    </w:rPr>
                    <w:t>厂区上风向1个点位，下风向3个点位</w:t>
                  </w:r>
                </w:p>
              </w:tc>
              <w:tc>
                <w:tcPr>
                  <w:tcW w:w="996" w:type="dxa"/>
                  <w:tcBorders>
                    <w:tl2br w:val="nil"/>
                    <w:tr2bl w:val="nil"/>
                  </w:tcBorders>
                  <w:noWrap w:val="0"/>
                  <w:vAlign w:val="center"/>
                </w:tcPr>
                <w:p w14:paraId="4319791D">
                  <w:pPr>
                    <w:spacing w:line="300" w:lineRule="exact"/>
                    <w:jc w:val="center"/>
                    <w:rPr>
                      <w:bCs/>
                      <w:color w:val="000000"/>
                      <w:szCs w:val="21"/>
                      <w:u w:val="none"/>
                    </w:rPr>
                  </w:pPr>
                  <w:r>
                    <w:rPr>
                      <w:rFonts w:hint="eastAsia"/>
                      <w:bCs/>
                      <w:color w:val="000000"/>
                      <w:szCs w:val="21"/>
                      <w:u w:val="none"/>
                    </w:rPr>
                    <w:t>颗粒物</w:t>
                  </w:r>
                </w:p>
              </w:tc>
              <w:tc>
                <w:tcPr>
                  <w:tcW w:w="1116" w:type="dxa"/>
                  <w:tcBorders>
                    <w:tl2br w:val="nil"/>
                    <w:tr2bl w:val="nil"/>
                  </w:tcBorders>
                  <w:noWrap w:val="0"/>
                  <w:vAlign w:val="center"/>
                </w:tcPr>
                <w:p w14:paraId="1D180896">
                  <w:pPr>
                    <w:spacing w:line="300" w:lineRule="exact"/>
                    <w:jc w:val="center"/>
                    <w:rPr>
                      <w:rFonts w:hint="eastAsia" w:eastAsia="宋体"/>
                      <w:bCs/>
                      <w:color w:val="000000"/>
                      <w:szCs w:val="21"/>
                      <w:u w:val="none"/>
                      <w:lang w:val="en-US" w:eastAsia="zh-CN"/>
                    </w:rPr>
                  </w:pPr>
                  <w:r>
                    <w:rPr>
                      <w:bCs/>
                      <w:color w:val="000000"/>
                      <w:szCs w:val="21"/>
                      <w:u w:val="none"/>
                    </w:rPr>
                    <w:t>1次/</w:t>
                  </w:r>
                  <w:r>
                    <w:rPr>
                      <w:rFonts w:hint="eastAsia"/>
                      <w:bCs/>
                      <w:color w:val="000000"/>
                      <w:szCs w:val="21"/>
                      <w:u w:val="none"/>
                      <w:lang w:val="en-US" w:eastAsia="zh-CN"/>
                    </w:rPr>
                    <w:t>年</w:t>
                  </w:r>
                </w:p>
              </w:tc>
              <w:tc>
                <w:tcPr>
                  <w:tcW w:w="2777" w:type="dxa"/>
                  <w:tcBorders>
                    <w:tl2br w:val="nil"/>
                    <w:tr2bl w:val="nil"/>
                  </w:tcBorders>
                  <w:noWrap w:val="0"/>
                  <w:vAlign w:val="center"/>
                </w:tcPr>
                <w:p w14:paraId="1231FD63">
                  <w:pPr>
                    <w:pStyle w:val="12"/>
                    <w:keepNext w:val="0"/>
                    <w:keepLines w:val="0"/>
                    <w:pageBreakBefore w:val="0"/>
                    <w:widowControl w:val="0"/>
                    <w:kinsoku/>
                    <w:wordWrap w:val="0"/>
                    <w:overflowPunct/>
                    <w:topLinePunct w:val="0"/>
                    <w:autoSpaceDE/>
                    <w:autoSpaceDN/>
                    <w:bidi w:val="0"/>
                    <w:adjustRightInd w:val="0"/>
                    <w:snapToGrid w:val="0"/>
                    <w:spacing w:after="0"/>
                    <w:ind w:left="0" w:leftChars="0"/>
                    <w:jc w:val="center"/>
                    <w:textAlignment w:val="auto"/>
                    <w:rPr>
                      <w:rFonts w:ascii="Times New Roman" w:hAnsi="Times New Roman" w:eastAsia="宋体" w:cs="Times New Roman"/>
                      <w:bCs/>
                      <w:color w:val="000000"/>
                      <w:kern w:val="0"/>
                      <w:sz w:val="21"/>
                      <w:szCs w:val="21"/>
                      <w:u w:val="none"/>
                      <w:lang w:val="en-US" w:eastAsia="zh-CN" w:bidi="ar-SA"/>
                    </w:rPr>
                  </w:pPr>
                  <w:r>
                    <w:rPr>
                      <w:rFonts w:hint="eastAsia"/>
                      <w:color w:val="000000"/>
                      <w:sz w:val="21"/>
                      <w:szCs w:val="21"/>
                      <w:u w:val="none"/>
                      <w:lang w:eastAsia="zh-CN"/>
                    </w:rPr>
                    <w:t>《</w:t>
                  </w:r>
                  <w:r>
                    <w:rPr>
                      <w:rFonts w:hint="eastAsia"/>
                      <w:sz w:val="21"/>
                      <w:szCs w:val="21"/>
                      <w:lang w:val="en-US" w:eastAsia="zh-CN"/>
                    </w:rPr>
                    <w:t>河南省水泥工业大气污染物排放标准</w:t>
                  </w:r>
                  <w:r>
                    <w:rPr>
                      <w:rFonts w:hint="eastAsia"/>
                      <w:color w:val="000000"/>
                      <w:sz w:val="21"/>
                      <w:szCs w:val="21"/>
                      <w:u w:val="none"/>
                      <w:lang w:eastAsia="zh-CN"/>
                    </w:rPr>
                    <w:t>》</w:t>
                  </w:r>
                  <w:r>
                    <w:rPr>
                      <w:rFonts w:hint="eastAsia"/>
                      <w:sz w:val="21"/>
                      <w:szCs w:val="21"/>
                      <w:lang w:val="en-US" w:eastAsia="zh-CN"/>
                    </w:rPr>
                    <w:t>(DB41/1953-2020)</w:t>
                  </w:r>
                  <w:r>
                    <w:rPr>
                      <w:rFonts w:hint="eastAsia" w:ascii="Times New Roman" w:hAnsi="Times New Roman"/>
                      <w:sz w:val="21"/>
                      <w:szCs w:val="21"/>
                      <w:highlight w:val="none"/>
                      <w:u w:val="none"/>
                    </w:rPr>
                    <w:t>的要求</w:t>
                  </w:r>
                  <w:r>
                    <w:rPr>
                      <w:rFonts w:hint="eastAsia" w:ascii="Times New Roman" w:hAnsi="Times New Roman"/>
                      <w:sz w:val="21"/>
                      <w:szCs w:val="21"/>
                      <w:highlight w:val="none"/>
                      <w:u w:val="none"/>
                      <w:lang w:eastAsia="zh-CN"/>
                    </w:rPr>
                    <w:t>（</w:t>
                  </w:r>
                  <w:r>
                    <w:rPr>
                      <w:rFonts w:hint="default" w:ascii="Times New Roman" w:hAnsi="Times New Roman" w:cs="Times New Roman"/>
                      <w:sz w:val="21"/>
                      <w:szCs w:val="21"/>
                      <w:highlight w:val="none"/>
                      <w:u w:val="none"/>
                      <w:lang w:val="en-US" w:eastAsia="zh-CN"/>
                    </w:rPr>
                    <w:t>监控</w:t>
                  </w:r>
                  <w:r>
                    <w:rPr>
                      <w:rFonts w:hint="default" w:ascii="Times New Roman" w:hAnsi="Times New Roman" w:eastAsia="宋体" w:cs="Times New Roman"/>
                      <w:sz w:val="21"/>
                      <w:szCs w:val="21"/>
                    </w:rPr>
                    <w:t>点与参照点总悬浮颗粒物（TSP）1h浓</w:t>
                  </w:r>
                  <w:r>
                    <w:rPr>
                      <w:rFonts w:hint="default" w:ascii="Times New Roman" w:hAnsi="Times New Roman" w:eastAsia="宋体" w:cs="Times New Roman"/>
                      <w:sz w:val="21"/>
                      <w:szCs w:val="21"/>
                      <w:highlight w:val="none"/>
                    </w:rPr>
                    <w:t>度值的差值</w:t>
                  </w:r>
                  <w:r>
                    <w:rPr>
                      <w:rFonts w:hint="default" w:ascii="Times New Roman" w:hAnsi="Times New Roman" w:cs="Times New Roman"/>
                      <w:b w:val="0"/>
                      <w:bCs w:val="0"/>
                      <w:color w:val="000000"/>
                      <w:sz w:val="21"/>
                      <w:szCs w:val="21"/>
                      <w:highlight w:val="none"/>
                      <w:u w:val="none"/>
                      <w:lang w:val="en-US" w:eastAsia="zh-CN"/>
                    </w:rPr>
                    <w:t>0.5</w:t>
                  </w:r>
                  <w:r>
                    <w:rPr>
                      <w:rFonts w:ascii="Times New Roman" w:hAnsi="Times New Roman" w:cs="Times New Roman"/>
                      <w:b w:val="0"/>
                      <w:bCs w:val="0"/>
                      <w:color w:val="000000"/>
                      <w:sz w:val="21"/>
                      <w:szCs w:val="21"/>
                      <w:highlight w:val="none"/>
                      <w:u w:val="none"/>
                    </w:rPr>
                    <w:t>mg/m</w:t>
                  </w:r>
                  <w:r>
                    <w:rPr>
                      <w:rFonts w:ascii="Times New Roman" w:hAnsi="Times New Roman" w:cs="Times New Roman"/>
                      <w:b w:val="0"/>
                      <w:bCs w:val="0"/>
                      <w:color w:val="000000"/>
                      <w:sz w:val="21"/>
                      <w:szCs w:val="21"/>
                      <w:highlight w:val="none"/>
                      <w:u w:val="none"/>
                      <w:vertAlign w:val="superscript"/>
                    </w:rPr>
                    <w:t>3</w:t>
                  </w:r>
                  <w:r>
                    <w:rPr>
                      <w:rFonts w:hint="eastAsia" w:ascii="Times New Roman" w:hAnsi="Times New Roman"/>
                      <w:sz w:val="21"/>
                      <w:szCs w:val="21"/>
                      <w:highlight w:val="none"/>
                      <w:u w:val="none"/>
                      <w:lang w:eastAsia="zh-CN"/>
                    </w:rPr>
                    <w:t>）</w:t>
                  </w:r>
                  <w:r>
                    <w:rPr>
                      <w:rFonts w:hint="eastAsia"/>
                      <w:sz w:val="21"/>
                      <w:szCs w:val="21"/>
                      <w:highlight w:val="none"/>
                      <w:u w:val="none"/>
                      <w:lang w:eastAsia="zh-CN"/>
                    </w:rPr>
                    <w:t>、</w:t>
                  </w:r>
                  <w:r>
                    <w:rPr>
                      <w:rFonts w:hint="default" w:ascii="Times New Roman" w:hAnsi="Times New Roman" w:eastAsia="宋体" w:cs="Times New Roman"/>
                      <w:b w:val="0"/>
                      <w:bCs w:val="0"/>
                      <w:color w:val="000000"/>
                      <w:sz w:val="21"/>
                      <w:szCs w:val="21"/>
                    </w:rPr>
                    <w:t>《大气污染物综合排放标准》(GB16297</w:t>
                  </w:r>
                  <w:r>
                    <w:rPr>
                      <w:rFonts w:hint="default" w:ascii="Times New Roman" w:hAnsi="Times New Roman" w:eastAsia="宋体" w:cs="Times New Roman"/>
                      <w:b w:val="0"/>
                      <w:bCs w:val="0"/>
                      <w:color w:val="000000"/>
                      <w:sz w:val="21"/>
                      <w:szCs w:val="21"/>
                      <w:lang w:val="en-US" w:eastAsia="zh-CN"/>
                    </w:rPr>
                    <w:t>-</w:t>
                  </w:r>
                  <w:r>
                    <w:rPr>
                      <w:rFonts w:hint="default" w:ascii="Times New Roman" w:hAnsi="Times New Roman" w:eastAsia="宋体" w:cs="Times New Roman"/>
                      <w:b w:val="0"/>
                      <w:bCs w:val="0"/>
                      <w:color w:val="000000"/>
                      <w:sz w:val="21"/>
                      <w:szCs w:val="21"/>
                    </w:rPr>
                    <w:t>1996)表2要求</w:t>
                  </w:r>
                  <w:r>
                    <w:rPr>
                      <w:rFonts w:hint="default" w:ascii="Times New Roman" w:hAnsi="Times New Roman" w:eastAsia="宋体" w:cs="Times New Roman"/>
                      <w:b w:val="0"/>
                      <w:bCs w:val="0"/>
                      <w:color w:val="000000"/>
                      <w:sz w:val="21"/>
                      <w:szCs w:val="21"/>
                      <w:lang w:eastAsia="zh-CN"/>
                    </w:rPr>
                    <w:t>（</w:t>
                  </w:r>
                  <w:r>
                    <w:rPr>
                      <w:rFonts w:hint="default" w:ascii="Times New Roman" w:hAnsi="Times New Roman" w:eastAsia="宋体" w:cs="Times New Roman"/>
                      <w:b w:val="0"/>
                      <w:bCs w:val="0"/>
                      <w:color w:val="000000"/>
                      <w:sz w:val="21"/>
                      <w:szCs w:val="21"/>
                    </w:rPr>
                    <w:t>颗粒物企业边界大气污染物浓度限值1.0mg/m</w:t>
                  </w:r>
                  <w:r>
                    <w:rPr>
                      <w:rFonts w:hint="default" w:ascii="Times New Roman" w:hAnsi="Times New Roman" w:eastAsia="宋体" w:cs="Times New Roman"/>
                      <w:b w:val="0"/>
                      <w:bCs w:val="0"/>
                      <w:color w:val="000000"/>
                      <w:sz w:val="21"/>
                      <w:szCs w:val="21"/>
                      <w:vertAlign w:val="superscript"/>
                    </w:rPr>
                    <w:t>3</w:t>
                  </w:r>
                  <w:r>
                    <w:rPr>
                      <w:rFonts w:hint="default" w:ascii="Times New Roman" w:hAnsi="Times New Roman" w:eastAsia="宋体" w:cs="Times New Roman"/>
                      <w:b w:val="0"/>
                      <w:bCs w:val="0"/>
                      <w:color w:val="000000"/>
                      <w:sz w:val="21"/>
                      <w:szCs w:val="21"/>
                      <w:lang w:eastAsia="zh-CN"/>
                    </w:rPr>
                    <w:t>）</w:t>
                  </w:r>
                </w:p>
              </w:tc>
            </w:tr>
            <w:tr w14:paraId="115EB911">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90" w:hRule="atLeast"/>
                <w:jc w:val="center"/>
              </w:trPr>
              <w:tc>
                <w:tcPr>
                  <w:tcW w:w="771" w:type="dxa"/>
                  <w:tcBorders>
                    <w:tl2br w:val="nil"/>
                    <w:tr2bl w:val="nil"/>
                  </w:tcBorders>
                  <w:noWrap w:val="0"/>
                  <w:vAlign w:val="center"/>
                </w:tcPr>
                <w:p w14:paraId="08D93B3A">
                  <w:pPr>
                    <w:pStyle w:val="21"/>
                    <w:spacing w:line="300" w:lineRule="exact"/>
                    <w:rPr>
                      <w:rFonts w:ascii="Times New Roman" w:hAnsi="Times New Roman"/>
                      <w:b w:val="0"/>
                      <w:sz w:val="21"/>
                      <w:szCs w:val="21"/>
                      <w:u w:val="none"/>
                    </w:rPr>
                  </w:pPr>
                  <w:r>
                    <w:rPr>
                      <w:rFonts w:ascii="Times New Roman" w:hAnsi="Times New Roman"/>
                      <w:b w:val="0"/>
                      <w:sz w:val="21"/>
                      <w:szCs w:val="21"/>
                      <w:u w:val="none"/>
                    </w:rPr>
                    <w:t>噪声</w:t>
                  </w:r>
                </w:p>
              </w:tc>
              <w:tc>
                <w:tcPr>
                  <w:tcW w:w="873" w:type="dxa"/>
                  <w:tcBorders>
                    <w:tl2br w:val="nil"/>
                    <w:tr2bl w:val="nil"/>
                  </w:tcBorders>
                  <w:noWrap w:val="0"/>
                  <w:vAlign w:val="center"/>
                </w:tcPr>
                <w:p w14:paraId="4739DA66">
                  <w:pPr>
                    <w:spacing w:line="300" w:lineRule="exact"/>
                    <w:jc w:val="center"/>
                    <w:rPr>
                      <w:bCs/>
                      <w:color w:val="000000"/>
                      <w:szCs w:val="21"/>
                      <w:u w:val="none"/>
                    </w:rPr>
                  </w:pPr>
                  <w:r>
                    <w:rPr>
                      <w:bCs/>
                      <w:color w:val="000000"/>
                      <w:szCs w:val="21"/>
                      <w:u w:val="none"/>
                    </w:rPr>
                    <w:t>噪声</w:t>
                  </w:r>
                </w:p>
              </w:tc>
              <w:tc>
                <w:tcPr>
                  <w:tcW w:w="1344" w:type="dxa"/>
                  <w:tcBorders>
                    <w:tl2br w:val="nil"/>
                    <w:tr2bl w:val="nil"/>
                  </w:tcBorders>
                  <w:noWrap w:val="0"/>
                  <w:vAlign w:val="center"/>
                </w:tcPr>
                <w:p w14:paraId="3F45FD72">
                  <w:pPr>
                    <w:spacing w:line="300" w:lineRule="exact"/>
                    <w:jc w:val="center"/>
                    <w:rPr>
                      <w:rFonts w:hint="eastAsia" w:eastAsia="宋体"/>
                      <w:bCs/>
                      <w:color w:val="000000"/>
                      <w:szCs w:val="21"/>
                      <w:u w:val="none"/>
                      <w:lang w:eastAsia="zh-CN"/>
                    </w:rPr>
                  </w:pPr>
                  <w:r>
                    <w:rPr>
                      <w:bCs/>
                      <w:color w:val="000000"/>
                      <w:szCs w:val="21"/>
                      <w:u w:val="none"/>
                    </w:rPr>
                    <w:t>厂界四周</w:t>
                  </w:r>
                </w:p>
              </w:tc>
              <w:tc>
                <w:tcPr>
                  <w:tcW w:w="996" w:type="dxa"/>
                  <w:tcBorders>
                    <w:tl2br w:val="nil"/>
                    <w:tr2bl w:val="nil"/>
                  </w:tcBorders>
                  <w:noWrap w:val="0"/>
                  <w:vAlign w:val="center"/>
                </w:tcPr>
                <w:p w14:paraId="5C1397D4">
                  <w:pPr>
                    <w:spacing w:line="300" w:lineRule="exact"/>
                    <w:jc w:val="center"/>
                    <w:rPr>
                      <w:bCs/>
                      <w:color w:val="000000"/>
                      <w:szCs w:val="21"/>
                      <w:u w:val="none"/>
                    </w:rPr>
                  </w:pPr>
                  <w:r>
                    <w:rPr>
                      <w:bCs/>
                      <w:color w:val="000000"/>
                      <w:szCs w:val="21"/>
                      <w:u w:val="none"/>
                    </w:rPr>
                    <w:t>等效A声级</w:t>
                  </w:r>
                </w:p>
              </w:tc>
              <w:tc>
                <w:tcPr>
                  <w:tcW w:w="1116" w:type="dxa"/>
                  <w:tcBorders>
                    <w:tl2br w:val="nil"/>
                    <w:tr2bl w:val="nil"/>
                  </w:tcBorders>
                  <w:noWrap w:val="0"/>
                  <w:vAlign w:val="center"/>
                </w:tcPr>
                <w:p w14:paraId="44FC3E8D">
                  <w:pPr>
                    <w:spacing w:line="300" w:lineRule="exact"/>
                    <w:jc w:val="center"/>
                    <w:rPr>
                      <w:bCs/>
                      <w:color w:val="000000"/>
                      <w:szCs w:val="21"/>
                      <w:u w:val="none"/>
                    </w:rPr>
                  </w:pPr>
                  <w:r>
                    <w:rPr>
                      <w:rFonts w:hint="eastAsia"/>
                      <w:bCs/>
                      <w:color w:val="000000"/>
                      <w:szCs w:val="21"/>
                      <w:u w:val="none"/>
                    </w:rPr>
                    <w:t>1次/季度</w:t>
                  </w:r>
                </w:p>
              </w:tc>
              <w:tc>
                <w:tcPr>
                  <w:tcW w:w="2777" w:type="dxa"/>
                  <w:tcBorders>
                    <w:tl2br w:val="nil"/>
                    <w:tr2bl w:val="nil"/>
                  </w:tcBorders>
                  <w:noWrap w:val="0"/>
                  <w:vAlign w:val="center"/>
                </w:tcPr>
                <w:p w14:paraId="7B64147C">
                  <w:pPr>
                    <w:spacing w:line="300" w:lineRule="exact"/>
                    <w:jc w:val="center"/>
                    <w:rPr>
                      <w:bCs/>
                      <w:color w:val="000000"/>
                      <w:szCs w:val="21"/>
                      <w:u w:val="none"/>
                    </w:rPr>
                  </w:pPr>
                  <w:r>
                    <w:rPr>
                      <w:color w:val="000000"/>
                      <w:szCs w:val="21"/>
                      <w:u w:val="none"/>
                    </w:rPr>
                    <w:t>《工业企业厂界环境噪声排放标准》（GB12348-2008）</w:t>
                  </w:r>
                  <w:r>
                    <w:rPr>
                      <w:rFonts w:hint="eastAsia"/>
                      <w:color w:val="000000"/>
                      <w:szCs w:val="21"/>
                      <w:highlight w:val="none"/>
                      <w:u w:val="none"/>
                      <w:lang w:val="en-US" w:eastAsia="zh-CN"/>
                    </w:rPr>
                    <w:t>2</w:t>
                  </w:r>
                  <w:r>
                    <w:rPr>
                      <w:color w:val="000000"/>
                      <w:szCs w:val="21"/>
                      <w:u w:val="none"/>
                    </w:rPr>
                    <w:t>类标准</w:t>
                  </w:r>
                </w:p>
              </w:tc>
            </w:tr>
          </w:tbl>
          <w:p w14:paraId="1300227E">
            <w:pPr>
              <w:keepNext w:val="0"/>
              <w:keepLines w:val="0"/>
              <w:pageBreakBefore w:val="0"/>
              <w:widowControl w:val="0"/>
              <w:kinsoku/>
              <w:wordWrap/>
              <w:overflowPunct/>
              <w:topLinePunct w:val="0"/>
              <w:bidi w:val="0"/>
              <w:spacing w:line="500" w:lineRule="exact"/>
              <w:ind w:firstLine="482" w:firstLineChars="200"/>
              <w:textAlignment w:val="auto"/>
              <w:rPr>
                <w:rFonts w:hint="default" w:eastAsia="宋体"/>
                <w:b/>
                <w:sz w:val="24"/>
                <w:szCs w:val="24"/>
                <w:u w:val="none"/>
                <w:lang w:val="en-US" w:eastAsia="zh-CN"/>
              </w:rPr>
            </w:pPr>
            <w:r>
              <w:rPr>
                <w:rFonts w:hint="eastAsia"/>
                <w:b/>
                <w:sz w:val="24"/>
                <w:szCs w:val="24"/>
                <w:highlight w:val="none"/>
                <w:u w:val="none"/>
                <w:lang w:val="en-US" w:eastAsia="zh-CN"/>
              </w:rPr>
              <w:t>8</w:t>
            </w:r>
            <w:r>
              <w:rPr>
                <w:b/>
                <w:sz w:val="24"/>
                <w:szCs w:val="24"/>
                <w:highlight w:val="none"/>
                <w:u w:val="none"/>
              </w:rPr>
              <w:t>、</w:t>
            </w:r>
            <w:r>
              <w:rPr>
                <w:rFonts w:hint="eastAsia"/>
                <w:b/>
                <w:sz w:val="24"/>
                <w:szCs w:val="24"/>
                <w:highlight w:val="none"/>
                <w:u w:val="none"/>
                <w:lang w:val="en-US" w:eastAsia="zh-CN"/>
              </w:rPr>
              <w:t>总量控制</w:t>
            </w:r>
          </w:p>
          <w:p w14:paraId="57685CD6">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bCs/>
                <w:color w:val="auto"/>
                <w:sz w:val="24"/>
                <w:lang w:val="en-US" w:eastAsia="zh-CN" w:bidi="ar"/>
              </w:rPr>
            </w:pPr>
            <w:r>
              <w:rPr>
                <w:rFonts w:hint="default" w:ascii="Times New Roman" w:hAnsi="Times New Roman" w:cs="Times New Roman"/>
                <w:bCs/>
                <w:color w:val="auto"/>
                <w:sz w:val="24"/>
                <w:lang w:eastAsia="zh-CN" w:bidi="ar"/>
              </w:rPr>
              <w:t>根据平顶山市</w:t>
            </w:r>
            <w:r>
              <w:rPr>
                <w:rFonts w:hint="eastAsia" w:cs="Times New Roman"/>
                <w:bCs/>
                <w:color w:val="auto"/>
                <w:sz w:val="24"/>
                <w:lang w:val="en-US" w:eastAsia="zh-CN" w:bidi="ar"/>
              </w:rPr>
              <w:t>叶县</w:t>
            </w:r>
            <w:r>
              <w:rPr>
                <w:rFonts w:hint="default" w:ascii="Times New Roman" w:hAnsi="Times New Roman" w:cs="Times New Roman"/>
                <w:bCs/>
                <w:color w:val="auto"/>
                <w:sz w:val="24"/>
                <w:lang w:eastAsia="zh-CN" w:bidi="ar"/>
              </w:rPr>
              <w:t>总量控制指标的要求，总量控制指标为</w:t>
            </w:r>
            <w:r>
              <w:rPr>
                <w:rFonts w:hint="default" w:ascii="Times New Roman" w:hAnsi="Times New Roman" w:cs="Times New Roman"/>
                <w:bCs/>
                <w:color w:val="auto"/>
                <w:sz w:val="24"/>
                <w:lang w:val="en-US" w:eastAsia="zh-CN" w:bidi="ar"/>
              </w:rPr>
              <w:t>COD、NH</w:t>
            </w:r>
            <w:r>
              <w:rPr>
                <w:rFonts w:hint="default" w:ascii="Times New Roman" w:hAnsi="Times New Roman" w:cs="Times New Roman"/>
                <w:bCs/>
                <w:color w:val="auto"/>
                <w:sz w:val="24"/>
                <w:vertAlign w:val="subscript"/>
                <w:lang w:val="en-US" w:eastAsia="zh-CN" w:bidi="ar"/>
              </w:rPr>
              <w:t>3</w:t>
            </w:r>
            <w:r>
              <w:rPr>
                <w:rFonts w:hint="default" w:ascii="Times New Roman" w:hAnsi="Times New Roman" w:cs="Times New Roman"/>
                <w:bCs/>
                <w:color w:val="auto"/>
                <w:sz w:val="24"/>
                <w:lang w:val="en-US" w:eastAsia="zh-CN" w:bidi="ar"/>
              </w:rPr>
              <w:t>-N、SO</w:t>
            </w:r>
            <w:r>
              <w:rPr>
                <w:rFonts w:hint="default" w:ascii="Times New Roman" w:hAnsi="Times New Roman" w:cs="Times New Roman"/>
                <w:bCs/>
                <w:color w:val="auto"/>
                <w:sz w:val="24"/>
                <w:vertAlign w:val="subscript"/>
                <w:lang w:val="en-US" w:eastAsia="zh-CN" w:bidi="ar"/>
              </w:rPr>
              <w:t>2</w:t>
            </w:r>
            <w:r>
              <w:rPr>
                <w:rFonts w:hint="default" w:ascii="Times New Roman" w:hAnsi="Times New Roman" w:cs="Times New Roman"/>
                <w:bCs/>
                <w:color w:val="auto"/>
                <w:sz w:val="24"/>
                <w:lang w:val="en-US" w:eastAsia="zh-CN" w:bidi="ar"/>
              </w:rPr>
              <w:t>、NO</w:t>
            </w:r>
            <w:r>
              <w:rPr>
                <w:rFonts w:hint="default" w:ascii="Times New Roman" w:hAnsi="Times New Roman" w:cs="Times New Roman"/>
                <w:bCs/>
                <w:color w:val="auto"/>
                <w:sz w:val="24"/>
                <w:vertAlign w:val="subscript"/>
                <w:lang w:val="en-US" w:eastAsia="zh-CN" w:bidi="ar"/>
              </w:rPr>
              <w:t>X</w:t>
            </w:r>
            <w:r>
              <w:rPr>
                <w:rFonts w:hint="default" w:ascii="Times New Roman" w:hAnsi="Times New Roman" w:cs="Times New Roman"/>
                <w:bCs/>
                <w:color w:val="auto"/>
                <w:sz w:val="24"/>
                <w:lang w:val="en-US" w:eastAsia="zh-CN" w:bidi="ar"/>
              </w:rPr>
              <w:t>、颗粒物及有机废气。</w:t>
            </w:r>
          </w:p>
          <w:p w14:paraId="5CC4F6BC">
            <w:pPr>
              <w:spacing w:line="520" w:lineRule="exact"/>
              <w:ind w:firstLine="480" w:firstLineChars="200"/>
              <w:rPr>
                <w:color w:val="000000"/>
                <w:sz w:val="24"/>
              </w:rPr>
            </w:pPr>
            <w:r>
              <w:rPr>
                <w:color w:val="000000"/>
                <w:sz w:val="24"/>
              </w:rPr>
              <w:t>本项目无SO</w:t>
            </w:r>
            <w:r>
              <w:rPr>
                <w:color w:val="000000"/>
                <w:sz w:val="24"/>
                <w:vertAlign w:val="subscript"/>
              </w:rPr>
              <w:t>2</w:t>
            </w:r>
            <w:r>
              <w:rPr>
                <w:color w:val="000000"/>
                <w:sz w:val="24"/>
              </w:rPr>
              <w:t>、NO</w:t>
            </w:r>
            <w:r>
              <w:rPr>
                <w:color w:val="000000"/>
                <w:sz w:val="24"/>
                <w:vertAlign w:val="subscript"/>
              </w:rPr>
              <w:t>X</w:t>
            </w:r>
            <w:r>
              <w:rPr>
                <w:rFonts w:hint="eastAsia"/>
                <w:color w:val="000000"/>
                <w:sz w:val="24"/>
                <w:vertAlign w:val="baseline"/>
                <w:lang w:val="en-US" w:eastAsia="zh-CN"/>
              </w:rPr>
              <w:t>和有机废气</w:t>
            </w:r>
            <w:r>
              <w:rPr>
                <w:color w:val="000000"/>
                <w:sz w:val="24"/>
              </w:rPr>
              <w:t>大气污染物产生，</w:t>
            </w:r>
            <w:r>
              <w:rPr>
                <w:rFonts w:hint="eastAsia" w:ascii="Times New Roman" w:hAnsi="Times New Roman" w:eastAsia="宋体"/>
                <w:color w:val="auto"/>
                <w:sz w:val="24"/>
                <w:szCs w:val="21"/>
                <w:highlight w:val="none"/>
                <w:lang w:val="en-US" w:eastAsia="zh-CN"/>
              </w:rPr>
              <w:t>本项目生产废气为</w:t>
            </w:r>
            <w:r>
              <w:rPr>
                <w:rFonts w:hint="eastAsia"/>
                <w:color w:val="auto"/>
                <w:sz w:val="24"/>
                <w:szCs w:val="21"/>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颗粒物：</w:t>
            </w:r>
            <w:r>
              <w:rPr>
                <w:rFonts w:hint="eastAsia" w:cs="Times New Roman"/>
                <w:color w:val="auto"/>
                <w:kern w:val="0"/>
                <w:sz w:val="24"/>
                <w:szCs w:val="24"/>
                <w:highlight w:val="none"/>
                <w:lang w:val="en-US" w:eastAsia="zh-CN"/>
              </w:rPr>
              <w:t>0.53</w:t>
            </w:r>
            <w:r>
              <w:rPr>
                <w:rFonts w:hint="eastAsia" w:ascii="Times New Roman" w:hAnsi="Times New Roman" w:eastAsia="宋体" w:cs="Times New Roman"/>
                <w:color w:val="auto"/>
                <w:kern w:val="0"/>
                <w:sz w:val="24"/>
                <w:szCs w:val="24"/>
                <w:highlight w:val="none"/>
              </w:rPr>
              <w:t>t/a</w:t>
            </w:r>
            <w:r>
              <w:rPr>
                <w:color w:val="000000"/>
                <w:sz w:val="24"/>
                <w:highlight w:val="none"/>
              </w:rPr>
              <w:t>。</w:t>
            </w:r>
            <w:r>
              <w:rPr>
                <w:rFonts w:hint="eastAsia" w:cs="Times New Roman"/>
                <w:bCs/>
                <w:color w:val="auto"/>
                <w:kern w:val="2"/>
                <w:sz w:val="24"/>
                <w:szCs w:val="24"/>
                <w:highlight w:val="none"/>
                <w:u w:val="none"/>
                <w:lang w:val="en-US" w:eastAsia="zh-CN" w:bidi="ar-SA"/>
              </w:rPr>
              <w:t>平顶山盈润环保科技有限公司排污许可证注销</w:t>
            </w:r>
            <w:r>
              <w:rPr>
                <w:rFonts w:hint="default" w:ascii="Times New Roman" w:hAnsi="Times New Roman" w:cs="Times New Roman"/>
                <w:color w:val="auto"/>
                <w:sz w:val="24"/>
                <w:szCs w:val="24"/>
                <w:highlight w:val="none"/>
                <w:u w:val="none"/>
                <w:lang w:val="en-US" w:eastAsia="zh-CN"/>
              </w:rPr>
              <w:t>可以满足本项目</w:t>
            </w:r>
            <w:r>
              <w:rPr>
                <w:rFonts w:hint="eastAsia" w:cs="Times New Roman"/>
                <w:color w:val="auto"/>
                <w:sz w:val="24"/>
                <w:szCs w:val="24"/>
                <w:highlight w:val="none"/>
                <w:u w:val="none"/>
                <w:lang w:val="en-US" w:eastAsia="zh-CN"/>
              </w:rPr>
              <w:t>颗粒物</w:t>
            </w:r>
            <w:r>
              <w:rPr>
                <w:rFonts w:hint="default" w:ascii="Times New Roman" w:hAnsi="Times New Roman" w:cs="Times New Roman"/>
                <w:bCs/>
                <w:color w:val="auto"/>
                <w:kern w:val="2"/>
                <w:sz w:val="24"/>
                <w:szCs w:val="24"/>
                <w:highlight w:val="none"/>
                <w:u w:val="none"/>
                <w:lang w:val="en-US" w:eastAsia="zh-CN" w:bidi="ar-SA"/>
              </w:rPr>
              <w:t>排放量的替代要求。</w:t>
            </w:r>
          </w:p>
          <w:p w14:paraId="0764A51B">
            <w:pPr>
              <w:pStyle w:val="7"/>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b/>
                <w:bCs w:val="0"/>
                <w:szCs w:val="24"/>
                <w:u w:val="none"/>
                <w:lang w:val="en-US" w:eastAsia="zh-CN" w:bidi="ar"/>
              </w:rPr>
            </w:pPr>
            <w:r>
              <w:rPr>
                <w:color w:val="000000"/>
                <w:sz w:val="24"/>
              </w:rPr>
              <w:t>本项目</w:t>
            </w:r>
            <w:r>
              <w:rPr>
                <w:rFonts w:hint="eastAsia"/>
                <w:color w:val="000000"/>
                <w:sz w:val="24"/>
              </w:rPr>
              <w:t>车辆冲洗废水经沉淀池沉淀后循环使用</w:t>
            </w:r>
            <w:r>
              <w:rPr>
                <w:rFonts w:hint="eastAsia"/>
                <w:color w:val="000000"/>
                <w:sz w:val="24"/>
                <w:lang w:eastAsia="zh-CN"/>
              </w:rPr>
              <w:t>；</w:t>
            </w:r>
            <w:r>
              <w:rPr>
                <w:color w:val="000000"/>
                <w:sz w:val="24"/>
              </w:rPr>
              <w:t>生产废水经</w:t>
            </w:r>
            <w:r>
              <w:rPr>
                <w:rFonts w:hint="eastAsia"/>
                <w:color w:val="000000"/>
                <w:sz w:val="24"/>
              </w:rPr>
              <w:t>浓缩沉淀</w:t>
            </w:r>
            <w:r>
              <w:rPr>
                <w:color w:val="000000"/>
                <w:sz w:val="24"/>
              </w:rPr>
              <w:t>后循环利用</w:t>
            </w:r>
            <w:r>
              <w:rPr>
                <w:rFonts w:hint="eastAsia"/>
                <w:color w:val="000000"/>
                <w:sz w:val="24"/>
                <w:lang w:eastAsia="zh-CN"/>
              </w:rPr>
              <w:t>；</w:t>
            </w:r>
            <w:r>
              <w:rPr>
                <w:color w:val="000000"/>
                <w:sz w:val="24"/>
              </w:rPr>
              <w:t>员工生活污水经化粪池处理后</w:t>
            </w:r>
            <w:r>
              <w:rPr>
                <w:rFonts w:hint="eastAsia"/>
                <w:color w:val="000000"/>
                <w:sz w:val="24"/>
              </w:rPr>
              <w:t>用于周围农田施肥</w:t>
            </w:r>
            <w:r>
              <w:rPr>
                <w:rFonts w:hint="eastAsia"/>
                <w:color w:val="000000"/>
                <w:sz w:val="24"/>
                <w:lang w:eastAsia="zh-CN"/>
              </w:rPr>
              <w:t>，</w:t>
            </w:r>
            <w:r>
              <w:rPr>
                <w:rFonts w:hint="eastAsia"/>
                <w:color w:val="000000"/>
                <w:sz w:val="24"/>
                <w:lang w:val="en-US" w:eastAsia="zh-CN"/>
              </w:rPr>
              <w:t>资源化利用，不外排。</w:t>
            </w:r>
            <w:r>
              <w:rPr>
                <w:color w:val="000000"/>
                <w:sz w:val="24"/>
              </w:rPr>
              <w:t>项目无废水排放，因此不设置COD、NH</w:t>
            </w:r>
            <w:r>
              <w:rPr>
                <w:color w:val="000000"/>
                <w:sz w:val="24"/>
                <w:vertAlign w:val="subscript"/>
              </w:rPr>
              <w:t>3</w:t>
            </w:r>
            <w:r>
              <w:rPr>
                <w:color w:val="000000"/>
                <w:sz w:val="24"/>
              </w:rPr>
              <w:t>-N总量控制指标。</w:t>
            </w:r>
          </w:p>
          <w:p w14:paraId="3239589C">
            <w:pPr>
              <w:pStyle w:val="7"/>
              <w:keepNext w:val="0"/>
              <w:keepLines w:val="0"/>
              <w:pageBreakBefore w:val="0"/>
              <w:widowControl w:val="0"/>
              <w:kinsoku/>
              <w:wordWrap/>
              <w:overflowPunct/>
              <w:topLinePunct w:val="0"/>
              <w:autoSpaceDE/>
              <w:autoSpaceDN/>
              <w:bidi w:val="0"/>
              <w:adjustRightInd/>
              <w:snapToGrid/>
              <w:spacing w:line="500" w:lineRule="exact"/>
              <w:ind w:firstLine="482" w:firstLineChars="200"/>
              <w:jc w:val="left"/>
              <w:textAlignment w:val="auto"/>
              <w:rPr>
                <w:rFonts w:hint="eastAsia"/>
                <w:b/>
                <w:bCs w:val="0"/>
                <w:sz w:val="24"/>
                <w:szCs w:val="24"/>
                <w:u w:val="none"/>
                <w:lang w:val="en-US" w:eastAsia="zh-CN" w:bidi="ar"/>
              </w:rPr>
            </w:pPr>
            <w:r>
              <w:rPr>
                <w:rFonts w:hint="eastAsia"/>
                <w:b/>
                <w:bCs w:val="0"/>
                <w:sz w:val="24"/>
                <w:szCs w:val="24"/>
                <w:u w:val="none"/>
                <w:lang w:val="en-US" w:eastAsia="zh-CN" w:bidi="ar"/>
              </w:rPr>
              <w:t>9、环保投资及验收一览表</w:t>
            </w:r>
          </w:p>
          <w:p w14:paraId="0110DFF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sz w:val="24"/>
                <w:u w:val="none"/>
                <w:lang w:bidi="ar"/>
              </w:rPr>
            </w:pPr>
            <w:r>
              <w:rPr>
                <w:rFonts w:hint="eastAsia"/>
                <w:sz w:val="24"/>
                <w:u w:val="none"/>
                <w:lang w:bidi="ar"/>
              </w:rPr>
              <w:t>本项目总投资</w:t>
            </w:r>
            <w:r>
              <w:rPr>
                <w:rFonts w:hint="eastAsia"/>
                <w:sz w:val="24"/>
                <w:u w:val="none"/>
                <w:lang w:val="en-US" w:eastAsia="zh-CN" w:bidi="ar"/>
              </w:rPr>
              <w:t>1</w:t>
            </w:r>
            <w:r>
              <w:rPr>
                <w:rFonts w:hint="eastAsia"/>
                <w:sz w:val="24"/>
                <w:u w:val="none"/>
                <w:lang w:bidi="ar"/>
              </w:rPr>
              <w:t>00</w:t>
            </w:r>
            <w:r>
              <w:rPr>
                <w:rFonts w:hint="eastAsia"/>
                <w:sz w:val="24"/>
                <w:u w:val="none"/>
                <w:lang w:val="en-US" w:eastAsia="zh-CN" w:bidi="ar"/>
              </w:rPr>
              <w:t>0</w:t>
            </w:r>
            <w:r>
              <w:rPr>
                <w:rFonts w:hint="eastAsia"/>
                <w:sz w:val="24"/>
                <w:u w:val="none"/>
                <w:lang w:bidi="ar"/>
              </w:rPr>
              <w:t>万元，其中环保投资</w:t>
            </w:r>
            <w:r>
              <w:rPr>
                <w:rFonts w:hint="eastAsia"/>
                <w:sz w:val="24"/>
                <w:u w:val="none"/>
                <w:lang w:val="en-US" w:eastAsia="zh-CN" w:bidi="ar"/>
              </w:rPr>
              <w:t>130</w:t>
            </w:r>
            <w:r>
              <w:rPr>
                <w:rFonts w:hint="eastAsia"/>
                <w:sz w:val="24"/>
                <w:u w:val="none"/>
                <w:lang w:bidi="ar"/>
              </w:rPr>
              <w:t>万元，占总投资的</w:t>
            </w:r>
            <w:r>
              <w:rPr>
                <w:rFonts w:hint="eastAsia"/>
                <w:sz w:val="24"/>
                <w:u w:val="none"/>
                <w:lang w:val="en-US" w:eastAsia="zh-CN" w:bidi="ar"/>
              </w:rPr>
              <w:t>13</w:t>
            </w:r>
            <w:r>
              <w:rPr>
                <w:rFonts w:hint="eastAsia"/>
                <w:sz w:val="24"/>
                <w:u w:val="none"/>
                <w:lang w:bidi="ar"/>
              </w:rPr>
              <w:t>%，项目环保投资见下表。</w:t>
            </w:r>
          </w:p>
          <w:p w14:paraId="44FB9D49">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eastAsia" w:ascii="黑体" w:hAnsi="黑体" w:eastAsia="黑体"/>
                <w:sz w:val="24"/>
                <w:highlight w:val="none"/>
                <w:u w:val="none"/>
              </w:rPr>
            </w:pPr>
            <w:r>
              <w:rPr>
                <w:rFonts w:eastAsia="黑体"/>
                <w:sz w:val="24"/>
                <w:highlight w:val="none"/>
                <w:u w:val="none"/>
              </w:rPr>
              <w:t>表</w:t>
            </w:r>
            <w:r>
              <w:rPr>
                <w:rFonts w:hint="eastAsia" w:eastAsia="黑体"/>
                <w:sz w:val="24"/>
                <w:highlight w:val="none"/>
                <w:u w:val="none"/>
              </w:rPr>
              <w:t>4-</w:t>
            </w:r>
            <w:r>
              <w:rPr>
                <w:rFonts w:hint="eastAsia" w:eastAsia="黑体"/>
                <w:sz w:val="24"/>
                <w:highlight w:val="none"/>
                <w:u w:val="none"/>
                <w:lang w:val="en-US" w:eastAsia="zh-CN"/>
              </w:rPr>
              <w:t>25</w:t>
            </w:r>
            <w:r>
              <w:rPr>
                <w:rFonts w:eastAsia="黑体"/>
                <w:sz w:val="24"/>
                <w:highlight w:val="none"/>
                <w:u w:val="none"/>
              </w:rPr>
              <w:t xml:space="preserve"> 项目环保投</w:t>
            </w:r>
            <w:r>
              <w:rPr>
                <w:rFonts w:hint="eastAsia" w:ascii="黑体" w:hAnsi="黑体" w:eastAsia="黑体"/>
                <w:sz w:val="24"/>
                <w:highlight w:val="none"/>
                <w:u w:val="none"/>
              </w:rPr>
              <w:t>资及验收一览表</w:t>
            </w:r>
          </w:p>
          <w:tbl>
            <w:tblPr>
              <w:tblStyle w:val="23"/>
              <w:tblW w:w="803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01"/>
              <w:gridCol w:w="537"/>
              <w:gridCol w:w="792"/>
              <w:gridCol w:w="3540"/>
              <w:gridCol w:w="1608"/>
              <w:gridCol w:w="960"/>
            </w:tblGrid>
            <w:tr w14:paraId="37F265D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601" w:type="dxa"/>
                  <w:tcBorders>
                    <w:tl2br w:val="nil"/>
                    <w:tr2bl w:val="nil"/>
                  </w:tcBorders>
                  <w:noWrap w:val="0"/>
                  <w:vAlign w:val="center"/>
                </w:tcPr>
                <w:p w14:paraId="7F778DC3">
                  <w:pPr>
                    <w:spacing w:line="240" w:lineRule="exact"/>
                    <w:jc w:val="center"/>
                    <w:rPr>
                      <w:rFonts w:hint="eastAsia" w:eastAsia="宋体"/>
                      <w:b/>
                      <w:bCs/>
                      <w:color w:val="000000"/>
                      <w:szCs w:val="21"/>
                      <w:u w:val="none"/>
                      <w:lang w:val="en-US" w:eastAsia="zh-CN"/>
                    </w:rPr>
                  </w:pPr>
                  <w:r>
                    <w:rPr>
                      <w:b/>
                      <w:bCs/>
                      <w:color w:val="000000"/>
                      <w:szCs w:val="21"/>
                      <w:u w:val="none"/>
                    </w:rPr>
                    <w:t>污染因</w:t>
                  </w:r>
                  <w:r>
                    <w:rPr>
                      <w:rFonts w:hint="eastAsia"/>
                      <w:b/>
                      <w:bCs/>
                      <w:color w:val="000000"/>
                      <w:szCs w:val="21"/>
                      <w:u w:val="none"/>
                      <w:lang w:val="en-US" w:eastAsia="zh-CN"/>
                    </w:rPr>
                    <w:t>子</w:t>
                  </w:r>
                </w:p>
              </w:tc>
              <w:tc>
                <w:tcPr>
                  <w:tcW w:w="1329" w:type="dxa"/>
                  <w:gridSpan w:val="2"/>
                  <w:tcBorders>
                    <w:tl2br w:val="nil"/>
                    <w:tr2bl w:val="nil"/>
                  </w:tcBorders>
                  <w:noWrap w:val="0"/>
                  <w:vAlign w:val="center"/>
                </w:tcPr>
                <w:p w14:paraId="035B3FB7">
                  <w:pPr>
                    <w:spacing w:line="240" w:lineRule="exact"/>
                    <w:jc w:val="center"/>
                    <w:rPr>
                      <w:b/>
                      <w:bCs/>
                      <w:color w:val="000000"/>
                      <w:szCs w:val="21"/>
                      <w:u w:val="none"/>
                    </w:rPr>
                  </w:pPr>
                  <w:r>
                    <w:rPr>
                      <w:b/>
                      <w:bCs/>
                      <w:color w:val="000000"/>
                      <w:szCs w:val="21"/>
                      <w:u w:val="none"/>
                    </w:rPr>
                    <w:t>排放源</w:t>
                  </w:r>
                </w:p>
              </w:tc>
              <w:tc>
                <w:tcPr>
                  <w:tcW w:w="3540" w:type="dxa"/>
                  <w:tcBorders>
                    <w:tl2br w:val="nil"/>
                    <w:tr2bl w:val="nil"/>
                  </w:tcBorders>
                  <w:noWrap w:val="0"/>
                  <w:vAlign w:val="center"/>
                </w:tcPr>
                <w:p w14:paraId="11E23E86">
                  <w:pPr>
                    <w:spacing w:line="240" w:lineRule="exact"/>
                    <w:jc w:val="center"/>
                    <w:rPr>
                      <w:b/>
                      <w:bCs/>
                      <w:color w:val="000000"/>
                      <w:szCs w:val="21"/>
                      <w:u w:val="none"/>
                    </w:rPr>
                  </w:pPr>
                  <w:r>
                    <w:rPr>
                      <w:b/>
                      <w:bCs/>
                      <w:color w:val="000000"/>
                      <w:szCs w:val="21"/>
                      <w:u w:val="none"/>
                    </w:rPr>
                    <w:t>环保设施</w:t>
                  </w:r>
                </w:p>
              </w:tc>
              <w:tc>
                <w:tcPr>
                  <w:tcW w:w="1608" w:type="dxa"/>
                  <w:tcBorders>
                    <w:tl2br w:val="nil"/>
                    <w:tr2bl w:val="nil"/>
                  </w:tcBorders>
                  <w:noWrap w:val="0"/>
                  <w:vAlign w:val="center"/>
                </w:tcPr>
                <w:p w14:paraId="2E979A37">
                  <w:pPr>
                    <w:spacing w:line="240" w:lineRule="exact"/>
                    <w:jc w:val="center"/>
                    <w:rPr>
                      <w:rFonts w:hint="default" w:eastAsia="宋体"/>
                      <w:b/>
                      <w:bCs/>
                      <w:color w:val="000000"/>
                      <w:szCs w:val="21"/>
                      <w:u w:val="none"/>
                      <w:lang w:val="en-US" w:eastAsia="zh-CN"/>
                    </w:rPr>
                  </w:pPr>
                  <w:r>
                    <w:rPr>
                      <w:rFonts w:hint="eastAsia"/>
                      <w:b/>
                      <w:bCs/>
                      <w:color w:val="000000"/>
                      <w:szCs w:val="21"/>
                      <w:u w:val="none"/>
                      <w:lang w:val="en-US" w:eastAsia="zh-CN"/>
                    </w:rPr>
                    <w:t>验收标准</w:t>
                  </w:r>
                </w:p>
              </w:tc>
              <w:tc>
                <w:tcPr>
                  <w:tcW w:w="960" w:type="dxa"/>
                  <w:tcBorders>
                    <w:tl2br w:val="nil"/>
                    <w:tr2bl w:val="nil"/>
                  </w:tcBorders>
                  <w:noWrap w:val="0"/>
                  <w:vAlign w:val="center"/>
                </w:tcPr>
                <w:p w14:paraId="442626FE">
                  <w:pPr>
                    <w:spacing w:line="240" w:lineRule="exact"/>
                    <w:jc w:val="center"/>
                    <w:rPr>
                      <w:b/>
                      <w:bCs/>
                      <w:color w:val="000000"/>
                      <w:szCs w:val="21"/>
                      <w:u w:val="none"/>
                    </w:rPr>
                  </w:pPr>
                  <w:r>
                    <w:rPr>
                      <w:b/>
                      <w:bCs/>
                      <w:color w:val="000000"/>
                      <w:szCs w:val="21"/>
                      <w:u w:val="none"/>
                    </w:rPr>
                    <w:t>环保</w:t>
                  </w:r>
                </w:p>
                <w:p w14:paraId="0124BEEA">
                  <w:pPr>
                    <w:spacing w:line="240" w:lineRule="exact"/>
                    <w:jc w:val="center"/>
                    <w:rPr>
                      <w:b/>
                      <w:bCs/>
                      <w:color w:val="000000"/>
                      <w:szCs w:val="21"/>
                      <w:u w:val="none"/>
                    </w:rPr>
                  </w:pPr>
                  <w:r>
                    <w:rPr>
                      <w:b/>
                      <w:bCs/>
                      <w:color w:val="000000"/>
                      <w:szCs w:val="21"/>
                      <w:u w:val="none"/>
                    </w:rPr>
                    <w:t>投资</w:t>
                  </w:r>
                </w:p>
                <w:p w14:paraId="26CA4AC3">
                  <w:pPr>
                    <w:spacing w:line="240" w:lineRule="exact"/>
                    <w:jc w:val="center"/>
                    <w:rPr>
                      <w:b/>
                      <w:bCs/>
                      <w:color w:val="000000"/>
                      <w:szCs w:val="21"/>
                      <w:u w:val="none"/>
                    </w:rPr>
                  </w:pPr>
                  <w:r>
                    <w:rPr>
                      <w:b/>
                      <w:bCs/>
                      <w:color w:val="000000"/>
                      <w:szCs w:val="21"/>
                      <w:u w:val="none"/>
                    </w:rPr>
                    <w:t>（万元）</w:t>
                  </w:r>
                </w:p>
              </w:tc>
            </w:tr>
            <w:tr w14:paraId="276B863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52" w:hRule="atLeast"/>
                <w:jc w:val="center"/>
              </w:trPr>
              <w:tc>
                <w:tcPr>
                  <w:tcW w:w="601" w:type="dxa"/>
                  <w:vMerge w:val="restart"/>
                  <w:tcBorders>
                    <w:tl2br w:val="nil"/>
                    <w:tr2bl w:val="nil"/>
                  </w:tcBorders>
                  <w:noWrap w:val="0"/>
                  <w:vAlign w:val="center"/>
                </w:tcPr>
                <w:p w14:paraId="7073C33A">
                  <w:pPr>
                    <w:spacing w:line="240" w:lineRule="exact"/>
                    <w:jc w:val="center"/>
                    <w:rPr>
                      <w:color w:val="000000"/>
                      <w:szCs w:val="21"/>
                      <w:u w:val="none"/>
                    </w:rPr>
                  </w:pPr>
                  <w:r>
                    <w:rPr>
                      <w:color w:val="000000"/>
                      <w:szCs w:val="21"/>
                      <w:u w:val="none"/>
                    </w:rPr>
                    <w:t>废气</w:t>
                  </w:r>
                </w:p>
              </w:tc>
              <w:tc>
                <w:tcPr>
                  <w:tcW w:w="1329" w:type="dxa"/>
                  <w:gridSpan w:val="2"/>
                  <w:tcBorders>
                    <w:tl2br w:val="nil"/>
                    <w:tr2bl w:val="nil"/>
                  </w:tcBorders>
                  <w:noWrap w:val="0"/>
                  <w:vAlign w:val="center"/>
                </w:tcPr>
                <w:p w14:paraId="044948DC">
                  <w:pPr>
                    <w:spacing w:line="240" w:lineRule="exact"/>
                    <w:jc w:val="center"/>
                    <w:rPr>
                      <w:rFonts w:hint="eastAsia"/>
                      <w:color w:val="000000"/>
                      <w:szCs w:val="21"/>
                      <w:u w:val="none"/>
                      <w:lang w:val="en-US" w:eastAsia="zh-CN"/>
                    </w:rPr>
                  </w:pPr>
                  <w:r>
                    <w:rPr>
                      <w:color w:val="000000"/>
                      <w:szCs w:val="21"/>
                      <w:u w:val="none"/>
                    </w:rPr>
                    <w:t>原料</w:t>
                  </w:r>
                  <w:r>
                    <w:rPr>
                      <w:rFonts w:hint="eastAsia"/>
                      <w:color w:val="000000"/>
                      <w:szCs w:val="21"/>
                      <w:u w:val="none"/>
                      <w:lang w:val="en-US" w:eastAsia="zh-CN"/>
                    </w:rPr>
                    <w:t>堆放</w:t>
                  </w:r>
                </w:p>
                <w:p w14:paraId="4FA75EA1">
                  <w:pPr>
                    <w:spacing w:line="240" w:lineRule="exact"/>
                    <w:jc w:val="center"/>
                    <w:rPr>
                      <w:color w:val="000000"/>
                      <w:szCs w:val="21"/>
                      <w:u w:val="none"/>
                    </w:rPr>
                  </w:pPr>
                  <w:r>
                    <w:rPr>
                      <w:color w:val="000000"/>
                      <w:szCs w:val="21"/>
                      <w:u w:val="none"/>
                    </w:rPr>
                    <w:t>装卸</w:t>
                  </w:r>
                </w:p>
              </w:tc>
              <w:tc>
                <w:tcPr>
                  <w:tcW w:w="3540" w:type="dxa"/>
                  <w:tcBorders>
                    <w:tl2br w:val="nil"/>
                    <w:tr2bl w:val="nil"/>
                  </w:tcBorders>
                  <w:noWrap w:val="0"/>
                  <w:vAlign w:val="center"/>
                </w:tcPr>
                <w:p w14:paraId="1390B813">
                  <w:pPr>
                    <w:spacing w:line="240" w:lineRule="exact"/>
                    <w:jc w:val="center"/>
                    <w:rPr>
                      <w:color w:val="000000"/>
                      <w:kern w:val="0"/>
                      <w:szCs w:val="21"/>
                      <w:u w:val="none"/>
                    </w:rPr>
                  </w:pPr>
                  <w:r>
                    <w:rPr>
                      <w:color w:val="000000"/>
                      <w:kern w:val="0"/>
                      <w:szCs w:val="21"/>
                      <w:u w:val="none"/>
                    </w:rPr>
                    <w:t>厂房密闭、</w:t>
                  </w:r>
                  <w:r>
                    <w:rPr>
                      <w:rFonts w:hint="eastAsia"/>
                      <w:color w:val="000000"/>
                      <w:kern w:val="0"/>
                      <w:szCs w:val="21"/>
                      <w:u w:val="none"/>
                      <w:lang w:val="en-US" w:eastAsia="zh-CN"/>
                    </w:rPr>
                    <w:t>原料堆放区安装一套</w:t>
                  </w:r>
                  <w:r>
                    <w:rPr>
                      <w:rFonts w:hint="eastAsia"/>
                      <w:color w:val="000000"/>
                      <w:kern w:val="0"/>
                      <w:szCs w:val="21"/>
                      <w:u w:val="none"/>
                    </w:rPr>
                    <w:t>喷雾抑尘</w:t>
                  </w:r>
                  <w:r>
                    <w:rPr>
                      <w:bCs/>
                      <w:color w:val="000000"/>
                      <w:szCs w:val="21"/>
                      <w:u w:val="none"/>
                    </w:rPr>
                    <w:t>装置</w:t>
                  </w:r>
                </w:p>
              </w:tc>
              <w:tc>
                <w:tcPr>
                  <w:tcW w:w="1608" w:type="dxa"/>
                  <w:vMerge w:val="restart"/>
                  <w:tcBorders>
                    <w:tl2br w:val="nil"/>
                    <w:tr2bl w:val="nil"/>
                  </w:tcBorders>
                  <w:noWrap w:val="0"/>
                  <w:vAlign w:val="center"/>
                </w:tcPr>
                <w:p w14:paraId="208A97E9">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color w:val="000000"/>
                      <w:kern w:val="0"/>
                      <w:sz w:val="21"/>
                      <w:szCs w:val="21"/>
                      <w:u w:val="none"/>
                    </w:rPr>
                  </w:pPr>
                  <w:r>
                    <w:rPr>
                      <w:rFonts w:hint="eastAsia"/>
                      <w:color w:val="000000"/>
                      <w:sz w:val="21"/>
                      <w:szCs w:val="21"/>
                      <w:u w:val="none"/>
                      <w:lang w:eastAsia="zh-CN"/>
                    </w:rPr>
                    <w:t>《</w:t>
                  </w:r>
                  <w:r>
                    <w:rPr>
                      <w:rFonts w:hint="eastAsia"/>
                      <w:sz w:val="21"/>
                      <w:szCs w:val="21"/>
                      <w:lang w:val="en-US" w:eastAsia="zh-CN"/>
                    </w:rPr>
                    <w:t>河南省水泥工业大气污染物排放标准</w:t>
                  </w:r>
                  <w:r>
                    <w:rPr>
                      <w:rFonts w:hint="eastAsia"/>
                      <w:color w:val="000000"/>
                      <w:sz w:val="21"/>
                      <w:szCs w:val="21"/>
                      <w:u w:val="none"/>
                      <w:lang w:eastAsia="zh-CN"/>
                    </w:rPr>
                    <w:t>》</w:t>
                  </w:r>
                  <w:r>
                    <w:rPr>
                      <w:rFonts w:hint="eastAsia"/>
                      <w:sz w:val="21"/>
                      <w:szCs w:val="21"/>
                      <w:lang w:val="en-US" w:eastAsia="zh-CN"/>
                    </w:rPr>
                    <w:t>(DB41/1953-2020)</w:t>
                  </w:r>
                  <w:r>
                    <w:rPr>
                      <w:rFonts w:hint="eastAsia" w:ascii="Times New Roman" w:hAnsi="Times New Roman"/>
                      <w:sz w:val="21"/>
                      <w:szCs w:val="21"/>
                      <w:highlight w:val="none"/>
                      <w:u w:val="none"/>
                    </w:rPr>
                    <w:t>的要求</w:t>
                  </w:r>
                  <w:r>
                    <w:rPr>
                      <w:rFonts w:hint="eastAsia" w:ascii="Times New Roman" w:hAnsi="Times New Roman"/>
                      <w:sz w:val="21"/>
                      <w:szCs w:val="21"/>
                      <w:highlight w:val="none"/>
                      <w:u w:val="none"/>
                      <w:lang w:eastAsia="zh-CN"/>
                    </w:rPr>
                    <w:t>（</w:t>
                  </w:r>
                  <w:r>
                    <w:rPr>
                      <w:rFonts w:hint="default" w:ascii="Times New Roman" w:hAnsi="Times New Roman" w:cs="Times New Roman"/>
                      <w:sz w:val="21"/>
                      <w:szCs w:val="21"/>
                      <w:highlight w:val="none"/>
                      <w:u w:val="none"/>
                      <w:lang w:val="en-US" w:eastAsia="zh-CN"/>
                    </w:rPr>
                    <w:t>监控</w:t>
                  </w:r>
                  <w:r>
                    <w:rPr>
                      <w:rFonts w:hint="default" w:ascii="Times New Roman" w:hAnsi="Times New Roman" w:eastAsia="宋体" w:cs="Times New Roman"/>
                      <w:sz w:val="21"/>
                      <w:szCs w:val="21"/>
                    </w:rPr>
                    <w:t>点与参照点总悬浮颗粒物（TSP）1h浓度值的差值</w:t>
                  </w:r>
                  <w:r>
                    <w:rPr>
                      <w:rFonts w:hint="eastAsia" w:cs="Times New Roman"/>
                      <w:b w:val="0"/>
                      <w:bCs w:val="0"/>
                      <w:color w:val="000000"/>
                      <w:sz w:val="21"/>
                      <w:szCs w:val="21"/>
                      <w:highlight w:val="none"/>
                      <w:u w:val="none"/>
                      <w:lang w:val="en-US" w:eastAsia="zh-CN"/>
                    </w:rPr>
                    <w:t>0.5</w:t>
                  </w:r>
                  <w:r>
                    <w:rPr>
                      <w:rFonts w:ascii="Times New Roman" w:hAnsi="Times New Roman" w:cs="Times New Roman"/>
                      <w:b w:val="0"/>
                      <w:bCs w:val="0"/>
                      <w:color w:val="000000"/>
                      <w:sz w:val="21"/>
                      <w:szCs w:val="21"/>
                      <w:highlight w:val="none"/>
                      <w:u w:val="none"/>
                    </w:rPr>
                    <w:t>mg/m</w:t>
                  </w:r>
                  <w:r>
                    <w:rPr>
                      <w:rFonts w:ascii="Times New Roman" w:hAnsi="Times New Roman" w:cs="Times New Roman"/>
                      <w:b w:val="0"/>
                      <w:bCs w:val="0"/>
                      <w:color w:val="000000"/>
                      <w:sz w:val="21"/>
                      <w:szCs w:val="21"/>
                      <w:highlight w:val="none"/>
                      <w:u w:val="none"/>
                      <w:vertAlign w:val="superscript"/>
                    </w:rPr>
                    <w:t>3</w:t>
                  </w:r>
                  <w:r>
                    <w:rPr>
                      <w:rFonts w:hint="eastAsia" w:ascii="Times New Roman" w:hAnsi="Times New Roman"/>
                      <w:sz w:val="21"/>
                      <w:szCs w:val="21"/>
                      <w:highlight w:val="none"/>
                      <w:u w:val="none"/>
                      <w:lang w:eastAsia="zh-CN"/>
                    </w:rPr>
                    <w:t>）</w:t>
                  </w:r>
                  <w:r>
                    <w:rPr>
                      <w:rFonts w:hint="eastAsia"/>
                      <w:sz w:val="21"/>
                      <w:szCs w:val="21"/>
                      <w:highlight w:val="none"/>
                      <w:u w:val="none"/>
                      <w:lang w:eastAsia="zh-CN"/>
                    </w:rPr>
                    <w:t>、</w:t>
                  </w:r>
                  <w:r>
                    <w:rPr>
                      <w:rFonts w:hint="eastAsia" w:ascii="Times New Roman" w:hAnsi="Times New Roman" w:eastAsia="宋体" w:cs="Times New Roman"/>
                      <w:b w:val="0"/>
                      <w:bCs w:val="0"/>
                      <w:color w:val="000000"/>
                      <w:sz w:val="21"/>
                      <w:szCs w:val="21"/>
                    </w:rPr>
                    <w:t>《大气污染物综合排放标准》(GB16297</w:t>
                  </w:r>
                  <w:r>
                    <w:rPr>
                      <w:rFonts w:hint="eastAsia" w:ascii="Times New Roman" w:hAnsi="Times New Roman" w:eastAsia="宋体" w:cs="Times New Roman"/>
                      <w:b w:val="0"/>
                      <w:bCs w:val="0"/>
                      <w:color w:val="000000"/>
                      <w:sz w:val="21"/>
                      <w:szCs w:val="21"/>
                      <w:lang w:val="en-US" w:eastAsia="zh-CN"/>
                    </w:rPr>
                    <w:t>-</w:t>
                  </w:r>
                  <w:r>
                    <w:rPr>
                      <w:rFonts w:hint="eastAsia" w:ascii="Times New Roman" w:hAnsi="Times New Roman" w:eastAsia="宋体" w:cs="Times New Roman"/>
                      <w:b w:val="0"/>
                      <w:bCs w:val="0"/>
                      <w:color w:val="000000"/>
                      <w:sz w:val="21"/>
                      <w:szCs w:val="21"/>
                    </w:rPr>
                    <w:t>1996)表2要求</w:t>
                  </w:r>
                  <w:r>
                    <w:rPr>
                      <w:rFonts w:hint="eastAsia" w:ascii="Times New Roman" w:hAnsi="Times New Roman" w:eastAsia="宋体" w:cs="Times New Roman"/>
                      <w:b w:val="0"/>
                      <w:bCs w:val="0"/>
                      <w:color w:val="000000"/>
                      <w:sz w:val="21"/>
                      <w:szCs w:val="21"/>
                      <w:lang w:eastAsia="zh-CN"/>
                    </w:rPr>
                    <w:t>（</w:t>
                  </w:r>
                  <w:r>
                    <w:rPr>
                      <w:rFonts w:hint="eastAsia" w:ascii="Times New Roman" w:hAnsi="Times New Roman" w:eastAsia="宋体" w:cs="Times New Roman"/>
                      <w:b w:val="0"/>
                      <w:bCs w:val="0"/>
                      <w:color w:val="000000"/>
                      <w:sz w:val="21"/>
                      <w:szCs w:val="21"/>
                    </w:rPr>
                    <w:t>颗粒物企业边界大气污染物浓度限值1.0mg/m</w:t>
                  </w:r>
                  <w:r>
                    <w:rPr>
                      <w:rFonts w:hint="eastAsia" w:ascii="Times New Roman" w:hAnsi="Times New Roman" w:eastAsia="宋体" w:cs="Times New Roman"/>
                      <w:b w:val="0"/>
                      <w:bCs w:val="0"/>
                      <w:color w:val="000000"/>
                      <w:sz w:val="21"/>
                      <w:szCs w:val="21"/>
                      <w:vertAlign w:val="superscript"/>
                    </w:rPr>
                    <w:t>3</w:t>
                  </w:r>
                  <w:r>
                    <w:rPr>
                      <w:rFonts w:hint="eastAsia" w:ascii="Times New Roman" w:hAnsi="Times New Roman" w:eastAsia="宋体" w:cs="Times New Roman"/>
                      <w:b w:val="0"/>
                      <w:bCs w:val="0"/>
                      <w:color w:val="000000"/>
                      <w:sz w:val="21"/>
                      <w:szCs w:val="21"/>
                      <w:lang w:eastAsia="zh-CN"/>
                    </w:rPr>
                    <w:t>）</w:t>
                  </w:r>
                </w:p>
              </w:tc>
              <w:tc>
                <w:tcPr>
                  <w:tcW w:w="960" w:type="dxa"/>
                  <w:vMerge w:val="restart"/>
                  <w:tcBorders>
                    <w:tl2br w:val="nil"/>
                    <w:tr2bl w:val="nil"/>
                  </w:tcBorders>
                  <w:noWrap w:val="0"/>
                  <w:vAlign w:val="center"/>
                </w:tcPr>
                <w:p w14:paraId="3BD15279">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eastAsia="宋体"/>
                      <w:color w:val="000000"/>
                      <w:sz w:val="21"/>
                      <w:szCs w:val="21"/>
                      <w:u w:val="none"/>
                      <w:lang w:val="en-US" w:eastAsia="zh-CN"/>
                    </w:rPr>
                  </w:pPr>
                  <w:r>
                    <w:rPr>
                      <w:rFonts w:hint="eastAsia"/>
                      <w:color w:val="000000"/>
                      <w:sz w:val="21"/>
                      <w:szCs w:val="21"/>
                      <w:u w:val="none"/>
                      <w:lang w:val="en-US" w:eastAsia="zh-CN"/>
                    </w:rPr>
                    <w:t>15</w:t>
                  </w:r>
                </w:p>
              </w:tc>
            </w:tr>
            <w:tr w14:paraId="64DB46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601" w:type="dxa"/>
                  <w:vMerge w:val="continue"/>
                  <w:tcBorders>
                    <w:tl2br w:val="nil"/>
                    <w:tr2bl w:val="nil"/>
                  </w:tcBorders>
                  <w:noWrap w:val="0"/>
                  <w:vAlign w:val="center"/>
                </w:tcPr>
                <w:p w14:paraId="014F9C51">
                  <w:pPr>
                    <w:spacing w:line="240" w:lineRule="exact"/>
                    <w:jc w:val="center"/>
                    <w:rPr>
                      <w:color w:val="000000"/>
                      <w:szCs w:val="21"/>
                      <w:u w:val="none"/>
                    </w:rPr>
                  </w:pPr>
                </w:p>
              </w:tc>
              <w:tc>
                <w:tcPr>
                  <w:tcW w:w="1329" w:type="dxa"/>
                  <w:gridSpan w:val="2"/>
                  <w:tcBorders>
                    <w:tl2br w:val="nil"/>
                    <w:tr2bl w:val="nil"/>
                  </w:tcBorders>
                  <w:noWrap w:val="0"/>
                  <w:vAlign w:val="center"/>
                </w:tcPr>
                <w:p w14:paraId="4FA13389">
                  <w:pPr>
                    <w:spacing w:line="240" w:lineRule="exact"/>
                    <w:jc w:val="center"/>
                    <w:rPr>
                      <w:color w:val="000000"/>
                      <w:szCs w:val="21"/>
                      <w:u w:val="none"/>
                    </w:rPr>
                  </w:pPr>
                  <w:r>
                    <w:rPr>
                      <w:color w:val="000000"/>
                      <w:szCs w:val="21"/>
                      <w:u w:val="none"/>
                    </w:rPr>
                    <w:t>运输车辆</w:t>
                  </w:r>
                </w:p>
              </w:tc>
              <w:tc>
                <w:tcPr>
                  <w:tcW w:w="3540" w:type="dxa"/>
                  <w:tcBorders>
                    <w:tl2br w:val="nil"/>
                    <w:tr2bl w:val="nil"/>
                  </w:tcBorders>
                  <w:noWrap w:val="0"/>
                  <w:vAlign w:val="center"/>
                </w:tcPr>
                <w:p w14:paraId="16705A20">
                  <w:pPr>
                    <w:spacing w:line="240" w:lineRule="exact"/>
                    <w:jc w:val="center"/>
                    <w:rPr>
                      <w:color w:val="000000"/>
                      <w:spacing w:val="-6"/>
                      <w:szCs w:val="21"/>
                      <w:u w:val="none"/>
                    </w:rPr>
                  </w:pPr>
                  <w:r>
                    <w:rPr>
                      <w:color w:val="000000"/>
                      <w:szCs w:val="21"/>
                      <w:u w:val="none"/>
                    </w:rPr>
                    <w:t>对厂区内地面进行硬化、洒水抑尘，原料运输车辆要封闭遮盖、厂区设车辆冲洗装置</w:t>
                  </w:r>
                </w:p>
              </w:tc>
              <w:tc>
                <w:tcPr>
                  <w:tcW w:w="1608" w:type="dxa"/>
                  <w:vMerge w:val="continue"/>
                  <w:tcBorders>
                    <w:tl2br w:val="nil"/>
                    <w:tr2bl w:val="nil"/>
                  </w:tcBorders>
                  <w:noWrap w:val="0"/>
                  <w:vAlign w:val="center"/>
                </w:tcPr>
                <w:p w14:paraId="4F86266E">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color w:val="000000"/>
                      <w:sz w:val="21"/>
                      <w:szCs w:val="21"/>
                      <w:u w:val="none"/>
                    </w:rPr>
                  </w:pPr>
                </w:p>
              </w:tc>
              <w:tc>
                <w:tcPr>
                  <w:tcW w:w="960" w:type="dxa"/>
                  <w:vMerge w:val="continue"/>
                  <w:tcBorders>
                    <w:tl2br w:val="nil"/>
                    <w:tr2bl w:val="nil"/>
                  </w:tcBorders>
                  <w:noWrap w:val="0"/>
                  <w:vAlign w:val="center"/>
                </w:tcPr>
                <w:p w14:paraId="3DC40A15">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eastAsia="宋体"/>
                      <w:color w:val="000000"/>
                      <w:sz w:val="21"/>
                      <w:szCs w:val="21"/>
                      <w:u w:val="none"/>
                      <w:lang w:val="en-US" w:eastAsia="zh-CN"/>
                    </w:rPr>
                  </w:pPr>
                </w:p>
              </w:tc>
            </w:tr>
            <w:tr w14:paraId="5A6D2BB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5" w:hRule="atLeast"/>
                <w:jc w:val="center"/>
              </w:trPr>
              <w:tc>
                <w:tcPr>
                  <w:tcW w:w="601" w:type="dxa"/>
                  <w:vMerge w:val="continue"/>
                  <w:tcBorders>
                    <w:tl2br w:val="nil"/>
                    <w:tr2bl w:val="nil"/>
                  </w:tcBorders>
                  <w:noWrap w:val="0"/>
                  <w:vAlign w:val="center"/>
                </w:tcPr>
                <w:p w14:paraId="5FFBACF8">
                  <w:pPr>
                    <w:spacing w:line="240" w:lineRule="exact"/>
                    <w:jc w:val="center"/>
                    <w:rPr>
                      <w:color w:val="000000"/>
                      <w:szCs w:val="21"/>
                      <w:u w:val="none"/>
                    </w:rPr>
                  </w:pPr>
                </w:p>
              </w:tc>
              <w:tc>
                <w:tcPr>
                  <w:tcW w:w="537" w:type="dxa"/>
                  <w:vMerge w:val="restart"/>
                  <w:tcBorders>
                    <w:tl2br w:val="nil"/>
                    <w:tr2bl w:val="nil"/>
                  </w:tcBorders>
                  <w:noWrap w:val="0"/>
                  <w:vAlign w:val="center"/>
                </w:tcPr>
                <w:p w14:paraId="3581249B">
                  <w:pPr>
                    <w:spacing w:line="240" w:lineRule="exact"/>
                    <w:jc w:val="center"/>
                    <w:rPr>
                      <w:rFonts w:hint="default" w:eastAsia="宋体"/>
                      <w:color w:val="000000"/>
                      <w:szCs w:val="21"/>
                      <w:u w:val="none"/>
                      <w:lang w:val="en-US" w:eastAsia="zh-CN"/>
                    </w:rPr>
                  </w:pPr>
                  <w:r>
                    <w:rPr>
                      <w:rFonts w:hint="eastAsia" w:cs="Times New Roman"/>
                      <w:color w:val="000000"/>
                      <w:szCs w:val="21"/>
                      <w:lang w:val="en-US" w:eastAsia="zh-CN"/>
                    </w:rPr>
                    <w:t>砂石生产废气</w:t>
                  </w:r>
                </w:p>
              </w:tc>
              <w:tc>
                <w:tcPr>
                  <w:tcW w:w="792" w:type="dxa"/>
                  <w:tcBorders>
                    <w:tl2br w:val="nil"/>
                    <w:tr2bl w:val="nil"/>
                  </w:tcBorders>
                  <w:noWrap w:val="0"/>
                  <w:vAlign w:val="center"/>
                </w:tcPr>
                <w:p w14:paraId="6EB0E59A">
                  <w:pPr>
                    <w:keepNext w:val="0"/>
                    <w:keepLines w:val="0"/>
                    <w:pageBreakBefore w:val="0"/>
                    <w:widowControl w:val="0"/>
                    <w:kinsoku/>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喂料机给料工序</w:t>
                  </w:r>
                </w:p>
              </w:tc>
              <w:tc>
                <w:tcPr>
                  <w:tcW w:w="3540" w:type="dxa"/>
                  <w:vMerge w:val="restart"/>
                  <w:tcBorders>
                    <w:tl2br w:val="nil"/>
                    <w:tr2bl w:val="nil"/>
                  </w:tcBorders>
                  <w:noWrap w:val="0"/>
                  <w:vAlign w:val="center"/>
                </w:tcPr>
                <w:p w14:paraId="0E691100">
                  <w:pPr>
                    <w:keepNext w:val="0"/>
                    <w:keepLines w:val="0"/>
                    <w:pageBreakBefore w:val="0"/>
                    <w:widowControl w:val="0"/>
                    <w:kinsoku/>
                    <w:overflowPunct/>
                    <w:topLinePunct w:val="0"/>
                    <w:autoSpaceDE/>
                    <w:autoSpaceDN/>
                    <w:bidi w:val="0"/>
                    <w:jc w:val="center"/>
                    <w:textAlignment w:val="auto"/>
                    <w:rPr>
                      <w:rFonts w:hint="eastAsia"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给料和颚破产尘点处设置集气罩收集废气，收集到的颗粒物经过袋式除尘器处理，再</w:t>
                  </w:r>
                  <w:r>
                    <w:rPr>
                      <w:rFonts w:hint="default" w:ascii="Times New Roman" w:hAnsi="Times New Roman" w:cs="Times New Roman"/>
                      <w:color w:val="000000"/>
                      <w:szCs w:val="21"/>
                      <w:lang w:val="en-US" w:eastAsia="zh-CN"/>
                    </w:rPr>
                    <w:t>通过15m高的排气筒达标排放</w:t>
                  </w:r>
                  <w:r>
                    <w:rPr>
                      <w:rFonts w:hint="default" w:ascii="Times New Roman" w:hAnsi="Times New Roman" w:cs="Times New Roman"/>
                      <w:color w:val="000000"/>
                      <w:szCs w:val="21"/>
                    </w:rPr>
                    <w:t>（DA00</w:t>
                  </w:r>
                  <w:r>
                    <w:rPr>
                      <w:rFonts w:hint="default" w:ascii="Times New Roman" w:hAnsi="Times New Roman" w:cs="Times New Roman"/>
                      <w:color w:val="000000"/>
                      <w:szCs w:val="21"/>
                      <w:lang w:val="en-US" w:eastAsia="zh-CN"/>
                    </w:rPr>
                    <w:t>1</w:t>
                  </w:r>
                  <w:r>
                    <w:rPr>
                      <w:rFonts w:hint="default" w:ascii="Times New Roman" w:hAnsi="Times New Roman" w:cs="Times New Roman"/>
                      <w:color w:val="000000"/>
                      <w:szCs w:val="21"/>
                    </w:rPr>
                    <w:t>）</w:t>
                  </w:r>
                  <w:r>
                    <w:rPr>
                      <w:rFonts w:hint="eastAsia" w:cs="Times New Roman"/>
                      <w:color w:val="000000"/>
                      <w:szCs w:val="21"/>
                      <w:lang w:eastAsia="zh-CN"/>
                    </w:rPr>
                    <w:t>。</w:t>
                  </w:r>
                </w:p>
              </w:tc>
              <w:tc>
                <w:tcPr>
                  <w:tcW w:w="1608" w:type="dxa"/>
                  <w:vMerge w:val="restart"/>
                  <w:tcBorders>
                    <w:tl2br w:val="nil"/>
                    <w:tr2bl w:val="nil"/>
                  </w:tcBorders>
                  <w:noWrap w:val="0"/>
                  <w:vAlign w:val="center"/>
                </w:tcPr>
                <w:p w14:paraId="09333085">
                  <w:pPr>
                    <w:spacing w:line="240" w:lineRule="exact"/>
                    <w:jc w:val="center"/>
                    <w:rPr>
                      <w:color w:val="000000"/>
                      <w:kern w:val="0"/>
                      <w:szCs w:val="21"/>
                      <w:u w:val="none"/>
                    </w:rPr>
                  </w:pPr>
                  <w:r>
                    <w:rPr>
                      <w:rFonts w:hint="eastAsia"/>
                      <w:color w:val="000000"/>
                      <w:sz w:val="21"/>
                      <w:szCs w:val="21"/>
                      <w:u w:val="none"/>
                      <w:lang w:eastAsia="zh-CN"/>
                    </w:rPr>
                    <w:t>《</w:t>
                  </w:r>
                  <w:r>
                    <w:rPr>
                      <w:rFonts w:hint="eastAsia"/>
                      <w:sz w:val="21"/>
                      <w:szCs w:val="21"/>
                      <w:lang w:val="en-US" w:eastAsia="zh-CN"/>
                    </w:rPr>
                    <w:t>河南省水泥工业大气污染物排放标准</w:t>
                  </w:r>
                  <w:r>
                    <w:rPr>
                      <w:rFonts w:hint="eastAsia"/>
                      <w:color w:val="000000"/>
                      <w:sz w:val="21"/>
                      <w:szCs w:val="21"/>
                      <w:u w:val="none"/>
                      <w:lang w:eastAsia="zh-CN"/>
                    </w:rPr>
                    <w:t>》</w:t>
                  </w:r>
                  <w:r>
                    <w:rPr>
                      <w:rFonts w:hint="eastAsia"/>
                      <w:sz w:val="21"/>
                      <w:szCs w:val="21"/>
                      <w:lang w:val="en-US" w:eastAsia="zh-CN"/>
                    </w:rPr>
                    <w:t>(DB41/1953-2020)（</w:t>
                  </w:r>
                  <w:r>
                    <w:rPr>
                      <w:color w:val="000000"/>
                      <w:sz w:val="21"/>
                      <w:szCs w:val="21"/>
                      <w:u w:val="none"/>
                    </w:rPr>
                    <w:t>10mg/m</w:t>
                  </w:r>
                  <w:r>
                    <w:rPr>
                      <w:color w:val="000000"/>
                      <w:sz w:val="21"/>
                      <w:szCs w:val="21"/>
                      <w:u w:val="none"/>
                      <w:vertAlign w:val="superscript"/>
                    </w:rPr>
                    <w:t>3</w:t>
                  </w:r>
                  <w:r>
                    <w:rPr>
                      <w:rFonts w:hint="eastAsia"/>
                      <w:sz w:val="21"/>
                      <w:szCs w:val="21"/>
                      <w:lang w:val="en-US" w:eastAsia="zh-CN"/>
                    </w:rPr>
                    <w:t>）和</w:t>
                  </w:r>
                  <w:r>
                    <w:rPr>
                      <w:rFonts w:hint="eastAsia"/>
                      <w:color w:val="000000"/>
                      <w:sz w:val="21"/>
                      <w:szCs w:val="21"/>
                      <w:u w:val="none"/>
                    </w:rPr>
                    <w:t>《河南省重污染天气</w:t>
                  </w:r>
                  <w:r>
                    <w:rPr>
                      <w:rFonts w:hint="eastAsia"/>
                      <w:color w:val="000000"/>
                      <w:sz w:val="21"/>
                      <w:szCs w:val="21"/>
                      <w:u w:val="none"/>
                      <w:lang w:val="en-US" w:eastAsia="zh-CN"/>
                    </w:rPr>
                    <w:t>重点</w:t>
                  </w:r>
                  <w:r>
                    <w:rPr>
                      <w:rFonts w:hint="eastAsia"/>
                      <w:color w:val="000000"/>
                      <w:sz w:val="21"/>
                      <w:szCs w:val="21"/>
                      <w:u w:val="none"/>
                    </w:rPr>
                    <w:t>行业应急减排措施制定技术指南》</w:t>
                  </w:r>
                  <w:r>
                    <w:rPr>
                      <w:rFonts w:hint="eastAsia"/>
                      <w:sz w:val="21"/>
                      <w:szCs w:val="21"/>
                      <w:highlight w:val="none"/>
                      <w:u w:val="none"/>
                      <w:lang w:val="en-US" w:eastAsia="zh-CN"/>
                    </w:rPr>
                    <w:t>（2024年修订版）</w:t>
                  </w:r>
                  <w:r>
                    <w:rPr>
                      <w:rFonts w:hint="eastAsia"/>
                      <w:sz w:val="21"/>
                      <w:szCs w:val="21"/>
                      <w:u w:val="none"/>
                    </w:rPr>
                    <w:t>中排放限值（</w:t>
                  </w:r>
                  <w:r>
                    <w:rPr>
                      <w:rFonts w:hint="eastAsia"/>
                      <w:sz w:val="21"/>
                      <w:szCs w:val="21"/>
                      <w:u w:val="none"/>
                      <w:lang w:val="en-US" w:eastAsia="zh-CN"/>
                    </w:rPr>
                    <w:t>颗粒物</w:t>
                  </w:r>
                  <w:r>
                    <w:rPr>
                      <w:rFonts w:hint="eastAsia"/>
                      <w:sz w:val="21"/>
                      <w:szCs w:val="21"/>
                      <w:u w:val="none"/>
                    </w:rPr>
                    <w:t>有组织10mg/m</w:t>
                  </w:r>
                  <w:r>
                    <w:rPr>
                      <w:rFonts w:hint="eastAsia"/>
                      <w:sz w:val="21"/>
                      <w:szCs w:val="21"/>
                      <w:u w:val="none"/>
                      <w:vertAlign w:val="superscript"/>
                    </w:rPr>
                    <w:t>3</w:t>
                  </w:r>
                  <w:r>
                    <w:rPr>
                      <w:rFonts w:hint="eastAsia"/>
                      <w:sz w:val="21"/>
                      <w:szCs w:val="21"/>
                      <w:u w:val="none"/>
                    </w:rPr>
                    <w:t>）要求</w:t>
                  </w:r>
                </w:p>
              </w:tc>
              <w:tc>
                <w:tcPr>
                  <w:tcW w:w="960" w:type="dxa"/>
                  <w:vMerge w:val="restart"/>
                  <w:tcBorders>
                    <w:tl2br w:val="nil"/>
                    <w:tr2bl w:val="nil"/>
                  </w:tcBorders>
                  <w:noWrap w:val="0"/>
                  <w:vAlign w:val="center"/>
                </w:tcPr>
                <w:p w14:paraId="17123D4F">
                  <w:pPr>
                    <w:spacing w:line="240" w:lineRule="exact"/>
                    <w:jc w:val="center"/>
                    <w:rPr>
                      <w:rFonts w:hint="default" w:eastAsia="宋体"/>
                      <w:color w:val="000000"/>
                      <w:szCs w:val="21"/>
                      <w:u w:val="none"/>
                      <w:lang w:val="en-US" w:eastAsia="zh-CN"/>
                    </w:rPr>
                  </w:pPr>
                  <w:r>
                    <w:rPr>
                      <w:rFonts w:hint="eastAsia"/>
                      <w:color w:val="000000"/>
                      <w:szCs w:val="21"/>
                      <w:u w:val="none"/>
                      <w:lang w:val="en-US" w:eastAsia="zh-CN"/>
                    </w:rPr>
                    <w:t>65</w:t>
                  </w:r>
                </w:p>
              </w:tc>
            </w:tr>
            <w:tr w14:paraId="2CDBA0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16" w:hRule="atLeast"/>
                <w:jc w:val="center"/>
              </w:trPr>
              <w:tc>
                <w:tcPr>
                  <w:tcW w:w="601" w:type="dxa"/>
                  <w:vMerge w:val="continue"/>
                  <w:tcBorders>
                    <w:tl2br w:val="nil"/>
                    <w:tr2bl w:val="nil"/>
                  </w:tcBorders>
                  <w:noWrap w:val="0"/>
                  <w:vAlign w:val="center"/>
                </w:tcPr>
                <w:p w14:paraId="5B2DBAC1">
                  <w:pPr>
                    <w:spacing w:line="240" w:lineRule="exact"/>
                    <w:jc w:val="center"/>
                    <w:rPr>
                      <w:color w:val="000000"/>
                      <w:szCs w:val="21"/>
                      <w:u w:val="none"/>
                    </w:rPr>
                  </w:pPr>
                </w:p>
              </w:tc>
              <w:tc>
                <w:tcPr>
                  <w:tcW w:w="537" w:type="dxa"/>
                  <w:vMerge w:val="continue"/>
                  <w:tcBorders>
                    <w:tl2br w:val="nil"/>
                    <w:tr2bl w:val="nil"/>
                  </w:tcBorders>
                  <w:noWrap w:val="0"/>
                  <w:vAlign w:val="center"/>
                </w:tcPr>
                <w:p w14:paraId="665F63E4">
                  <w:pPr>
                    <w:spacing w:line="240" w:lineRule="exact"/>
                    <w:jc w:val="center"/>
                    <w:rPr>
                      <w:rFonts w:hint="eastAsia"/>
                      <w:color w:val="000000"/>
                      <w:szCs w:val="21"/>
                      <w:u w:val="none"/>
                      <w:lang w:val="en-US" w:eastAsia="zh-CN"/>
                    </w:rPr>
                  </w:pPr>
                </w:p>
              </w:tc>
              <w:tc>
                <w:tcPr>
                  <w:tcW w:w="792" w:type="dxa"/>
                  <w:tcBorders>
                    <w:tl2br w:val="nil"/>
                    <w:tr2bl w:val="nil"/>
                  </w:tcBorders>
                  <w:noWrap w:val="0"/>
                  <w:vAlign w:val="center"/>
                </w:tcPr>
                <w:p w14:paraId="2C953093">
                  <w:pPr>
                    <w:keepNext w:val="0"/>
                    <w:keepLines w:val="0"/>
                    <w:pageBreakBefore w:val="0"/>
                    <w:widowControl w:val="0"/>
                    <w:kinsoku/>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颚</w:t>
                  </w:r>
                  <w:r>
                    <w:rPr>
                      <w:rFonts w:hint="default" w:ascii="Times New Roman" w:hAnsi="Times New Roman" w:cs="Times New Roman"/>
                      <w:color w:val="000000"/>
                      <w:szCs w:val="21"/>
                      <w:lang w:val="en-US" w:eastAsia="zh-CN"/>
                    </w:rPr>
                    <w:t>破工序</w:t>
                  </w:r>
                </w:p>
              </w:tc>
              <w:tc>
                <w:tcPr>
                  <w:tcW w:w="3540" w:type="dxa"/>
                  <w:vMerge w:val="continue"/>
                  <w:tcBorders>
                    <w:tl2br w:val="nil"/>
                    <w:tr2bl w:val="nil"/>
                  </w:tcBorders>
                  <w:noWrap w:val="0"/>
                  <w:vAlign w:val="center"/>
                </w:tcPr>
                <w:p w14:paraId="7F2798AF">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color w:val="000000"/>
                      <w:kern w:val="2"/>
                      <w:sz w:val="21"/>
                      <w:szCs w:val="21"/>
                      <w:lang w:val="en-US" w:eastAsia="zh-CN" w:bidi="ar-SA"/>
                    </w:rPr>
                  </w:pPr>
                </w:p>
              </w:tc>
              <w:tc>
                <w:tcPr>
                  <w:tcW w:w="1608" w:type="dxa"/>
                  <w:vMerge w:val="continue"/>
                  <w:tcBorders>
                    <w:tl2br w:val="nil"/>
                    <w:tr2bl w:val="nil"/>
                  </w:tcBorders>
                  <w:noWrap w:val="0"/>
                  <w:vAlign w:val="center"/>
                </w:tcPr>
                <w:p w14:paraId="5E07A6E8">
                  <w:pPr>
                    <w:spacing w:line="240" w:lineRule="exact"/>
                    <w:jc w:val="center"/>
                    <w:rPr>
                      <w:rFonts w:hint="default" w:ascii="Times New Roman" w:hAnsi="Times New Roman" w:cs="Times New Roman"/>
                      <w:color w:val="000000"/>
                      <w:szCs w:val="21"/>
                      <w:lang w:val="en-US" w:eastAsia="zh-CN"/>
                    </w:rPr>
                  </w:pPr>
                </w:p>
              </w:tc>
              <w:tc>
                <w:tcPr>
                  <w:tcW w:w="960" w:type="dxa"/>
                  <w:vMerge w:val="continue"/>
                  <w:tcBorders>
                    <w:tl2br w:val="nil"/>
                    <w:tr2bl w:val="nil"/>
                  </w:tcBorders>
                  <w:noWrap w:val="0"/>
                  <w:vAlign w:val="center"/>
                </w:tcPr>
                <w:p w14:paraId="2758829E">
                  <w:pPr>
                    <w:spacing w:line="240" w:lineRule="exact"/>
                    <w:jc w:val="center"/>
                    <w:rPr>
                      <w:rFonts w:hint="eastAsia"/>
                      <w:color w:val="000000"/>
                      <w:szCs w:val="21"/>
                      <w:u w:val="none"/>
                      <w:lang w:val="en-US" w:eastAsia="zh-CN"/>
                    </w:rPr>
                  </w:pPr>
                </w:p>
              </w:tc>
            </w:tr>
            <w:tr w14:paraId="25B38B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1" w:hRule="atLeast"/>
                <w:jc w:val="center"/>
              </w:trPr>
              <w:tc>
                <w:tcPr>
                  <w:tcW w:w="601" w:type="dxa"/>
                  <w:vMerge w:val="continue"/>
                  <w:tcBorders>
                    <w:tl2br w:val="nil"/>
                    <w:tr2bl w:val="nil"/>
                  </w:tcBorders>
                  <w:noWrap w:val="0"/>
                  <w:vAlign w:val="center"/>
                </w:tcPr>
                <w:p w14:paraId="690F8C6E">
                  <w:pPr>
                    <w:spacing w:line="240" w:lineRule="exact"/>
                    <w:jc w:val="center"/>
                    <w:rPr>
                      <w:color w:val="000000"/>
                      <w:szCs w:val="21"/>
                      <w:u w:val="none"/>
                    </w:rPr>
                  </w:pPr>
                </w:p>
              </w:tc>
              <w:tc>
                <w:tcPr>
                  <w:tcW w:w="537" w:type="dxa"/>
                  <w:vMerge w:val="restart"/>
                  <w:tcBorders>
                    <w:tl2br w:val="nil"/>
                    <w:tr2bl w:val="nil"/>
                  </w:tcBorders>
                  <w:noWrap w:val="0"/>
                  <w:vAlign w:val="center"/>
                </w:tcPr>
                <w:p w14:paraId="19F4A17A">
                  <w:pPr>
                    <w:spacing w:line="240" w:lineRule="exact"/>
                    <w:jc w:val="center"/>
                    <w:rPr>
                      <w:rFonts w:hint="eastAsia"/>
                      <w:color w:val="000000"/>
                      <w:szCs w:val="21"/>
                      <w:u w:val="none"/>
                      <w:lang w:val="en-US" w:eastAsia="zh-CN"/>
                    </w:rPr>
                  </w:pPr>
                  <w:r>
                    <w:rPr>
                      <w:rFonts w:hint="default" w:cs="Times New Roman"/>
                      <w:color w:val="000000"/>
                      <w:szCs w:val="21"/>
                      <w:lang w:eastAsia="zh-CN"/>
                    </w:rPr>
                    <w:t>水泥稳定土</w:t>
                  </w:r>
                  <w:r>
                    <w:rPr>
                      <w:rFonts w:hint="eastAsia" w:cs="Times New Roman"/>
                      <w:color w:val="000000"/>
                      <w:szCs w:val="21"/>
                      <w:lang w:val="en-US" w:eastAsia="zh-CN"/>
                    </w:rPr>
                    <w:t>生产废气</w:t>
                  </w:r>
                </w:p>
              </w:tc>
              <w:tc>
                <w:tcPr>
                  <w:tcW w:w="792" w:type="dxa"/>
                  <w:tcBorders>
                    <w:tl2br w:val="nil"/>
                    <w:tr2bl w:val="nil"/>
                  </w:tcBorders>
                  <w:noWrap w:val="0"/>
                  <w:vAlign w:val="center"/>
                </w:tcPr>
                <w:p w14:paraId="1FA9B7AE">
                  <w:pPr>
                    <w:keepNext w:val="0"/>
                    <w:keepLines w:val="0"/>
                    <w:pageBreakBefore w:val="0"/>
                    <w:widowControl w:val="0"/>
                    <w:kinsoku/>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水泥筒仓</w:t>
                  </w:r>
                </w:p>
              </w:tc>
              <w:tc>
                <w:tcPr>
                  <w:tcW w:w="3540" w:type="dxa"/>
                  <w:tcBorders>
                    <w:tl2br w:val="nil"/>
                    <w:tr2bl w:val="nil"/>
                  </w:tcBorders>
                  <w:noWrap w:val="0"/>
                  <w:vAlign w:val="center"/>
                </w:tcPr>
                <w:p w14:paraId="3B31943F">
                  <w:pPr>
                    <w:keepNext w:val="0"/>
                    <w:keepLines w:val="0"/>
                    <w:pageBreakBefore w:val="0"/>
                    <w:widowControl w:val="0"/>
                    <w:kinsoku/>
                    <w:overflowPunct/>
                    <w:topLinePunct w:val="0"/>
                    <w:autoSpaceDE/>
                    <w:autoSpaceDN/>
                    <w:bidi w:val="0"/>
                    <w:jc w:val="center"/>
                    <w:textAlignment w:val="auto"/>
                    <w:rPr>
                      <w:rFonts w:hint="eastAsia"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水泥入仓时2个水泥筒仓产生的颗粒物通过配套除尘器（TA00</w:t>
                  </w:r>
                  <w:r>
                    <w:rPr>
                      <w:rFonts w:hint="default" w:cs="Times New Roman"/>
                      <w:color w:val="000000"/>
                      <w:szCs w:val="21"/>
                      <w:lang w:eastAsia="zh-CN"/>
                    </w:rPr>
                    <w:t>2</w:t>
                  </w:r>
                  <w:r>
                    <w:rPr>
                      <w:rFonts w:hint="eastAsia" w:cs="Times New Roman"/>
                      <w:color w:val="000000"/>
                      <w:szCs w:val="21"/>
                      <w:lang w:val="en-US" w:eastAsia="zh-CN"/>
                    </w:rPr>
                    <w:t>、TA00</w:t>
                  </w:r>
                  <w:r>
                    <w:rPr>
                      <w:rFonts w:hint="default" w:cs="Times New Roman"/>
                      <w:color w:val="000000"/>
                      <w:szCs w:val="21"/>
                      <w:lang w:eastAsia="zh-CN"/>
                    </w:rPr>
                    <w:t>3</w:t>
                  </w:r>
                  <w:r>
                    <w:rPr>
                      <w:rFonts w:hint="eastAsia" w:cs="Times New Roman"/>
                      <w:color w:val="000000"/>
                      <w:szCs w:val="21"/>
                      <w:lang w:val="en-US" w:eastAsia="zh-CN"/>
                    </w:rPr>
                    <w:t>）收集处理，再通过排气筒达标排放</w:t>
                  </w:r>
                  <w:r>
                    <w:rPr>
                      <w:rFonts w:hint="default" w:ascii="Times New Roman" w:hAnsi="Times New Roman" w:cs="Times New Roman"/>
                      <w:color w:val="000000"/>
                      <w:szCs w:val="21"/>
                    </w:rPr>
                    <w:t>（DA00</w:t>
                  </w:r>
                  <w:r>
                    <w:rPr>
                      <w:rFonts w:hint="eastAsia" w:cs="Times New Roman"/>
                      <w:color w:val="000000"/>
                      <w:szCs w:val="21"/>
                      <w:lang w:val="en-US" w:eastAsia="zh-CN"/>
                    </w:rPr>
                    <w:t>2</w:t>
                  </w:r>
                  <w:r>
                    <w:rPr>
                      <w:rFonts w:hint="default" w:ascii="Times New Roman" w:hAnsi="Times New Roman" w:cs="Times New Roman"/>
                      <w:color w:val="000000"/>
                      <w:szCs w:val="21"/>
                    </w:rPr>
                    <w:t>）</w:t>
                  </w:r>
                </w:p>
              </w:tc>
              <w:tc>
                <w:tcPr>
                  <w:tcW w:w="1608" w:type="dxa"/>
                  <w:vMerge w:val="continue"/>
                  <w:tcBorders>
                    <w:tl2br w:val="nil"/>
                    <w:tr2bl w:val="nil"/>
                  </w:tcBorders>
                  <w:noWrap w:val="0"/>
                  <w:vAlign w:val="center"/>
                </w:tcPr>
                <w:p w14:paraId="10B52FBC">
                  <w:pPr>
                    <w:spacing w:line="240" w:lineRule="exact"/>
                    <w:jc w:val="center"/>
                    <w:rPr>
                      <w:rFonts w:hint="eastAsia"/>
                      <w:color w:val="000000"/>
                      <w:kern w:val="0"/>
                      <w:szCs w:val="21"/>
                      <w:u w:val="none"/>
                    </w:rPr>
                  </w:pPr>
                </w:p>
              </w:tc>
              <w:tc>
                <w:tcPr>
                  <w:tcW w:w="960" w:type="dxa"/>
                  <w:vMerge w:val="continue"/>
                  <w:tcBorders>
                    <w:tl2br w:val="nil"/>
                    <w:tr2bl w:val="nil"/>
                  </w:tcBorders>
                  <w:noWrap w:val="0"/>
                  <w:vAlign w:val="center"/>
                </w:tcPr>
                <w:p w14:paraId="351E6122">
                  <w:pPr>
                    <w:spacing w:line="240" w:lineRule="exact"/>
                    <w:jc w:val="center"/>
                    <w:rPr>
                      <w:rFonts w:hint="default"/>
                      <w:color w:val="000000"/>
                      <w:szCs w:val="21"/>
                      <w:u w:val="none"/>
                      <w:lang w:val="en-US" w:eastAsia="zh-CN"/>
                    </w:rPr>
                  </w:pPr>
                </w:p>
              </w:tc>
            </w:tr>
            <w:tr w14:paraId="72ADBB3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9" w:hRule="atLeast"/>
                <w:jc w:val="center"/>
              </w:trPr>
              <w:tc>
                <w:tcPr>
                  <w:tcW w:w="601" w:type="dxa"/>
                  <w:vMerge w:val="continue"/>
                  <w:tcBorders>
                    <w:tl2br w:val="nil"/>
                    <w:tr2bl w:val="nil"/>
                  </w:tcBorders>
                  <w:noWrap w:val="0"/>
                  <w:vAlign w:val="center"/>
                </w:tcPr>
                <w:p w14:paraId="004EE584">
                  <w:pPr>
                    <w:spacing w:line="240" w:lineRule="exact"/>
                    <w:jc w:val="center"/>
                    <w:rPr>
                      <w:color w:val="000000"/>
                      <w:szCs w:val="21"/>
                      <w:u w:val="none"/>
                    </w:rPr>
                  </w:pPr>
                </w:p>
              </w:tc>
              <w:tc>
                <w:tcPr>
                  <w:tcW w:w="537" w:type="dxa"/>
                  <w:vMerge w:val="continue"/>
                  <w:tcBorders>
                    <w:tl2br w:val="nil"/>
                    <w:tr2bl w:val="nil"/>
                  </w:tcBorders>
                  <w:noWrap w:val="0"/>
                  <w:vAlign w:val="center"/>
                </w:tcPr>
                <w:p w14:paraId="0D7CDC4F">
                  <w:pPr>
                    <w:spacing w:line="240" w:lineRule="exact"/>
                    <w:jc w:val="center"/>
                    <w:rPr>
                      <w:rFonts w:hint="default" w:eastAsia="宋体"/>
                      <w:color w:val="000000"/>
                      <w:szCs w:val="21"/>
                      <w:u w:val="none"/>
                      <w:lang w:val="en-US" w:eastAsia="zh-CN"/>
                    </w:rPr>
                  </w:pPr>
                </w:p>
              </w:tc>
              <w:tc>
                <w:tcPr>
                  <w:tcW w:w="792" w:type="dxa"/>
                  <w:tcBorders>
                    <w:tl2br w:val="nil"/>
                    <w:tr2bl w:val="nil"/>
                  </w:tcBorders>
                  <w:noWrap w:val="0"/>
                  <w:vAlign w:val="center"/>
                </w:tcPr>
                <w:p w14:paraId="58AFEBF1">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Cs w:val="21"/>
                      <w:lang w:val="en-US" w:eastAsia="zh-CN"/>
                    </w:rPr>
                    <w:t>给料工序</w:t>
                  </w:r>
                  <w:r>
                    <w:rPr>
                      <w:rFonts w:hint="eastAsia" w:cs="Times New Roman"/>
                      <w:color w:val="000000"/>
                      <w:szCs w:val="21"/>
                      <w:lang w:val="en-US" w:eastAsia="zh-CN"/>
                    </w:rPr>
                    <w:t>颗粒物</w:t>
                  </w:r>
                </w:p>
              </w:tc>
              <w:tc>
                <w:tcPr>
                  <w:tcW w:w="3540" w:type="dxa"/>
                  <w:vMerge w:val="restart"/>
                  <w:tcBorders>
                    <w:tl2br w:val="nil"/>
                    <w:tr2bl w:val="nil"/>
                  </w:tcBorders>
                  <w:noWrap w:val="0"/>
                  <w:vAlign w:val="center"/>
                </w:tcPr>
                <w:p w14:paraId="2FEFC3AF">
                  <w:pPr>
                    <w:keepNext w:val="0"/>
                    <w:keepLines w:val="0"/>
                    <w:pageBreakBefore w:val="0"/>
                    <w:widowControl w:val="0"/>
                    <w:kinsoku/>
                    <w:wordWrap w:val="0"/>
                    <w:overflowPunct/>
                    <w:topLinePunct w:val="0"/>
                    <w:autoSpaceDE/>
                    <w:autoSpaceDN/>
                    <w:bidi w:val="0"/>
                    <w:adjustRightInd/>
                    <w:snapToGrid/>
                    <w:jc w:val="center"/>
                    <w:textAlignment w:val="auto"/>
                    <w:rPr>
                      <w:rFonts w:hint="default"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配料给料和搅拌工序产尘点处</w:t>
                  </w:r>
                  <w:r>
                    <w:rPr>
                      <w:rFonts w:hint="default" w:ascii="Times New Roman" w:hAnsi="Times New Roman" w:cs="Times New Roman"/>
                      <w:color w:val="000000"/>
                      <w:szCs w:val="21"/>
                      <w:lang w:val="en-US" w:eastAsia="zh-CN"/>
                    </w:rPr>
                    <w:t>设置集气罩</w:t>
                  </w:r>
                  <w:r>
                    <w:rPr>
                      <w:rFonts w:hint="eastAsia" w:cs="Times New Roman"/>
                      <w:color w:val="000000"/>
                      <w:szCs w:val="21"/>
                      <w:lang w:val="en-US" w:eastAsia="zh-CN"/>
                    </w:rPr>
                    <w:t>，</w:t>
                  </w:r>
                  <w:r>
                    <w:rPr>
                      <w:rFonts w:hint="default" w:ascii="Times New Roman" w:hAnsi="Times New Roman" w:cs="Times New Roman"/>
                      <w:color w:val="000000"/>
                      <w:szCs w:val="21"/>
                      <w:highlight w:val="none"/>
                      <w:lang w:val="en-US" w:eastAsia="zh-CN"/>
                    </w:rPr>
                    <w:t>收集到废气经袋式除尘器处理后通过15m高的</w:t>
                  </w:r>
                  <w:r>
                    <w:rPr>
                      <w:rFonts w:hint="default" w:ascii="Times New Roman" w:hAnsi="Times New Roman" w:cs="Times New Roman"/>
                      <w:color w:val="000000"/>
                      <w:szCs w:val="21"/>
                      <w:lang w:val="en-US" w:eastAsia="zh-CN"/>
                    </w:rPr>
                    <w:t>排气筒达标排放</w:t>
                  </w:r>
                  <w:r>
                    <w:rPr>
                      <w:rFonts w:hint="default" w:ascii="Times New Roman" w:hAnsi="Times New Roman" w:cs="Times New Roman"/>
                      <w:color w:val="000000"/>
                      <w:szCs w:val="21"/>
                    </w:rPr>
                    <w:t>（DA00</w:t>
                  </w:r>
                  <w:r>
                    <w:rPr>
                      <w:rFonts w:hint="eastAsia" w:cs="Times New Roman"/>
                      <w:color w:val="000000"/>
                      <w:szCs w:val="21"/>
                      <w:lang w:val="en-US" w:eastAsia="zh-CN"/>
                    </w:rPr>
                    <w:t>2</w:t>
                  </w:r>
                  <w:r>
                    <w:rPr>
                      <w:rFonts w:hint="default" w:ascii="Times New Roman" w:hAnsi="Times New Roman" w:cs="Times New Roman"/>
                      <w:color w:val="000000"/>
                      <w:szCs w:val="21"/>
                    </w:rPr>
                    <w:t>）</w:t>
                  </w:r>
                </w:p>
              </w:tc>
              <w:tc>
                <w:tcPr>
                  <w:tcW w:w="1608" w:type="dxa"/>
                  <w:vMerge w:val="continue"/>
                  <w:tcBorders>
                    <w:tl2br w:val="nil"/>
                    <w:tr2bl w:val="nil"/>
                  </w:tcBorders>
                  <w:noWrap w:val="0"/>
                  <w:vAlign w:val="center"/>
                </w:tcPr>
                <w:p w14:paraId="37B06B5F">
                  <w:pPr>
                    <w:spacing w:line="240" w:lineRule="exact"/>
                    <w:jc w:val="center"/>
                    <w:rPr>
                      <w:color w:val="000000"/>
                      <w:kern w:val="0"/>
                      <w:szCs w:val="21"/>
                      <w:u w:val="none"/>
                    </w:rPr>
                  </w:pPr>
                </w:p>
              </w:tc>
              <w:tc>
                <w:tcPr>
                  <w:tcW w:w="960" w:type="dxa"/>
                  <w:vMerge w:val="continue"/>
                  <w:tcBorders>
                    <w:tl2br w:val="nil"/>
                    <w:tr2bl w:val="nil"/>
                  </w:tcBorders>
                  <w:noWrap w:val="0"/>
                  <w:vAlign w:val="center"/>
                </w:tcPr>
                <w:p w14:paraId="2D58B52A">
                  <w:pPr>
                    <w:spacing w:line="240" w:lineRule="exact"/>
                    <w:jc w:val="center"/>
                    <w:rPr>
                      <w:rFonts w:hint="default" w:eastAsia="宋体"/>
                      <w:color w:val="000000"/>
                      <w:szCs w:val="21"/>
                      <w:u w:val="none"/>
                      <w:lang w:val="en-US" w:eastAsia="zh-CN"/>
                    </w:rPr>
                  </w:pPr>
                </w:p>
              </w:tc>
            </w:tr>
            <w:tr w14:paraId="23446DD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5" w:hRule="atLeast"/>
                <w:jc w:val="center"/>
              </w:trPr>
              <w:tc>
                <w:tcPr>
                  <w:tcW w:w="601" w:type="dxa"/>
                  <w:vMerge w:val="continue"/>
                  <w:tcBorders>
                    <w:tl2br w:val="nil"/>
                    <w:tr2bl w:val="nil"/>
                  </w:tcBorders>
                  <w:noWrap w:val="0"/>
                  <w:vAlign w:val="center"/>
                </w:tcPr>
                <w:p w14:paraId="2993A248">
                  <w:pPr>
                    <w:spacing w:line="240" w:lineRule="exact"/>
                    <w:jc w:val="center"/>
                    <w:rPr>
                      <w:color w:val="000000"/>
                      <w:szCs w:val="21"/>
                      <w:u w:val="none"/>
                    </w:rPr>
                  </w:pPr>
                </w:p>
              </w:tc>
              <w:tc>
                <w:tcPr>
                  <w:tcW w:w="537" w:type="dxa"/>
                  <w:vMerge w:val="continue"/>
                  <w:tcBorders>
                    <w:tl2br w:val="nil"/>
                    <w:tr2bl w:val="nil"/>
                  </w:tcBorders>
                  <w:noWrap w:val="0"/>
                  <w:vAlign w:val="center"/>
                </w:tcPr>
                <w:p w14:paraId="6E1AB3C3">
                  <w:pPr>
                    <w:spacing w:line="240" w:lineRule="exact"/>
                    <w:jc w:val="center"/>
                    <w:rPr>
                      <w:rFonts w:hint="default" w:eastAsia="宋体"/>
                      <w:color w:val="000000"/>
                      <w:szCs w:val="21"/>
                      <w:u w:val="none"/>
                      <w:lang w:val="en-US" w:eastAsia="zh-CN"/>
                    </w:rPr>
                  </w:pPr>
                </w:p>
              </w:tc>
              <w:tc>
                <w:tcPr>
                  <w:tcW w:w="792" w:type="dxa"/>
                  <w:tcBorders>
                    <w:tl2br w:val="nil"/>
                    <w:tr2bl w:val="nil"/>
                  </w:tcBorders>
                  <w:noWrap w:val="0"/>
                  <w:vAlign w:val="center"/>
                </w:tcPr>
                <w:p w14:paraId="3FC9F183">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搅拌工序颗粒物</w:t>
                  </w:r>
                </w:p>
              </w:tc>
              <w:tc>
                <w:tcPr>
                  <w:tcW w:w="3540" w:type="dxa"/>
                  <w:vMerge w:val="continue"/>
                  <w:tcBorders>
                    <w:tl2br w:val="nil"/>
                    <w:tr2bl w:val="nil"/>
                  </w:tcBorders>
                  <w:noWrap w:val="0"/>
                  <w:vAlign w:val="center"/>
                </w:tcPr>
                <w:p w14:paraId="46C2042E">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color w:val="000000"/>
                      <w:kern w:val="2"/>
                      <w:sz w:val="21"/>
                      <w:szCs w:val="21"/>
                      <w:lang w:val="en-US" w:eastAsia="zh-CN" w:bidi="ar-SA"/>
                    </w:rPr>
                  </w:pPr>
                </w:p>
              </w:tc>
              <w:tc>
                <w:tcPr>
                  <w:tcW w:w="1608" w:type="dxa"/>
                  <w:vMerge w:val="continue"/>
                  <w:tcBorders>
                    <w:tl2br w:val="nil"/>
                    <w:tr2bl w:val="nil"/>
                  </w:tcBorders>
                  <w:noWrap w:val="0"/>
                  <w:vAlign w:val="center"/>
                </w:tcPr>
                <w:p w14:paraId="6BB76AE3">
                  <w:pPr>
                    <w:spacing w:line="240" w:lineRule="exact"/>
                    <w:jc w:val="center"/>
                    <w:rPr>
                      <w:rFonts w:hint="default" w:ascii="Times New Roman" w:hAnsi="Times New Roman" w:cs="Times New Roman"/>
                      <w:color w:val="000000"/>
                      <w:szCs w:val="21"/>
                    </w:rPr>
                  </w:pPr>
                </w:p>
              </w:tc>
              <w:tc>
                <w:tcPr>
                  <w:tcW w:w="960" w:type="dxa"/>
                  <w:vMerge w:val="continue"/>
                  <w:tcBorders>
                    <w:tl2br w:val="nil"/>
                    <w:tr2bl w:val="nil"/>
                  </w:tcBorders>
                  <w:noWrap w:val="0"/>
                  <w:vAlign w:val="center"/>
                </w:tcPr>
                <w:p w14:paraId="2F975394">
                  <w:pPr>
                    <w:spacing w:line="240" w:lineRule="exact"/>
                    <w:jc w:val="center"/>
                    <w:rPr>
                      <w:rFonts w:hint="eastAsia"/>
                      <w:color w:val="000000"/>
                      <w:szCs w:val="21"/>
                      <w:u w:val="none"/>
                      <w:lang w:val="en-US" w:eastAsia="zh-CN"/>
                    </w:rPr>
                  </w:pPr>
                </w:p>
              </w:tc>
            </w:tr>
            <w:tr w14:paraId="3821AC2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58" w:hRule="atLeast"/>
                <w:jc w:val="center"/>
              </w:trPr>
              <w:tc>
                <w:tcPr>
                  <w:tcW w:w="601" w:type="dxa"/>
                  <w:vMerge w:val="restart"/>
                  <w:tcBorders>
                    <w:tl2br w:val="nil"/>
                    <w:tr2bl w:val="nil"/>
                  </w:tcBorders>
                  <w:noWrap w:val="0"/>
                  <w:vAlign w:val="center"/>
                </w:tcPr>
                <w:p w14:paraId="767DDC13">
                  <w:pPr>
                    <w:spacing w:line="240" w:lineRule="exact"/>
                    <w:jc w:val="center"/>
                    <w:rPr>
                      <w:color w:val="000000"/>
                      <w:szCs w:val="21"/>
                      <w:u w:val="none"/>
                    </w:rPr>
                  </w:pPr>
                  <w:r>
                    <w:rPr>
                      <w:color w:val="000000"/>
                      <w:szCs w:val="21"/>
                      <w:u w:val="none"/>
                    </w:rPr>
                    <w:t>废水</w:t>
                  </w:r>
                </w:p>
              </w:tc>
              <w:tc>
                <w:tcPr>
                  <w:tcW w:w="1329" w:type="dxa"/>
                  <w:gridSpan w:val="2"/>
                  <w:tcBorders>
                    <w:tl2br w:val="nil"/>
                    <w:tr2bl w:val="nil"/>
                  </w:tcBorders>
                  <w:noWrap w:val="0"/>
                  <w:vAlign w:val="center"/>
                </w:tcPr>
                <w:p w14:paraId="552E099F">
                  <w:pPr>
                    <w:spacing w:line="240" w:lineRule="exact"/>
                    <w:jc w:val="center"/>
                    <w:rPr>
                      <w:color w:val="000000"/>
                      <w:szCs w:val="21"/>
                      <w:u w:val="none"/>
                    </w:rPr>
                  </w:pPr>
                  <w:r>
                    <w:rPr>
                      <w:color w:val="000000"/>
                      <w:szCs w:val="21"/>
                      <w:u w:val="none"/>
                    </w:rPr>
                    <w:t>车辆冲洗</w:t>
                  </w:r>
                </w:p>
                <w:p w14:paraId="0B2809B5">
                  <w:pPr>
                    <w:spacing w:line="240" w:lineRule="exact"/>
                    <w:jc w:val="center"/>
                    <w:rPr>
                      <w:rFonts w:hint="eastAsia" w:eastAsia="宋体"/>
                      <w:color w:val="000000"/>
                      <w:szCs w:val="21"/>
                      <w:u w:val="none"/>
                      <w:lang w:val="en-US" w:eastAsia="zh-CN"/>
                    </w:rPr>
                  </w:pPr>
                  <w:r>
                    <w:rPr>
                      <w:color w:val="000000"/>
                      <w:szCs w:val="21"/>
                      <w:u w:val="none"/>
                    </w:rPr>
                    <w:t>废水</w:t>
                  </w:r>
                </w:p>
              </w:tc>
              <w:tc>
                <w:tcPr>
                  <w:tcW w:w="3540" w:type="dxa"/>
                  <w:tcBorders>
                    <w:tl2br w:val="nil"/>
                    <w:tr2bl w:val="nil"/>
                  </w:tcBorders>
                  <w:noWrap w:val="0"/>
                  <w:vAlign w:val="center"/>
                </w:tcPr>
                <w:p w14:paraId="69FD61B9">
                  <w:pPr>
                    <w:spacing w:line="240" w:lineRule="exact"/>
                    <w:jc w:val="center"/>
                    <w:rPr>
                      <w:rFonts w:hint="default" w:eastAsia="宋体"/>
                      <w:color w:val="000000"/>
                      <w:szCs w:val="21"/>
                      <w:u w:val="none"/>
                      <w:lang w:val="en-US" w:eastAsia="zh-CN"/>
                    </w:rPr>
                  </w:pPr>
                  <w:r>
                    <w:rPr>
                      <w:rFonts w:hint="default" w:ascii="Times New Roman" w:hAnsi="Times New Roman" w:cs="Times New Roman"/>
                      <w:color w:val="000000"/>
                      <w:szCs w:val="21"/>
                    </w:rPr>
                    <w:t>经沉淀池</w:t>
                  </w:r>
                  <w:r>
                    <w:rPr>
                      <w:rFonts w:hint="eastAsia" w:cs="Times New Roman"/>
                      <w:color w:val="000000"/>
                      <w:szCs w:val="21"/>
                      <w:highlight w:val="none"/>
                      <w:lang w:val="en-US" w:eastAsia="zh-CN"/>
                    </w:rPr>
                    <w:t>（5m</w:t>
                  </w:r>
                  <w:r>
                    <w:rPr>
                      <w:rFonts w:hint="eastAsia" w:cs="Times New Roman"/>
                      <w:color w:val="000000"/>
                      <w:szCs w:val="21"/>
                      <w:highlight w:val="none"/>
                      <w:vertAlign w:val="superscript"/>
                      <w:lang w:val="en-US" w:eastAsia="zh-CN"/>
                    </w:rPr>
                    <w:t>3</w:t>
                  </w:r>
                  <w:r>
                    <w:rPr>
                      <w:rFonts w:hint="eastAsia" w:cs="Times New Roman"/>
                      <w:color w:val="000000"/>
                      <w:szCs w:val="21"/>
                      <w:highlight w:val="none"/>
                      <w:lang w:val="en-US" w:eastAsia="zh-CN"/>
                    </w:rPr>
                    <w:t>）</w:t>
                  </w:r>
                  <w:r>
                    <w:rPr>
                      <w:rFonts w:hint="default" w:ascii="Times New Roman" w:hAnsi="Times New Roman" w:cs="Times New Roman"/>
                      <w:color w:val="000000"/>
                      <w:szCs w:val="21"/>
                    </w:rPr>
                    <w:t>沉淀后回用</w:t>
                  </w:r>
                  <w:r>
                    <w:rPr>
                      <w:rFonts w:hint="eastAsia" w:cs="Times New Roman"/>
                      <w:color w:val="000000"/>
                      <w:szCs w:val="21"/>
                      <w:lang w:eastAsia="zh-CN"/>
                    </w:rPr>
                    <w:t>，</w:t>
                  </w:r>
                  <w:r>
                    <w:rPr>
                      <w:rFonts w:hint="eastAsia" w:cs="Times New Roman"/>
                      <w:color w:val="000000"/>
                      <w:szCs w:val="21"/>
                      <w:lang w:val="en-US" w:eastAsia="zh-CN"/>
                    </w:rPr>
                    <w:t>不外排</w:t>
                  </w:r>
                </w:p>
              </w:tc>
              <w:tc>
                <w:tcPr>
                  <w:tcW w:w="1608" w:type="dxa"/>
                  <w:vMerge w:val="restart"/>
                  <w:tcBorders>
                    <w:tl2br w:val="nil"/>
                    <w:tr2bl w:val="nil"/>
                  </w:tcBorders>
                  <w:noWrap w:val="0"/>
                  <w:vAlign w:val="center"/>
                </w:tcPr>
                <w:p w14:paraId="7E96E185">
                  <w:pPr>
                    <w:spacing w:line="240" w:lineRule="exact"/>
                    <w:jc w:val="center"/>
                    <w:rPr>
                      <w:rFonts w:hint="default" w:eastAsia="宋体"/>
                      <w:color w:val="000000"/>
                      <w:szCs w:val="21"/>
                      <w:u w:val="none"/>
                      <w:lang w:val="en-US" w:eastAsia="zh-CN"/>
                    </w:rPr>
                  </w:pPr>
                  <w:r>
                    <w:rPr>
                      <w:rFonts w:hint="eastAsia"/>
                      <w:color w:val="000000"/>
                      <w:szCs w:val="21"/>
                      <w:u w:val="none"/>
                      <w:lang w:val="en-US" w:eastAsia="zh-CN"/>
                    </w:rPr>
                    <w:t>/</w:t>
                  </w:r>
                </w:p>
              </w:tc>
              <w:tc>
                <w:tcPr>
                  <w:tcW w:w="960" w:type="dxa"/>
                  <w:vMerge w:val="restart"/>
                  <w:tcBorders>
                    <w:tl2br w:val="nil"/>
                    <w:tr2bl w:val="nil"/>
                  </w:tcBorders>
                  <w:noWrap w:val="0"/>
                  <w:vAlign w:val="center"/>
                </w:tcPr>
                <w:p w14:paraId="36DE5112">
                  <w:pPr>
                    <w:spacing w:line="240" w:lineRule="exact"/>
                    <w:jc w:val="center"/>
                    <w:rPr>
                      <w:rFonts w:hint="default" w:eastAsia="宋体"/>
                      <w:color w:val="000000"/>
                      <w:szCs w:val="21"/>
                      <w:u w:val="none"/>
                      <w:lang w:val="en-US" w:eastAsia="zh-CN"/>
                    </w:rPr>
                  </w:pPr>
                  <w:r>
                    <w:rPr>
                      <w:rFonts w:hint="eastAsia"/>
                      <w:color w:val="000000"/>
                      <w:szCs w:val="21"/>
                      <w:u w:val="none"/>
                      <w:lang w:val="en-US" w:eastAsia="zh-CN"/>
                    </w:rPr>
                    <w:t>30</w:t>
                  </w:r>
                </w:p>
              </w:tc>
            </w:tr>
            <w:tr w14:paraId="390DB4B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7" w:hRule="atLeast"/>
                <w:jc w:val="center"/>
              </w:trPr>
              <w:tc>
                <w:tcPr>
                  <w:tcW w:w="601" w:type="dxa"/>
                  <w:vMerge w:val="continue"/>
                  <w:tcBorders>
                    <w:tl2br w:val="nil"/>
                    <w:tr2bl w:val="nil"/>
                  </w:tcBorders>
                  <w:noWrap w:val="0"/>
                  <w:vAlign w:val="center"/>
                </w:tcPr>
                <w:p w14:paraId="59FB900E">
                  <w:pPr>
                    <w:spacing w:line="240" w:lineRule="exact"/>
                    <w:jc w:val="center"/>
                    <w:rPr>
                      <w:color w:val="000000"/>
                      <w:szCs w:val="21"/>
                      <w:u w:val="none"/>
                    </w:rPr>
                  </w:pPr>
                </w:p>
              </w:tc>
              <w:tc>
                <w:tcPr>
                  <w:tcW w:w="1329" w:type="dxa"/>
                  <w:gridSpan w:val="2"/>
                  <w:tcBorders>
                    <w:tl2br w:val="nil"/>
                    <w:tr2bl w:val="nil"/>
                  </w:tcBorders>
                  <w:noWrap w:val="0"/>
                  <w:vAlign w:val="center"/>
                </w:tcPr>
                <w:p w14:paraId="4517FAE4">
                  <w:pPr>
                    <w:spacing w:line="240" w:lineRule="exact"/>
                    <w:jc w:val="center"/>
                    <w:rPr>
                      <w:color w:val="000000"/>
                      <w:szCs w:val="21"/>
                      <w:u w:val="none"/>
                    </w:rPr>
                  </w:pPr>
                  <w:r>
                    <w:rPr>
                      <w:rFonts w:hint="eastAsia"/>
                      <w:color w:val="000000"/>
                      <w:szCs w:val="21"/>
                      <w:u w:val="none"/>
                      <w:lang w:val="en-US" w:eastAsia="zh-CN"/>
                    </w:rPr>
                    <w:t>筛分、水洗与脱水</w:t>
                  </w:r>
                  <w:r>
                    <w:rPr>
                      <w:color w:val="000000"/>
                      <w:szCs w:val="21"/>
                      <w:u w:val="none"/>
                    </w:rPr>
                    <w:t>废水</w:t>
                  </w:r>
                </w:p>
              </w:tc>
              <w:tc>
                <w:tcPr>
                  <w:tcW w:w="3540" w:type="dxa"/>
                  <w:tcBorders>
                    <w:tl2br w:val="nil"/>
                    <w:tr2bl w:val="nil"/>
                  </w:tcBorders>
                  <w:noWrap w:val="0"/>
                  <w:vAlign w:val="center"/>
                </w:tcPr>
                <w:p w14:paraId="7CA08B33">
                  <w:pPr>
                    <w:spacing w:line="240" w:lineRule="exact"/>
                    <w:jc w:val="center"/>
                    <w:rPr>
                      <w:rFonts w:hint="default" w:eastAsia="宋体"/>
                      <w:color w:val="000000"/>
                      <w:szCs w:val="21"/>
                      <w:highlight w:val="none"/>
                      <w:u w:val="none"/>
                      <w:lang w:val="en-US" w:eastAsia="zh-CN"/>
                    </w:rPr>
                  </w:pPr>
                  <w:r>
                    <w:rPr>
                      <w:rFonts w:hint="eastAsia"/>
                      <w:color w:val="000000"/>
                      <w:szCs w:val="21"/>
                      <w:highlight w:val="none"/>
                      <w:u w:val="none"/>
                      <w:lang w:val="en-US" w:eastAsia="zh-CN"/>
                    </w:rPr>
                    <w:t>10</w:t>
                  </w:r>
                  <w:r>
                    <w:rPr>
                      <w:color w:val="000000"/>
                      <w:szCs w:val="21"/>
                      <w:highlight w:val="none"/>
                      <w:u w:val="none"/>
                    </w:rPr>
                    <w:t>m</w:t>
                  </w:r>
                  <w:r>
                    <w:rPr>
                      <w:color w:val="000000"/>
                      <w:szCs w:val="21"/>
                      <w:highlight w:val="none"/>
                      <w:u w:val="none"/>
                      <w:vertAlign w:val="superscript"/>
                    </w:rPr>
                    <w:t>3</w:t>
                  </w:r>
                  <w:r>
                    <w:rPr>
                      <w:rFonts w:hint="eastAsia"/>
                      <w:color w:val="000000"/>
                      <w:szCs w:val="21"/>
                      <w:highlight w:val="none"/>
                      <w:u w:val="none"/>
                      <w:vertAlign w:val="baseline"/>
                      <w:lang w:val="en-US" w:eastAsia="zh-CN"/>
                    </w:rPr>
                    <w:t>污水池</w:t>
                  </w:r>
                  <w:r>
                    <w:rPr>
                      <w:rFonts w:hint="eastAsia"/>
                      <w:color w:val="000000"/>
                      <w:szCs w:val="21"/>
                      <w:highlight w:val="none"/>
                      <w:u w:val="none"/>
                      <w:lang w:val="en-US" w:eastAsia="zh-CN"/>
                    </w:rPr>
                    <w:t>+300</w:t>
                  </w:r>
                  <w:r>
                    <w:rPr>
                      <w:color w:val="000000"/>
                      <w:szCs w:val="21"/>
                      <w:highlight w:val="none"/>
                      <w:u w:val="none"/>
                    </w:rPr>
                    <w:t>m</w:t>
                  </w:r>
                  <w:r>
                    <w:rPr>
                      <w:color w:val="000000"/>
                      <w:szCs w:val="21"/>
                      <w:highlight w:val="none"/>
                      <w:u w:val="none"/>
                      <w:vertAlign w:val="superscript"/>
                    </w:rPr>
                    <w:t>3</w:t>
                  </w:r>
                  <w:r>
                    <w:rPr>
                      <w:rFonts w:hint="eastAsia"/>
                      <w:color w:val="000000"/>
                      <w:szCs w:val="21"/>
                      <w:highlight w:val="none"/>
                      <w:u w:val="none"/>
                      <w:vertAlign w:val="baseline"/>
                      <w:lang w:val="en-US" w:eastAsia="zh-CN"/>
                    </w:rPr>
                    <w:t>浓缩罐+80</w:t>
                  </w:r>
                  <w:r>
                    <w:rPr>
                      <w:color w:val="000000"/>
                      <w:szCs w:val="21"/>
                      <w:highlight w:val="none"/>
                      <w:u w:val="none"/>
                    </w:rPr>
                    <w:t>m</w:t>
                  </w:r>
                  <w:r>
                    <w:rPr>
                      <w:color w:val="000000"/>
                      <w:szCs w:val="21"/>
                      <w:highlight w:val="none"/>
                      <w:u w:val="none"/>
                      <w:vertAlign w:val="superscript"/>
                    </w:rPr>
                    <w:t>3</w:t>
                  </w:r>
                  <w:r>
                    <w:rPr>
                      <w:rFonts w:hint="eastAsia"/>
                      <w:color w:val="000000"/>
                      <w:szCs w:val="21"/>
                      <w:highlight w:val="none"/>
                      <w:u w:val="none"/>
                      <w:vertAlign w:val="baseline"/>
                      <w:lang w:val="en-US" w:eastAsia="zh-CN"/>
                    </w:rPr>
                    <w:t>清水池，</w:t>
                  </w:r>
                  <w:r>
                    <w:rPr>
                      <w:rFonts w:hint="default" w:ascii="Times New Roman" w:hAnsi="Times New Roman" w:cs="Times New Roman"/>
                      <w:color w:val="000000"/>
                      <w:szCs w:val="21"/>
                      <w:highlight w:val="none"/>
                      <w:lang w:eastAsia="zh-CN"/>
                    </w:rPr>
                    <w:t>浓缩</w:t>
                  </w:r>
                  <w:r>
                    <w:rPr>
                      <w:rFonts w:hint="default" w:ascii="Times New Roman" w:hAnsi="Times New Roman" w:cs="Times New Roman"/>
                      <w:color w:val="000000"/>
                      <w:szCs w:val="21"/>
                      <w:highlight w:val="none"/>
                      <w:lang w:val="en-US" w:eastAsia="zh-CN"/>
                    </w:rPr>
                    <w:t>罐浓缩</w:t>
                  </w:r>
                  <w:r>
                    <w:rPr>
                      <w:rFonts w:hint="eastAsia" w:cs="Times New Roman"/>
                      <w:color w:val="000000"/>
                      <w:szCs w:val="21"/>
                      <w:highlight w:val="none"/>
                      <w:lang w:val="en-US" w:eastAsia="zh-CN"/>
                    </w:rPr>
                    <w:t>沉淀</w:t>
                  </w:r>
                  <w:r>
                    <w:rPr>
                      <w:rFonts w:hint="default" w:ascii="Times New Roman" w:hAnsi="Times New Roman" w:cs="Times New Roman"/>
                      <w:color w:val="000000"/>
                      <w:szCs w:val="21"/>
                      <w:highlight w:val="none"/>
                    </w:rPr>
                    <w:t>后上清液回流至清水池循环利用</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rPr>
                    <w:t>不外排</w:t>
                  </w:r>
                </w:p>
              </w:tc>
              <w:tc>
                <w:tcPr>
                  <w:tcW w:w="1608" w:type="dxa"/>
                  <w:vMerge w:val="continue"/>
                  <w:tcBorders>
                    <w:tl2br w:val="nil"/>
                    <w:tr2bl w:val="nil"/>
                  </w:tcBorders>
                  <w:noWrap w:val="0"/>
                  <w:vAlign w:val="center"/>
                </w:tcPr>
                <w:p w14:paraId="2F748338">
                  <w:pPr>
                    <w:jc w:val="center"/>
                    <w:rPr>
                      <w:rFonts w:hint="eastAsia" w:ascii="Times New Roman" w:hAnsi="Times New Roman" w:eastAsia="宋体" w:cs="Times New Roman"/>
                      <w:color w:val="000000"/>
                      <w:kern w:val="2"/>
                      <w:sz w:val="21"/>
                      <w:szCs w:val="21"/>
                      <w:lang w:val="en-US" w:eastAsia="zh-CN" w:bidi="ar-SA"/>
                    </w:rPr>
                  </w:pPr>
                </w:p>
              </w:tc>
              <w:tc>
                <w:tcPr>
                  <w:tcW w:w="960" w:type="dxa"/>
                  <w:vMerge w:val="continue"/>
                  <w:tcBorders>
                    <w:tl2br w:val="nil"/>
                    <w:tr2bl w:val="nil"/>
                  </w:tcBorders>
                  <w:noWrap w:val="0"/>
                  <w:vAlign w:val="center"/>
                </w:tcPr>
                <w:p w14:paraId="02D5008E">
                  <w:pPr>
                    <w:spacing w:line="240" w:lineRule="exact"/>
                    <w:jc w:val="center"/>
                    <w:rPr>
                      <w:rFonts w:hint="default"/>
                      <w:color w:val="000000"/>
                      <w:szCs w:val="21"/>
                      <w:u w:val="none"/>
                      <w:lang w:val="en-US"/>
                    </w:rPr>
                  </w:pPr>
                </w:p>
              </w:tc>
            </w:tr>
            <w:tr w14:paraId="2759D0E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40" w:hRule="atLeast"/>
                <w:jc w:val="center"/>
              </w:trPr>
              <w:tc>
                <w:tcPr>
                  <w:tcW w:w="601" w:type="dxa"/>
                  <w:vMerge w:val="continue"/>
                  <w:tcBorders>
                    <w:tl2br w:val="nil"/>
                    <w:tr2bl w:val="nil"/>
                  </w:tcBorders>
                  <w:noWrap w:val="0"/>
                  <w:vAlign w:val="center"/>
                </w:tcPr>
                <w:p w14:paraId="3D016633">
                  <w:pPr>
                    <w:spacing w:line="240" w:lineRule="exact"/>
                    <w:jc w:val="center"/>
                    <w:rPr>
                      <w:color w:val="000000"/>
                      <w:szCs w:val="21"/>
                      <w:u w:val="none"/>
                    </w:rPr>
                  </w:pPr>
                </w:p>
              </w:tc>
              <w:tc>
                <w:tcPr>
                  <w:tcW w:w="1329" w:type="dxa"/>
                  <w:gridSpan w:val="2"/>
                  <w:tcBorders>
                    <w:tl2br w:val="nil"/>
                    <w:tr2bl w:val="nil"/>
                  </w:tcBorders>
                  <w:noWrap w:val="0"/>
                  <w:vAlign w:val="center"/>
                </w:tcPr>
                <w:p w14:paraId="4CD03F13">
                  <w:pPr>
                    <w:spacing w:line="240" w:lineRule="exact"/>
                    <w:jc w:val="center"/>
                    <w:rPr>
                      <w:color w:val="000000"/>
                      <w:szCs w:val="21"/>
                      <w:u w:val="none"/>
                    </w:rPr>
                  </w:pPr>
                  <w:r>
                    <w:rPr>
                      <w:color w:val="000000"/>
                      <w:szCs w:val="21"/>
                      <w:u w:val="none"/>
                    </w:rPr>
                    <w:t>生活污水</w:t>
                  </w:r>
                </w:p>
              </w:tc>
              <w:tc>
                <w:tcPr>
                  <w:tcW w:w="3540" w:type="dxa"/>
                  <w:tcBorders>
                    <w:tl2br w:val="nil"/>
                    <w:tr2bl w:val="nil"/>
                  </w:tcBorders>
                  <w:noWrap w:val="0"/>
                  <w:vAlign w:val="center"/>
                </w:tcPr>
                <w:p w14:paraId="097083AC">
                  <w:pPr>
                    <w:spacing w:line="240" w:lineRule="exact"/>
                    <w:jc w:val="center"/>
                    <w:rPr>
                      <w:color w:val="000000"/>
                      <w:szCs w:val="21"/>
                      <w:highlight w:val="none"/>
                      <w:u w:val="none"/>
                    </w:rPr>
                  </w:pPr>
                  <w:r>
                    <w:rPr>
                      <w:rFonts w:hint="default" w:ascii="Times New Roman" w:hAnsi="Times New Roman" w:cs="Times New Roman"/>
                      <w:color w:val="000000"/>
                      <w:szCs w:val="21"/>
                      <w:highlight w:val="none"/>
                    </w:rPr>
                    <w:t>化粪池</w:t>
                  </w:r>
                  <w:r>
                    <w:rPr>
                      <w:rFonts w:hint="eastAsia" w:cs="Times New Roman"/>
                      <w:color w:val="000000"/>
                      <w:szCs w:val="21"/>
                      <w:highlight w:val="none"/>
                      <w:lang w:val="en-US" w:eastAsia="zh-CN"/>
                    </w:rPr>
                    <w:t>（10m</w:t>
                  </w:r>
                  <w:r>
                    <w:rPr>
                      <w:rFonts w:hint="eastAsia" w:cs="Times New Roman"/>
                      <w:color w:val="000000"/>
                      <w:szCs w:val="21"/>
                      <w:highlight w:val="none"/>
                      <w:vertAlign w:val="superscript"/>
                      <w:lang w:val="en-US" w:eastAsia="zh-CN"/>
                    </w:rPr>
                    <w:t>3</w:t>
                  </w:r>
                  <w:r>
                    <w:rPr>
                      <w:rFonts w:hint="eastAsia" w:cs="Times New Roman"/>
                      <w:color w:val="000000"/>
                      <w:szCs w:val="21"/>
                      <w:highlight w:val="none"/>
                      <w:lang w:val="en-US" w:eastAsia="zh-CN"/>
                    </w:rPr>
                    <w:t>）</w:t>
                  </w:r>
                  <w:r>
                    <w:rPr>
                      <w:rFonts w:hint="default" w:ascii="Times New Roman" w:hAnsi="Times New Roman" w:cs="Times New Roman"/>
                      <w:color w:val="000000"/>
                      <w:szCs w:val="21"/>
                      <w:highlight w:val="none"/>
                    </w:rPr>
                    <w:t>处理后</w:t>
                  </w:r>
                  <w:r>
                    <w:rPr>
                      <w:rFonts w:hint="default" w:ascii="Times New Roman" w:hAnsi="Times New Roman" w:cs="Times New Roman"/>
                      <w:color w:val="000000"/>
                      <w:szCs w:val="21"/>
                      <w:highlight w:val="none"/>
                      <w:lang w:val="en-US" w:eastAsia="zh-CN"/>
                    </w:rPr>
                    <w:t>用于周围农田施肥，资源化利用，不外排</w:t>
                  </w:r>
                </w:p>
              </w:tc>
              <w:tc>
                <w:tcPr>
                  <w:tcW w:w="1608" w:type="dxa"/>
                  <w:vMerge w:val="continue"/>
                  <w:tcBorders>
                    <w:tl2br w:val="nil"/>
                    <w:tr2bl w:val="nil"/>
                  </w:tcBorders>
                  <w:noWrap w:val="0"/>
                  <w:vAlign w:val="center"/>
                </w:tcPr>
                <w:p w14:paraId="781D213F">
                  <w:pPr>
                    <w:jc w:val="center"/>
                    <w:rPr>
                      <w:rFonts w:hint="eastAsia" w:ascii="Times New Roman" w:hAnsi="Times New Roman" w:eastAsia="宋体" w:cs="Times New Roman"/>
                      <w:color w:val="000000"/>
                      <w:kern w:val="2"/>
                      <w:sz w:val="21"/>
                      <w:szCs w:val="21"/>
                      <w:lang w:val="en-US" w:eastAsia="zh-CN" w:bidi="ar-SA"/>
                    </w:rPr>
                  </w:pPr>
                </w:p>
              </w:tc>
              <w:tc>
                <w:tcPr>
                  <w:tcW w:w="960" w:type="dxa"/>
                  <w:vMerge w:val="continue"/>
                  <w:tcBorders>
                    <w:tl2br w:val="nil"/>
                    <w:tr2bl w:val="nil"/>
                  </w:tcBorders>
                  <w:noWrap w:val="0"/>
                  <w:vAlign w:val="center"/>
                </w:tcPr>
                <w:p w14:paraId="1385F5E3">
                  <w:pPr>
                    <w:spacing w:line="240" w:lineRule="exact"/>
                    <w:jc w:val="center"/>
                    <w:rPr>
                      <w:rFonts w:hint="eastAsia" w:eastAsia="宋体"/>
                      <w:color w:val="000000"/>
                      <w:szCs w:val="21"/>
                      <w:u w:val="none"/>
                      <w:lang w:eastAsia="zh-CN"/>
                    </w:rPr>
                  </w:pPr>
                </w:p>
              </w:tc>
            </w:tr>
            <w:tr w14:paraId="533446E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54" w:hRule="atLeast"/>
                <w:jc w:val="center"/>
              </w:trPr>
              <w:tc>
                <w:tcPr>
                  <w:tcW w:w="601" w:type="dxa"/>
                  <w:vMerge w:val="restart"/>
                  <w:tcBorders>
                    <w:tl2br w:val="nil"/>
                    <w:tr2bl w:val="nil"/>
                  </w:tcBorders>
                  <w:noWrap w:val="0"/>
                  <w:vAlign w:val="center"/>
                </w:tcPr>
                <w:p w14:paraId="374D9CF2">
                  <w:pPr>
                    <w:spacing w:line="240" w:lineRule="exact"/>
                    <w:jc w:val="center"/>
                    <w:rPr>
                      <w:color w:val="000000"/>
                      <w:szCs w:val="21"/>
                      <w:u w:val="none"/>
                    </w:rPr>
                  </w:pPr>
                  <w:r>
                    <w:rPr>
                      <w:color w:val="000000"/>
                      <w:szCs w:val="21"/>
                      <w:u w:val="none"/>
                    </w:rPr>
                    <w:t>固废</w:t>
                  </w:r>
                </w:p>
              </w:tc>
              <w:tc>
                <w:tcPr>
                  <w:tcW w:w="537" w:type="dxa"/>
                  <w:vMerge w:val="restart"/>
                  <w:tcBorders>
                    <w:tl2br w:val="nil"/>
                    <w:tr2bl w:val="nil"/>
                  </w:tcBorders>
                  <w:noWrap w:val="0"/>
                  <w:vAlign w:val="center"/>
                </w:tcPr>
                <w:p w14:paraId="601D210C">
                  <w:pPr>
                    <w:spacing w:line="240" w:lineRule="exact"/>
                    <w:jc w:val="center"/>
                    <w:rPr>
                      <w:color w:val="000000"/>
                      <w:szCs w:val="21"/>
                      <w:u w:val="none"/>
                    </w:rPr>
                  </w:pPr>
                  <w:r>
                    <w:rPr>
                      <w:color w:val="000000"/>
                      <w:szCs w:val="21"/>
                      <w:u w:val="none"/>
                    </w:rPr>
                    <w:t>一般固废</w:t>
                  </w:r>
                </w:p>
              </w:tc>
              <w:tc>
                <w:tcPr>
                  <w:tcW w:w="792" w:type="dxa"/>
                  <w:tcBorders>
                    <w:tl2br w:val="nil"/>
                    <w:tr2bl w:val="nil"/>
                  </w:tcBorders>
                  <w:noWrap w:val="0"/>
                  <w:vAlign w:val="center"/>
                </w:tcPr>
                <w:p w14:paraId="5EC93D7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szCs w:val="21"/>
                      <w:lang w:eastAsia="zh-CN"/>
                    </w:rPr>
                  </w:pPr>
                  <w:r>
                    <w:rPr>
                      <w:rFonts w:hint="eastAsia" w:cs="Times New Roman"/>
                      <w:color w:val="000000"/>
                      <w:szCs w:val="21"/>
                      <w:lang w:val="en-US" w:eastAsia="zh-CN"/>
                    </w:rPr>
                    <w:t>筛分、水洗</w:t>
                  </w:r>
                  <w:r>
                    <w:rPr>
                      <w:rFonts w:hint="default" w:ascii="Times New Roman" w:hAnsi="Times New Roman" w:cs="Times New Roman"/>
                      <w:color w:val="000000"/>
                      <w:szCs w:val="21"/>
                      <w:lang w:eastAsia="zh-CN"/>
                    </w:rPr>
                    <w:t>、</w:t>
                  </w:r>
                </w:p>
                <w:p w14:paraId="17A23A0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Cs w:val="21"/>
                      <w:lang w:val="en-US" w:eastAsia="zh-CN"/>
                    </w:rPr>
                    <w:t>脱水</w:t>
                  </w:r>
                  <w:r>
                    <w:rPr>
                      <w:rFonts w:hint="eastAsia" w:cs="Times New Roman"/>
                      <w:color w:val="000000"/>
                      <w:szCs w:val="21"/>
                      <w:lang w:val="en-US" w:eastAsia="zh-CN"/>
                    </w:rPr>
                    <w:t>工序</w:t>
                  </w:r>
                </w:p>
              </w:tc>
              <w:tc>
                <w:tcPr>
                  <w:tcW w:w="3540" w:type="dxa"/>
                  <w:tcBorders>
                    <w:tl2br w:val="nil"/>
                    <w:tr2bl w:val="nil"/>
                  </w:tcBorders>
                  <w:noWrap w:val="0"/>
                  <w:vAlign w:val="center"/>
                </w:tcPr>
                <w:p w14:paraId="1134B1E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eastAsia" w:cs="Times New Roman"/>
                      <w:bCs/>
                      <w:color w:val="000000"/>
                      <w:szCs w:val="21"/>
                      <w:highlight w:val="none"/>
                      <w:lang w:val="en-US" w:eastAsia="zh-CN"/>
                    </w:rPr>
                    <w:t>浓缩后的底泥</w:t>
                  </w:r>
                  <w:r>
                    <w:rPr>
                      <w:rFonts w:hint="default" w:ascii="Times New Roman" w:hAnsi="Times New Roman" w:cs="Times New Roman"/>
                      <w:bCs/>
                      <w:color w:val="000000"/>
                      <w:szCs w:val="21"/>
                      <w:highlight w:val="none"/>
                      <w:lang w:val="en-US" w:eastAsia="zh-CN"/>
                    </w:rPr>
                    <w:t>经</w:t>
                  </w:r>
                  <w:r>
                    <w:rPr>
                      <w:rFonts w:hint="eastAsia" w:cs="Times New Roman"/>
                      <w:bCs/>
                      <w:color w:val="000000"/>
                      <w:szCs w:val="21"/>
                      <w:highlight w:val="none"/>
                      <w:lang w:val="en-US" w:eastAsia="zh-CN"/>
                    </w:rPr>
                    <w:t>板框</w:t>
                  </w:r>
                  <w:r>
                    <w:rPr>
                      <w:rFonts w:hint="default" w:ascii="Times New Roman" w:hAnsi="Times New Roman" w:cs="Times New Roman"/>
                      <w:bCs/>
                      <w:color w:val="000000"/>
                      <w:szCs w:val="21"/>
                      <w:highlight w:val="none"/>
                      <w:lang w:val="en-US" w:eastAsia="zh-CN"/>
                    </w:rPr>
                    <w:t>压滤机压滤后</w:t>
                  </w:r>
                  <w:r>
                    <w:rPr>
                      <w:rFonts w:hint="eastAsia" w:cs="Times New Roman"/>
                      <w:bCs/>
                      <w:color w:val="000000"/>
                      <w:szCs w:val="21"/>
                      <w:highlight w:val="none"/>
                      <w:lang w:val="en-US" w:eastAsia="zh-CN"/>
                    </w:rPr>
                    <w:t>用于土地回填</w:t>
                  </w:r>
                </w:p>
              </w:tc>
              <w:tc>
                <w:tcPr>
                  <w:tcW w:w="1608" w:type="dxa"/>
                  <w:vMerge w:val="restart"/>
                  <w:tcBorders>
                    <w:tl2br w:val="nil"/>
                    <w:tr2bl w:val="nil"/>
                  </w:tcBorders>
                  <w:noWrap w:val="0"/>
                  <w:vAlign w:val="center"/>
                </w:tcPr>
                <w:p w14:paraId="045B2EE4">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color w:val="000000"/>
                      <w:kern w:val="2"/>
                      <w:sz w:val="21"/>
                      <w:szCs w:val="21"/>
                      <w:u w:val="none"/>
                      <w:lang w:val="en-US" w:eastAsia="zh-CN" w:bidi="ar-SA"/>
                    </w:rPr>
                  </w:pPr>
                  <w:r>
                    <w:rPr>
                      <w:rFonts w:hint="default" w:ascii="Times New Roman" w:hAnsi="Calibri" w:eastAsia="宋体" w:cs="Times New Roman"/>
                      <w:color w:val="auto"/>
                      <w:szCs w:val="21"/>
                      <w:u w:val="none"/>
                    </w:rPr>
                    <w:t>《一般工业固体废物贮存</w:t>
                  </w:r>
                  <w:r>
                    <w:rPr>
                      <w:rFonts w:hint="eastAsia" w:ascii="Times New Roman" w:hAnsi="Calibri" w:eastAsia="宋体" w:cs="Times New Roman"/>
                      <w:color w:val="auto"/>
                      <w:szCs w:val="21"/>
                      <w:u w:val="none"/>
                      <w:lang w:val="en-US" w:eastAsia="zh-CN"/>
                    </w:rPr>
                    <w:t>和填埋</w:t>
                  </w:r>
                  <w:r>
                    <w:rPr>
                      <w:rFonts w:hint="default" w:ascii="Times New Roman" w:hAnsi="Calibri" w:eastAsia="宋体" w:cs="Times New Roman"/>
                      <w:color w:val="auto"/>
                      <w:szCs w:val="21"/>
                      <w:u w:val="none"/>
                    </w:rPr>
                    <w:t>污染控制标准》（GB18599-20</w:t>
                  </w:r>
                  <w:r>
                    <w:rPr>
                      <w:rFonts w:hint="eastAsia" w:ascii="Times New Roman" w:hAnsi="Calibri" w:eastAsia="宋体" w:cs="Times New Roman"/>
                      <w:color w:val="auto"/>
                      <w:szCs w:val="21"/>
                      <w:u w:val="none"/>
                      <w:lang w:val="en-US" w:eastAsia="zh-CN"/>
                    </w:rPr>
                    <w:t>20</w:t>
                  </w:r>
                  <w:r>
                    <w:rPr>
                      <w:rFonts w:hint="default" w:ascii="Times New Roman" w:hAnsi="Calibri" w:eastAsia="宋体" w:cs="Times New Roman"/>
                      <w:color w:val="auto"/>
                      <w:szCs w:val="21"/>
                      <w:u w:val="none"/>
                    </w:rPr>
                    <w:t>）</w:t>
                  </w:r>
                </w:p>
              </w:tc>
              <w:tc>
                <w:tcPr>
                  <w:tcW w:w="960" w:type="dxa"/>
                  <w:vMerge w:val="restart"/>
                  <w:tcBorders>
                    <w:tl2br w:val="nil"/>
                    <w:tr2bl w:val="nil"/>
                  </w:tcBorders>
                  <w:noWrap w:val="0"/>
                  <w:vAlign w:val="center"/>
                </w:tcPr>
                <w:p w14:paraId="61A70EAB">
                  <w:pPr>
                    <w:spacing w:line="240" w:lineRule="exact"/>
                    <w:jc w:val="center"/>
                    <w:rPr>
                      <w:rFonts w:hint="default"/>
                      <w:color w:val="000000"/>
                      <w:szCs w:val="21"/>
                      <w:u w:val="none"/>
                      <w:lang w:val="en-US" w:eastAsia="zh-CN"/>
                    </w:rPr>
                  </w:pPr>
                  <w:r>
                    <w:rPr>
                      <w:rFonts w:hint="eastAsia"/>
                      <w:color w:val="000000"/>
                      <w:szCs w:val="21"/>
                      <w:u w:val="none"/>
                      <w:lang w:val="en-US" w:eastAsia="zh-CN"/>
                    </w:rPr>
                    <w:t>5</w:t>
                  </w:r>
                </w:p>
              </w:tc>
            </w:tr>
            <w:tr w14:paraId="6CA3F76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50" w:hRule="atLeast"/>
                <w:jc w:val="center"/>
              </w:trPr>
              <w:tc>
                <w:tcPr>
                  <w:tcW w:w="601" w:type="dxa"/>
                  <w:vMerge w:val="continue"/>
                  <w:tcBorders>
                    <w:tl2br w:val="nil"/>
                    <w:tr2bl w:val="nil"/>
                  </w:tcBorders>
                  <w:noWrap w:val="0"/>
                  <w:vAlign w:val="center"/>
                </w:tcPr>
                <w:p w14:paraId="530AE813">
                  <w:pPr>
                    <w:spacing w:line="240" w:lineRule="exact"/>
                    <w:jc w:val="center"/>
                    <w:rPr>
                      <w:color w:val="000000"/>
                      <w:szCs w:val="21"/>
                      <w:u w:val="none"/>
                    </w:rPr>
                  </w:pPr>
                </w:p>
              </w:tc>
              <w:tc>
                <w:tcPr>
                  <w:tcW w:w="537" w:type="dxa"/>
                  <w:vMerge w:val="continue"/>
                  <w:tcBorders>
                    <w:tl2br w:val="nil"/>
                    <w:tr2bl w:val="nil"/>
                  </w:tcBorders>
                  <w:noWrap w:val="0"/>
                  <w:vAlign w:val="center"/>
                </w:tcPr>
                <w:p w14:paraId="2F52F733">
                  <w:pPr>
                    <w:spacing w:line="240" w:lineRule="exact"/>
                    <w:jc w:val="center"/>
                    <w:rPr>
                      <w:color w:val="000000"/>
                      <w:szCs w:val="21"/>
                      <w:u w:val="none"/>
                    </w:rPr>
                  </w:pPr>
                </w:p>
              </w:tc>
              <w:tc>
                <w:tcPr>
                  <w:tcW w:w="792" w:type="dxa"/>
                  <w:tcBorders>
                    <w:tl2br w:val="nil"/>
                    <w:tr2bl w:val="nil"/>
                  </w:tcBorders>
                  <w:shd w:val="clear" w:color="auto" w:fill="auto"/>
                  <w:noWrap w:val="0"/>
                  <w:vAlign w:val="center"/>
                </w:tcPr>
                <w:p w14:paraId="3C01DF0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车辆冲洗</w:t>
                  </w:r>
                </w:p>
              </w:tc>
              <w:tc>
                <w:tcPr>
                  <w:tcW w:w="3540" w:type="dxa"/>
                  <w:tcBorders>
                    <w:tl2br w:val="nil"/>
                    <w:tr2bl w:val="nil"/>
                  </w:tcBorders>
                  <w:shd w:val="clear" w:color="auto" w:fill="auto"/>
                  <w:noWrap w:val="0"/>
                  <w:vAlign w:val="center"/>
                </w:tcPr>
                <w:p w14:paraId="3F9B29E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kern w:val="2"/>
                      <w:sz w:val="21"/>
                      <w:szCs w:val="21"/>
                      <w:highlight w:val="none"/>
                      <w:lang w:val="en-US" w:eastAsia="zh-CN" w:bidi="ar-SA"/>
                    </w:rPr>
                  </w:pPr>
                  <w:r>
                    <w:rPr>
                      <w:rFonts w:hint="eastAsia" w:cs="Times New Roman"/>
                      <w:bCs/>
                      <w:color w:val="000000"/>
                      <w:szCs w:val="21"/>
                      <w:highlight w:val="none"/>
                      <w:lang w:val="en-US" w:eastAsia="zh-CN"/>
                    </w:rPr>
                    <w:t>车辆冲洗沉淀污泥与压滤泥饼一同用于土地回填</w:t>
                  </w:r>
                </w:p>
              </w:tc>
              <w:tc>
                <w:tcPr>
                  <w:tcW w:w="1608" w:type="dxa"/>
                  <w:vMerge w:val="continue"/>
                  <w:tcBorders>
                    <w:tl2br w:val="nil"/>
                    <w:tr2bl w:val="nil"/>
                  </w:tcBorders>
                  <w:noWrap w:val="0"/>
                  <w:vAlign w:val="center"/>
                </w:tcPr>
                <w:p w14:paraId="24066F63">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ascii="Times New Roman" w:hAnsi="Calibri" w:eastAsia="宋体" w:cs="Times New Roman"/>
                      <w:color w:val="auto"/>
                      <w:szCs w:val="21"/>
                      <w:u w:val="none"/>
                    </w:rPr>
                  </w:pPr>
                </w:p>
              </w:tc>
              <w:tc>
                <w:tcPr>
                  <w:tcW w:w="960" w:type="dxa"/>
                  <w:vMerge w:val="continue"/>
                  <w:tcBorders>
                    <w:tl2br w:val="nil"/>
                    <w:tr2bl w:val="nil"/>
                  </w:tcBorders>
                  <w:noWrap w:val="0"/>
                  <w:vAlign w:val="center"/>
                </w:tcPr>
                <w:p w14:paraId="5C413457">
                  <w:pPr>
                    <w:spacing w:line="240" w:lineRule="exact"/>
                    <w:jc w:val="center"/>
                    <w:rPr>
                      <w:rFonts w:hint="eastAsia"/>
                      <w:color w:val="000000"/>
                      <w:szCs w:val="21"/>
                      <w:u w:val="none"/>
                      <w:lang w:val="en-US" w:eastAsia="zh-CN"/>
                    </w:rPr>
                  </w:pPr>
                </w:p>
              </w:tc>
            </w:tr>
            <w:tr w14:paraId="479AC3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622" w:hRule="atLeast"/>
                <w:jc w:val="center"/>
              </w:trPr>
              <w:tc>
                <w:tcPr>
                  <w:tcW w:w="601" w:type="dxa"/>
                  <w:vMerge w:val="continue"/>
                  <w:tcBorders>
                    <w:tl2br w:val="nil"/>
                    <w:tr2bl w:val="nil"/>
                  </w:tcBorders>
                  <w:noWrap w:val="0"/>
                  <w:vAlign w:val="center"/>
                </w:tcPr>
                <w:p w14:paraId="14275BF4">
                  <w:pPr>
                    <w:spacing w:line="240" w:lineRule="exact"/>
                    <w:jc w:val="center"/>
                    <w:rPr>
                      <w:color w:val="000000"/>
                      <w:szCs w:val="21"/>
                      <w:u w:val="none"/>
                    </w:rPr>
                  </w:pPr>
                </w:p>
              </w:tc>
              <w:tc>
                <w:tcPr>
                  <w:tcW w:w="537" w:type="dxa"/>
                  <w:vMerge w:val="continue"/>
                  <w:tcBorders>
                    <w:tl2br w:val="nil"/>
                    <w:tr2bl w:val="nil"/>
                  </w:tcBorders>
                  <w:noWrap w:val="0"/>
                  <w:vAlign w:val="center"/>
                </w:tcPr>
                <w:p w14:paraId="39EB72B5">
                  <w:pPr>
                    <w:spacing w:line="240" w:lineRule="exact"/>
                    <w:jc w:val="center"/>
                    <w:rPr>
                      <w:color w:val="000000"/>
                      <w:szCs w:val="21"/>
                      <w:u w:val="none"/>
                    </w:rPr>
                  </w:pPr>
                </w:p>
              </w:tc>
              <w:tc>
                <w:tcPr>
                  <w:tcW w:w="792" w:type="dxa"/>
                  <w:tcBorders>
                    <w:tl2br w:val="nil"/>
                    <w:tr2bl w:val="nil"/>
                  </w:tcBorders>
                  <w:shd w:val="clear" w:color="auto" w:fill="auto"/>
                  <w:noWrap w:val="0"/>
                  <w:vAlign w:val="center"/>
                </w:tcPr>
                <w:p w14:paraId="623DB9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絮凝剂</w:t>
                  </w:r>
                </w:p>
              </w:tc>
              <w:tc>
                <w:tcPr>
                  <w:tcW w:w="3540" w:type="dxa"/>
                  <w:tcBorders>
                    <w:tl2br w:val="nil"/>
                    <w:tr2bl w:val="nil"/>
                  </w:tcBorders>
                  <w:shd w:val="clear" w:color="auto" w:fill="auto"/>
                  <w:noWrap w:val="0"/>
                  <w:vAlign w:val="center"/>
                </w:tcPr>
                <w:p w14:paraId="46192C4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kern w:val="2"/>
                      <w:sz w:val="21"/>
                      <w:szCs w:val="21"/>
                      <w:highlight w:val="none"/>
                      <w:lang w:val="en-US" w:eastAsia="zh-CN" w:bidi="ar-SA"/>
                    </w:rPr>
                  </w:pPr>
                  <w:r>
                    <w:rPr>
                      <w:rFonts w:hint="eastAsia" w:cs="Times New Roman"/>
                      <w:bCs/>
                      <w:color w:val="000000"/>
                      <w:szCs w:val="21"/>
                      <w:highlight w:val="none"/>
                      <w:lang w:val="en-US" w:eastAsia="zh-CN"/>
                    </w:rPr>
                    <w:t>絮凝剂产生的废包装袋</w:t>
                  </w:r>
                  <w:r>
                    <w:rPr>
                      <w:rFonts w:hint="eastAsia" w:ascii="Times New Roman" w:hAnsi="Times New Roman" w:eastAsia="宋体" w:cs="宋体"/>
                      <w:color w:val="auto"/>
                      <w:kern w:val="2"/>
                      <w:sz w:val="21"/>
                      <w:szCs w:val="21"/>
                      <w:lang w:val="en-US" w:eastAsia="zh-CN" w:bidi="ar-SA"/>
                    </w:rPr>
                    <w:t>由环卫部门集中清运</w:t>
                  </w:r>
                </w:p>
              </w:tc>
              <w:tc>
                <w:tcPr>
                  <w:tcW w:w="1608" w:type="dxa"/>
                  <w:vMerge w:val="continue"/>
                  <w:tcBorders>
                    <w:tl2br w:val="nil"/>
                    <w:tr2bl w:val="nil"/>
                  </w:tcBorders>
                  <w:noWrap w:val="0"/>
                  <w:vAlign w:val="center"/>
                </w:tcPr>
                <w:p w14:paraId="2A318A2D">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ascii="Times New Roman" w:hAnsi="Calibri" w:eastAsia="宋体" w:cs="Times New Roman"/>
                      <w:color w:val="auto"/>
                      <w:szCs w:val="21"/>
                      <w:u w:val="none"/>
                    </w:rPr>
                  </w:pPr>
                </w:p>
              </w:tc>
              <w:tc>
                <w:tcPr>
                  <w:tcW w:w="960" w:type="dxa"/>
                  <w:vMerge w:val="continue"/>
                  <w:tcBorders>
                    <w:tl2br w:val="nil"/>
                    <w:tr2bl w:val="nil"/>
                  </w:tcBorders>
                  <w:noWrap w:val="0"/>
                  <w:vAlign w:val="center"/>
                </w:tcPr>
                <w:p w14:paraId="67EDF264">
                  <w:pPr>
                    <w:spacing w:line="240" w:lineRule="exact"/>
                    <w:jc w:val="center"/>
                    <w:rPr>
                      <w:rFonts w:hint="eastAsia"/>
                      <w:color w:val="000000"/>
                      <w:szCs w:val="21"/>
                      <w:u w:val="none"/>
                      <w:lang w:val="en-US" w:eastAsia="zh-CN"/>
                    </w:rPr>
                  </w:pPr>
                </w:p>
              </w:tc>
            </w:tr>
            <w:tr w14:paraId="4EA2884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0" w:hRule="atLeast"/>
                <w:jc w:val="center"/>
              </w:trPr>
              <w:tc>
                <w:tcPr>
                  <w:tcW w:w="601" w:type="dxa"/>
                  <w:vMerge w:val="continue"/>
                  <w:tcBorders>
                    <w:tl2br w:val="nil"/>
                    <w:tr2bl w:val="nil"/>
                  </w:tcBorders>
                  <w:noWrap w:val="0"/>
                  <w:vAlign w:val="center"/>
                </w:tcPr>
                <w:p w14:paraId="3AA0246E">
                  <w:pPr>
                    <w:spacing w:line="240" w:lineRule="exact"/>
                    <w:jc w:val="center"/>
                    <w:rPr>
                      <w:color w:val="000000"/>
                      <w:szCs w:val="21"/>
                      <w:u w:val="none"/>
                    </w:rPr>
                  </w:pPr>
                </w:p>
              </w:tc>
              <w:tc>
                <w:tcPr>
                  <w:tcW w:w="537" w:type="dxa"/>
                  <w:vMerge w:val="continue"/>
                  <w:tcBorders>
                    <w:tl2br w:val="nil"/>
                    <w:tr2bl w:val="nil"/>
                  </w:tcBorders>
                  <w:noWrap w:val="0"/>
                  <w:vAlign w:val="center"/>
                </w:tcPr>
                <w:p w14:paraId="0C35F667">
                  <w:pPr>
                    <w:spacing w:line="240" w:lineRule="exact"/>
                    <w:jc w:val="center"/>
                    <w:rPr>
                      <w:color w:val="000000"/>
                      <w:szCs w:val="21"/>
                      <w:u w:val="none"/>
                    </w:rPr>
                  </w:pPr>
                </w:p>
              </w:tc>
              <w:tc>
                <w:tcPr>
                  <w:tcW w:w="792" w:type="dxa"/>
                  <w:tcBorders>
                    <w:tl2br w:val="nil"/>
                    <w:tr2bl w:val="nil"/>
                  </w:tcBorders>
                  <w:noWrap w:val="0"/>
                  <w:vAlign w:val="center"/>
                </w:tcPr>
                <w:p w14:paraId="78758A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kern w:val="2"/>
                      <w:sz w:val="21"/>
                      <w:szCs w:val="21"/>
                      <w:lang w:val="en-US" w:eastAsia="zh-CN" w:bidi="ar-SA"/>
                    </w:rPr>
                  </w:pPr>
                  <w:r>
                    <w:rPr>
                      <w:rFonts w:hint="eastAsia" w:cs="Times New Roman"/>
                      <w:bCs/>
                      <w:color w:val="000000"/>
                      <w:kern w:val="2"/>
                      <w:sz w:val="21"/>
                      <w:szCs w:val="21"/>
                      <w:lang w:val="en-US" w:eastAsia="zh-CN" w:bidi="ar-SA"/>
                    </w:rPr>
                    <w:t>除尘卸灰</w:t>
                  </w:r>
                </w:p>
              </w:tc>
              <w:tc>
                <w:tcPr>
                  <w:tcW w:w="3540" w:type="dxa"/>
                  <w:tcBorders>
                    <w:tl2br w:val="nil"/>
                    <w:tr2bl w:val="nil"/>
                  </w:tcBorders>
                  <w:noWrap w:val="0"/>
                  <w:vAlign w:val="center"/>
                </w:tcPr>
                <w:p w14:paraId="4F548F5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kern w:val="2"/>
                      <w:sz w:val="21"/>
                      <w:szCs w:val="21"/>
                      <w:lang w:val="en-US" w:eastAsia="zh-CN" w:bidi="ar-SA"/>
                    </w:rPr>
                  </w:pPr>
                  <w:r>
                    <w:rPr>
                      <w:rFonts w:hint="eastAsia" w:cs="Times New Roman"/>
                      <w:bCs/>
                      <w:color w:val="000000"/>
                      <w:szCs w:val="21"/>
                      <w:lang w:val="en-US" w:eastAsia="zh-CN"/>
                    </w:rPr>
                    <w:t>企业统一定期收集后循环回用</w:t>
                  </w:r>
                </w:p>
              </w:tc>
              <w:tc>
                <w:tcPr>
                  <w:tcW w:w="1608" w:type="dxa"/>
                  <w:vMerge w:val="continue"/>
                  <w:tcBorders>
                    <w:tl2br w:val="nil"/>
                    <w:tr2bl w:val="nil"/>
                  </w:tcBorders>
                  <w:noWrap w:val="0"/>
                  <w:vAlign w:val="center"/>
                </w:tcPr>
                <w:p w14:paraId="2C61E1AB">
                  <w:pPr>
                    <w:spacing w:line="240" w:lineRule="exact"/>
                    <w:jc w:val="center"/>
                    <w:rPr>
                      <w:rFonts w:hint="eastAsia" w:ascii="Times New Roman" w:hAnsi="Times New Roman" w:eastAsia="宋体" w:cs="Times New Roman"/>
                      <w:color w:val="000000"/>
                      <w:kern w:val="2"/>
                      <w:sz w:val="21"/>
                      <w:szCs w:val="21"/>
                      <w:u w:val="none"/>
                      <w:lang w:val="en-US" w:eastAsia="zh-CN" w:bidi="ar-SA"/>
                    </w:rPr>
                  </w:pPr>
                </w:p>
              </w:tc>
              <w:tc>
                <w:tcPr>
                  <w:tcW w:w="960" w:type="dxa"/>
                  <w:vMerge w:val="continue"/>
                  <w:tcBorders>
                    <w:tl2br w:val="nil"/>
                    <w:tr2bl w:val="nil"/>
                  </w:tcBorders>
                  <w:noWrap w:val="0"/>
                  <w:vAlign w:val="center"/>
                </w:tcPr>
                <w:p w14:paraId="5B3CE43C">
                  <w:pPr>
                    <w:spacing w:line="240" w:lineRule="exact"/>
                    <w:jc w:val="center"/>
                    <w:rPr>
                      <w:rFonts w:hint="default"/>
                      <w:color w:val="000000"/>
                      <w:szCs w:val="21"/>
                      <w:u w:val="none"/>
                      <w:lang w:val="en-US" w:eastAsia="zh-CN"/>
                    </w:rPr>
                  </w:pPr>
                </w:p>
              </w:tc>
            </w:tr>
            <w:tr w14:paraId="324F37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4" w:hRule="atLeast"/>
                <w:jc w:val="center"/>
              </w:trPr>
              <w:tc>
                <w:tcPr>
                  <w:tcW w:w="601" w:type="dxa"/>
                  <w:vMerge w:val="continue"/>
                  <w:tcBorders>
                    <w:tl2br w:val="nil"/>
                    <w:tr2bl w:val="nil"/>
                  </w:tcBorders>
                  <w:noWrap w:val="0"/>
                  <w:vAlign w:val="center"/>
                </w:tcPr>
                <w:p w14:paraId="12E92FA9">
                  <w:pPr>
                    <w:spacing w:line="240" w:lineRule="exact"/>
                    <w:jc w:val="center"/>
                    <w:rPr>
                      <w:color w:val="000000"/>
                      <w:szCs w:val="21"/>
                      <w:u w:val="none"/>
                    </w:rPr>
                  </w:pPr>
                </w:p>
              </w:tc>
              <w:tc>
                <w:tcPr>
                  <w:tcW w:w="537" w:type="dxa"/>
                  <w:vMerge w:val="continue"/>
                  <w:tcBorders>
                    <w:tl2br w:val="nil"/>
                    <w:tr2bl w:val="nil"/>
                  </w:tcBorders>
                  <w:noWrap w:val="0"/>
                  <w:vAlign w:val="center"/>
                </w:tcPr>
                <w:p w14:paraId="69B53C2D">
                  <w:pPr>
                    <w:spacing w:line="240" w:lineRule="exact"/>
                    <w:jc w:val="center"/>
                    <w:rPr>
                      <w:color w:val="000000"/>
                      <w:szCs w:val="21"/>
                      <w:u w:val="none"/>
                    </w:rPr>
                  </w:pPr>
                </w:p>
              </w:tc>
              <w:tc>
                <w:tcPr>
                  <w:tcW w:w="792" w:type="dxa"/>
                  <w:tcBorders>
                    <w:tl2br w:val="nil"/>
                    <w:tr2bl w:val="nil"/>
                  </w:tcBorders>
                  <w:noWrap w:val="0"/>
                  <w:vAlign w:val="center"/>
                </w:tcPr>
                <w:p w14:paraId="785E573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szCs w:val="21"/>
                      <w:lang w:val="en-US" w:eastAsia="zh-CN"/>
                    </w:rPr>
                  </w:pPr>
                  <w:r>
                    <w:rPr>
                      <w:rFonts w:hint="eastAsia" w:cs="Times New Roman"/>
                      <w:bCs/>
                      <w:color w:val="000000"/>
                      <w:szCs w:val="21"/>
                      <w:lang w:val="en-US" w:eastAsia="zh-CN"/>
                    </w:rPr>
                    <w:t>滤袋</w:t>
                  </w:r>
                </w:p>
              </w:tc>
              <w:tc>
                <w:tcPr>
                  <w:tcW w:w="3540" w:type="dxa"/>
                  <w:tcBorders>
                    <w:tl2br w:val="nil"/>
                    <w:tr2bl w:val="nil"/>
                  </w:tcBorders>
                  <w:noWrap w:val="0"/>
                  <w:vAlign w:val="center"/>
                </w:tcPr>
                <w:p w14:paraId="3D6D5FF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Cs/>
                      <w:color w:val="000000"/>
                      <w:szCs w:val="21"/>
                      <w:lang w:val="en-US" w:eastAsia="zh-CN"/>
                    </w:rPr>
                  </w:pPr>
                  <w:r>
                    <w:rPr>
                      <w:rFonts w:hint="eastAsia" w:cs="Times New Roman"/>
                      <w:bCs/>
                      <w:color w:val="000000"/>
                      <w:szCs w:val="21"/>
                      <w:lang w:val="en-US" w:eastAsia="zh-CN"/>
                    </w:rPr>
                    <w:t>更换的滤袋</w:t>
                  </w:r>
                  <w:r>
                    <w:rPr>
                      <w:rFonts w:hint="eastAsia" w:ascii="Times New Roman" w:hAnsi="Times New Roman" w:eastAsia="宋体" w:cs="宋体"/>
                      <w:color w:val="auto"/>
                      <w:kern w:val="2"/>
                      <w:sz w:val="21"/>
                      <w:szCs w:val="21"/>
                      <w:lang w:val="en-US" w:eastAsia="zh-CN" w:bidi="ar-SA"/>
                    </w:rPr>
                    <w:t>由</w:t>
                  </w:r>
                  <w:r>
                    <w:rPr>
                      <w:rFonts w:hint="eastAsia" w:cs="宋体"/>
                      <w:color w:val="auto"/>
                      <w:kern w:val="2"/>
                      <w:sz w:val="21"/>
                      <w:szCs w:val="21"/>
                      <w:lang w:val="en-US" w:eastAsia="zh-CN" w:bidi="ar-SA"/>
                    </w:rPr>
                    <w:t>原厂家回收处理</w:t>
                  </w:r>
                </w:p>
              </w:tc>
              <w:tc>
                <w:tcPr>
                  <w:tcW w:w="1608" w:type="dxa"/>
                  <w:vMerge w:val="continue"/>
                  <w:tcBorders>
                    <w:tl2br w:val="nil"/>
                    <w:tr2bl w:val="nil"/>
                  </w:tcBorders>
                  <w:noWrap w:val="0"/>
                  <w:vAlign w:val="center"/>
                </w:tcPr>
                <w:p w14:paraId="60A80594">
                  <w:pPr>
                    <w:spacing w:line="240" w:lineRule="exact"/>
                    <w:jc w:val="center"/>
                    <w:rPr>
                      <w:rFonts w:hint="eastAsia" w:ascii="Times New Roman" w:hAnsi="Times New Roman" w:eastAsia="宋体" w:cs="Times New Roman"/>
                      <w:color w:val="000000"/>
                      <w:kern w:val="2"/>
                      <w:sz w:val="21"/>
                      <w:szCs w:val="21"/>
                      <w:u w:val="none"/>
                      <w:lang w:val="en-US" w:eastAsia="zh-CN" w:bidi="ar-SA"/>
                    </w:rPr>
                  </w:pPr>
                </w:p>
              </w:tc>
              <w:tc>
                <w:tcPr>
                  <w:tcW w:w="960" w:type="dxa"/>
                  <w:vMerge w:val="continue"/>
                  <w:tcBorders>
                    <w:tl2br w:val="nil"/>
                    <w:tr2bl w:val="nil"/>
                  </w:tcBorders>
                  <w:noWrap w:val="0"/>
                  <w:vAlign w:val="center"/>
                </w:tcPr>
                <w:p w14:paraId="752CDEE5">
                  <w:pPr>
                    <w:spacing w:line="240" w:lineRule="exact"/>
                    <w:jc w:val="center"/>
                    <w:rPr>
                      <w:rFonts w:hint="default"/>
                      <w:color w:val="000000"/>
                      <w:szCs w:val="21"/>
                      <w:u w:val="none"/>
                      <w:lang w:val="en-US" w:eastAsia="zh-CN"/>
                    </w:rPr>
                  </w:pPr>
                </w:p>
              </w:tc>
            </w:tr>
            <w:tr w14:paraId="65862C2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22" w:hRule="atLeast"/>
                <w:jc w:val="center"/>
              </w:trPr>
              <w:tc>
                <w:tcPr>
                  <w:tcW w:w="601" w:type="dxa"/>
                  <w:vMerge w:val="continue"/>
                  <w:tcBorders>
                    <w:tl2br w:val="nil"/>
                    <w:tr2bl w:val="nil"/>
                  </w:tcBorders>
                  <w:noWrap w:val="0"/>
                  <w:vAlign w:val="center"/>
                </w:tcPr>
                <w:p w14:paraId="6F78AE68">
                  <w:pPr>
                    <w:spacing w:line="240" w:lineRule="exact"/>
                    <w:jc w:val="center"/>
                    <w:rPr>
                      <w:color w:val="000000"/>
                      <w:szCs w:val="21"/>
                      <w:u w:val="none"/>
                    </w:rPr>
                  </w:pPr>
                </w:p>
              </w:tc>
              <w:tc>
                <w:tcPr>
                  <w:tcW w:w="537" w:type="dxa"/>
                  <w:vMerge w:val="continue"/>
                  <w:tcBorders>
                    <w:tl2br w:val="nil"/>
                    <w:tr2bl w:val="nil"/>
                  </w:tcBorders>
                  <w:noWrap w:val="0"/>
                  <w:vAlign w:val="center"/>
                </w:tcPr>
                <w:p w14:paraId="78EA5FBF">
                  <w:pPr>
                    <w:spacing w:line="240" w:lineRule="exact"/>
                    <w:jc w:val="center"/>
                    <w:rPr>
                      <w:color w:val="000000"/>
                      <w:szCs w:val="21"/>
                      <w:u w:val="none"/>
                    </w:rPr>
                  </w:pPr>
                </w:p>
              </w:tc>
              <w:tc>
                <w:tcPr>
                  <w:tcW w:w="792" w:type="dxa"/>
                  <w:tcBorders>
                    <w:tl2br w:val="nil"/>
                    <w:tr2bl w:val="nil"/>
                  </w:tcBorders>
                  <w:noWrap w:val="0"/>
                  <w:vAlign w:val="center"/>
                </w:tcPr>
                <w:p w14:paraId="49256C6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cs="Times New Roman"/>
                      <w:bCs/>
                      <w:color w:val="000000"/>
                      <w:szCs w:val="21"/>
                      <w:lang w:val="zh-CN"/>
                    </w:rPr>
                    <w:t>职工</w:t>
                  </w:r>
                  <w:r>
                    <w:rPr>
                      <w:rFonts w:hint="eastAsia" w:cs="Times New Roman"/>
                      <w:bCs/>
                      <w:color w:val="000000"/>
                      <w:szCs w:val="21"/>
                      <w:lang w:val="en-US" w:eastAsia="zh-CN"/>
                    </w:rPr>
                    <w:t>生活</w:t>
                  </w:r>
                </w:p>
              </w:tc>
              <w:tc>
                <w:tcPr>
                  <w:tcW w:w="3540" w:type="dxa"/>
                  <w:tcBorders>
                    <w:tl2br w:val="nil"/>
                    <w:tr2bl w:val="nil"/>
                  </w:tcBorders>
                  <w:noWrap w:val="0"/>
                  <w:vAlign w:val="center"/>
                </w:tcPr>
                <w:p w14:paraId="5960A3A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kern w:val="2"/>
                      <w:sz w:val="21"/>
                      <w:szCs w:val="21"/>
                      <w:lang w:val="en-US" w:eastAsia="zh-CN" w:bidi="ar-SA"/>
                    </w:rPr>
                  </w:pPr>
                  <w:r>
                    <w:rPr>
                      <w:rFonts w:hint="eastAsia" w:cs="宋体"/>
                      <w:color w:val="auto"/>
                      <w:kern w:val="2"/>
                      <w:sz w:val="21"/>
                      <w:szCs w:val="21"/>
                      <w:lang w:val="en-US" w:eastAsia="zh-CN" w:bidi="ar-SA"/>
                    </w:rPr>
                    <w:t>企业将生活垃圾分类收集处理</w:t>
                  </w:r>
                  <w:r>
                    <w:rPr>
                      <w:rFonts w:hint="eastAsia" w:ascii="Times New Roman" w:hAnsi="Times New Roman" w:eastAsia="宋体" w:cs="宋体"/>
                      <w:color w:val="auto"/>
                      <w:kern w:val="2"/>
                      <w:sz w:val="21"/>
                      <w:szCs w:val="21"/>
                      <w:lang w:val="en-US" w:eastAsia="zh-CN" w:bidi="ar-SA"/>
                    </w:rPr>
                    <w:t>，由环卫部门集中清运</w:t>
                  </w:r>
                </w:p>
              </w:tc>
              <w:tc>
                <w:tcPr>
                  <w:tcW w:w="1608" w:type="dxa"/>
                  <w:vMerge w:val="continue"/>
                  <w:tcBorders>
                    <w:tl2br w:val="nil"/>
                    <w:tr2bl w:val="nil"/>
                  </w:tcBorders>
                  <w:noWrap w:val="0"/>
                  <w:vAlign w:val="center"/>
                </w:tcPr>
                <w:p w14:paraId="25F6A883">
                  <w:pPr>
                    <w:spacing w:line="240" w:lineRule="exact"/>
                    <w:jc w:val="center"/>
                    <w:rPr>
                      <w:rFonts w:hint="eastAsia"/>
                      <w:color w:val="000000"/>
                      <w:szCs w:val="21"/>
                      <w:u w:val="none"/>
                    </w:rPr>
                  </w:pPr>
                </w:p>
              </w:tc>
              <w:tc>
                <w:tcPr>
                  <w:tcW w:w="960" w:type="dxa"/>
                  <w:vMerge w:val="continue"/>
                  <w:tcBorders>
                    <w:tl2br w:val="nil"/>
                    <w:tr2bl w:val="nil"/>
                  </w:tcBorders>
                  <w:noWrap w:val="0"/>
                  <w:vAlign w:val="center"/>
                </w:tcPr>
                <w:p w14:paraId="0361C660">
                  <w:pPr>
                    <w:spacing w:line="240" w:lineRule="exact"/>
                    <w:jc w:val="center"/>
                    <w:rPr>
                      <w:rFonts w:hint="default"/>
                      <w:color w:val="000000"/>
                      <w:szCs w:val="21"/>
                      <w:u w:val="none"/>
                      <w:lang w:val="en-US" w:eastAsia="zh-CN"/>
                    </w:rPr>
                  </w:pPr>
                </w:p>
              </w:tc>
            </w:tr>
            <w:tr w14:paraId="643F52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28" w:hRule="atLeast"/>
                <w:jc w:val="center"/>
              </w:trPr>
              <w:tc>
                <w:tcPr>
                  <w:tcW w:w="601" w:type="dxa"/>
                  <w:vMerge w:val="continue"/>
                  <w:tcBorders>
                    <w:tl2br w:val="nil"/>
                    <w:tr2bl w:val="nil"/>
                  </w:tcBorders>
                  <w:noWrap w:val="0"/>
                  <w:vAlign w:val="center"/>
                </w:tcPr>
                <w:p w14:paraId="7DB79692">
                  <w:pPr>
                    <w:spacing w:line="240" w:lineRule="exact"/>
                    <w:jc w:val="center"/>
                    <w:rPr>
                      <w:color w:val="000000"/>
                      <w:szCs w:val="21"/>
                      <w:u w:val="none"/>
                    </w:rPr>
                  </w:pPr>
                </w:p>
              </w:tc>
              <w:tc>
                <w:tcPr>
                  <w:tcW w:w="537" w:type="dxa"/>
                  <w:tcBorders>
                    <w:tl2br w:val="nil"/>
                    <w:tr2bl w:val="nil"/>
                  </w:tcBorders>
                  <w:noWrap w:val="0"/>
                  <w:vAlign w:val="center"/>
                </w:tcPr>
                <w:p w14:paraId="3B0CA6C7">
                  <w:pPr>
                    <w:spacing w:line="240" w:lineRule="exact"/>
                    <w:jc w:val="center"/>
                    <w:rPr>
                      <w:color w:val="000000"/>
                      <w:szCs w:val="21"/>
                      <w:u w:val="none"/>
                    </w:rPr>
                  </w:pPr>
                  <w:r>
                    <w:rPr>
                      <w:color w:val="000000"/>
                      <w:szCs w:val="21"/>
                      <w:u w:val="none"/>
                    </w:rPr>
                    <w:t>危险废物</w:t>
                  </w:r>
                </w:p>
              </w:tc>
              <w:tc>
                <w:tcPr>
                  <w:tcW w:w="792" w:type="dxa"/>
                  <w:tcBorders>
                    <w:tl2br w:val="nil"/>
                    <w:tr2bl w:val="nil"/>
                  </w:tcBorders>
                  <w:noWrap w:val="0"/>
                  <w:vAlign w:val="center"/>
                </w:tcPr>
                <w:p w14:paraId="6BB0BB9A">
                  <w:pPr>
                    <w:spacing w:line="240" w:lineRule="exact"/>
                    <w:jc w:val="center"/>
                    <w:rPr>
                      <w:rFonts w:hint="default" w:eastAsia="宋体"/>
                      <w:color w:val="000000"/>
                      <w:szCs w:val="21"/>
                      <w:u w:val="none"/>
                      <w:lang w:val="en-US" w:eastAsia="zh-CN"/>
                    </w:rPr>
                  </w:pPr>
                  <w:r>
                    <w:rPr>
                      <w:rFonts w:hint="eastAsia"/>
                      <w:color w:val="000000"/>
                      <w:szCs w:val="21"/>
                      <w:u w:val="none"/>
                      <w:lang w:val="en-US" w:eastAsia="zh-CN"/>
                    </w:rPr>
                    <w:t>废润滑油、废润滑油桶</w:t>
                  </w:r>
                </w:p>
              </w:tc>
              <w:tc>
                <w:tcPr>
                  <w:tcW w:w="3540" w:type="dxa"/>
                  <w:tcBorders>
                    <w:tl2br w:val="nil"/>
                    <w:tr2bl w:val="nil"/>
                  </w:tcBorders>
                  <w:noWrap w:val="0"/>
                  <w:vAlign w:val="center"/>
                </w:tcPr>
                <w:p w14:paraId="570F90B9">
                  <w:pPr>
                    <w:spacing w:line="240" w:lineRule="exact"/>
                    <w:jc w:val="center"/>
                    <w:rPr>
                      <w:color w:val="000000"/>
                      <w:szCs w:val="21"/>
                      <w:u w:val="none"/>
                    </w:rPr>
                  </w:pPr>
                  <w:r>
                    <w:rPr>
                      <w:rFonts w:hint="default" w:ascii="Times New Roman" w:hAnsi="Times New Roman" w:cs="Times New Roman"/>
                      <w:color w:val="000000"/>
                      <w:szCs w:val="21"/>
                      <w:lang w:val="en-US" w:eastAsia="zh-CN"/>
                    </w:rPr>
                    <w:t>暂存于危废暂存间</w:t>
                  </w:r>
                  <w:r>
                    <w:rPr>
                      <w:rFonts w:hint="eastAsia" w:cs="Times New Roman"/>
                      <w:color w:val="000000"/>
                      <w:szCs w:val="21"/>
                      <w:lang w:val="en-US" w:eastAsia="zh-CN"/>
                    </w:rPr>
                    <w:t>（4m</w:t>
                  </w:r>
                  <w:r>
                    <w:rPr>
                      <w:rFonts w:hint="eastAsia" w:cs="Times New Roman"/>
                      <w:color w:val="000000"/>
                      <w:szCs w:val="21"/>
                      <w:vertAlign w:val="superscript"/>
                      <w:lang w:val="en-US" w:eastAsia="zh-CN"/>
                    </w:rPr>
                    <w:t>2</w:t>
                  </w:r>
                  <w:r>
                    <w:rPr>
                      <w:rFonts w:hint="eastAsia" w:cs="Times New Roman"/>
                      <w:color w:val="000000"/>
                      <w:szCs w:val="21"/>
                      <w:lang w:val="en-US" w:eastAsia="zh-CN"/>
                    </w:rPr>
                    <w:t>）</w:t>
                  </w:r>
                  <w:r>
                    <w:rPr>
                      <w:rFonts w:hint="default" w:ascii="Times New Roman" w:hAnsi="Times New Roman" w:cs="Times New Roman"/>
                      <w:color w:val="000000"/>
                      <w:szCs w:val="21"/>
                      <w:lang w:val="en-US" w:eastAsia="zh-CN"/>
                    </w:rPr>
                    <w:t>，</w:t>
                  </w:r>
                  <w:r>
                    <w:rPr>
                      <w:rFonts w:hint="default" w:ascii="Times New Roman" w:hAnsi="Times New Roman" w:cs="Times New Roman"/>
                      <w:color w:val="000000"/>
                      <w:szCs w:val="21"/>
                    </w:rPr>
                    <w:t>定期委托有资质单位安全处置</w:t>
                  </w:r>
                </w:p>
              </w:tc>
              <w:tc>
                <w:tcPr>
                  <w:tcW w:w="1608" w:type="dxa"/>
                  <w:tcBorders>
                    <w:tl2br w:val="nil"/>
                    <w:tr2bl w:val="nil"/>
                  </w:tcBorders>
                  <w:noWrap w:val="0"/>
                  <w:vAlign w:val="center"/>
                </w:tcPr>
                <w:p w14:paraId="5AD393BA">
                  <w:pPr>
                    <w:keepNext w:val="0"/>
                    <w:keepLines w:val="0"/>
                    <w:suppressLineNumbers w:val="0"/>
                    <w:spacing w:before="0" w:beforeAutospacing="0" w:after="0" w:afterAutospacing="0" w:line="240" w:lineRule="auto"/>
                    <w:ind w:left="0" w:right="0"/>
                    <w:jc w:val="center"/>
                    <w:rPr>
                      <w:rFonts w:hint="eastAsia"/>
                      <w:color w:val="000000"/>
                      <w:szCs w:val="21"/>
                      <w:u w:val="none"/>
                    </w:rPr>
                  </w:pPr>
                  <w:r>
                    <w:rPr>
                      <w:rFonts w:hint="eastAsia" w:ascii="Times New Roman" w:hAnsi="Times New Roman" w:cs="Times New Roman"/>
                      <w:lang w:val="en-US" w:eastAsia="zh-CN"/>
                    </w:rPr>
                    <w:t>《危险废物贮存污染控制标准》（GB 18597-2023）</w:t>
                  </w:r>
                </w:p>
              </w:tc>
              <w:tc>
                <w:tcPr>
                  <w:tcW w:w="960" w:type="dxa"/>
                  <w:tcBorders>
                    <w:tl2br w:val="nil"/>
                    <w:tr2bl w:val="nil"/>
                  </w:tcBorders>
                  <w:noWrap w:val="0"/>
                  <w:vAlign w:val="center"/>
                </w:tcPr>
                <w:p w14:paraId="51A4AE71">
                  <w:pPr>
                    <w:spacing w:line="240" w:lineRule="exact"/>
                    <w:jc w:val="center"/>
                    <w:rPr>
                      <w:rFonts w:hint="default" w:eastAsia="宋体"/>
                      <w:color w:val="000000"/>
                      <w:szCs w:val="21"/>
                      <w:u w:val="none"/>
                      <w:lang w:val="en-US" w:eastAsia="zh-CN"/>
                    </w:rPr>
                  </w:pPr>
                  <w:r>
                    <w:rPr>
                      <w:rFonts w:hint="eastAsia"/>
                      <w:color w:val="000000"/>
                      <w:szCs w:val="21"/>
                      <w:u w:val="none"/>
                      <w:lang w:val="en-US" w:eastAsia="zh-CN"/>
                    </w:rPr>
                    <w:t>10</w:t>
                  </w:r>
                </w:p>
              </w:tc>
            </w:tr>
            <w:tr w14:paraId="0321282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08" w:hRule="atLeast"/>
                <w:jc w:val="center"/>
              </w:trPr>
              <w:tc>
                <w:tcPr>
                  <w:tcW w:w="601" w:type="dxa"/>
                  <w:tcBorders>
                    <w:tl2br w:val="nil"/>
                    <w:tr2bl w:val="nil"/>
                  </w:tcBorders>
                  <w:noWrap w:val="0"/>
                  <w:vAlign w:val="center"/>
                </w:tcPr>
                <w:p w14:paraId="3B04ACB8">
                  <w:pPr>
                    <w:spacing w:line="240" w:lineRule="exact"/>
                    <w:jc w:val="center"/>
                    <w:rPr>
                      <w:color w:val="000000"/>
                      <w:szCs w:val="21"/>
                      <w:u w:val="none"/>
                    </w:rPr>
                  </w:pPr>
                  <w:r>
                    <w:rPr>
                      <w:color w:val="000000"/>
                      <w:szCs w:val="21"/>
                      <w:u w:val="none"/>
                    </w:rPr>
                    <w:t>噪声</w:t>
                  </w:r>
                </w:p>
              </w:tc>
              <w:tc>
                <w:tcPr>
                  <w:tcW w:w="1329" w:type="dxa"/>
                  <w:gridSpan w:val="2"/>
                  <w:tcBorders>
                    <w:tl2br w:val="nil"/>
                    <w:tr2bl w:val="nil"/>
                  </w:tcBorders>
                  <w:noWrap w:val="0"/>
                  <w:vAlign w:val="center"/>
                </w:tcPr>
                <w:p w14:paraId="2D9F5C26">
                  <w:pPr>
                    <w:spacing w:line="240" w:lineRule="exact"/>
                    <w:jc w:val="center"/>
                    <w:rPr>
                      <w:color w:val="000000"/>
                      <w:szCs w:val="21"/>
                      <w:u w:val="none"/>
                    </w:rPr>
                  </w:pPr>
                  <w:r>
                    <w:rPr>
                      <w:rFonts w:hint="eastAsia"/>
                      <w:color w:val="000000"/>
                      <w:szCs w:val="21"/>
                      <w:u w:val="none"/>
                      <w:lang w:val="en-US" w:eastAsia="zh-CN"/>
                    </w:rPr>
                    <w:t>生产</w:t>
                  </w:r>
                  <w:r>
                    <w:rPr>
                      <w:color w:val="000000"/>
                      <w:szCs w:val="21"/>
                      <w:u w:val="none"/>
                    </w:rPr>
                    <w:t>设备</w:t>
                  </w:r>
                </w:p>
              </w:tc>
              <w:tc>
                <w:tcPr>
                  <w:tcW w:w="3540" w:type="dxa"/>
                  <w:tcBorders>
                    <w:tl2br w:val="nil"/>
                    <w:tr2bl w:val="nil"/>
                  </w:tcBorders>
                  <w:noWrap w:val="0"/>
                  <w:vAlign w:val="center"/>
                </w:tcPr>
                <w:p w14:paraId="38FF0A0E">
                  <w:pPr>
                    <w:spacing w:line="240" w:lineRule="exact"/>
                    <w:jc w:val="center"/>
                    <w:rPr>
                      <w:color w:val="000000"/>
                      <w:szCs w:val="21"/>
                      <w:u w:val="none"/>
                    </w:rPr>
                  </w:pPr>
                  <w:r>
                    <w:rPr>
                      <w:color w:val="000000"/>
                      <w:szCs w:val="21"/>
                      <w:u w:val="none"/>
                    </w:rPr>
                    <w:t>室内布置、基础减震、厂房隔声</w:t>
                  </w:r>
                </w:p>
              </w:tc>
              <w:tc>
                <w:tcPr>
                  <w:tcW w:w="1608" w:type="dxa"/>
                  <w:tcBorders>
                    <w:tl2br w:val="nil"/>
                    <w:tr2bl w:val="nil"/>
                  </w:tcBorders>
                  <w:noWrap w:val="0"/>
                  <w:vAlign w:val="center"/>
                </w:tcPr>
                <w:p w14:paraId="698781F9">
                  <w:pPr>
                    <w:spacing w:line="240" w:lineRule="exact"/>
                    <w:jc w:val="center"/>
                    <w:rPr>
                      <w:color w:val="000000"/>
                      <w:szCs w:val="21"/>
                      <w:u w:val="none"/>
                    </w:rPr>
                  </w:pPr>
                  <w:r>
                    <w:rPr>
                      <w:color w:val="000000"/>
                      <w:szCs w:val="21"/>
                      <w:u w:val="none"/>
                    </w:rPr>
                    <w:t>室内布置、基础减震、厂房隔声</w:t>
                  </w:r>
                </w:p>
              </w:tc>
              <w:tc>
                <w:tcPr>
                  <w:tcW w:w="960" w:type="dxa"/>
                  <w:tcBorders>
                    <w:tl2br w:val="nil"/>
                    <w:tr2bl w:val="nil"/>
                  </w:tcBorders>
                  <w:noWrap w:val="0"/>
                  <w:vAlign w:val="center"/>
                </w:tcPr>
                <w:p w14:paraId="744C01F6">
                  <w:pPr>
                    <w:spacing w:line="240" w:lineRule="exact"/>
                    <w:jc w:val="center"/>
                    <w:rPr>
                      <w:rFonts w:hint="default" w:eastAsia="宋体"/>
                      <w:color w:val="000000"/>
                      <w:szCs w:val="21"/>
                      <w:u w:val="none"/>
                      <w:lang w:val="en-US" w:eastAsia="zh-CN"/>
                    </w:rPr>
                  </w:pPr>
                  <w:r>
                    <w:rPr>
                      <w:rFonts w:hint="eastAsia"/>
                      <w:color w:val="000000"/>
                      <w:szCs w:val="21"/>
                      <w:u w:val="none"/>
                      <w:lang w:val="en-US" w:eastAsia="zh-CN"/>
                    </w:rPr>
                    <w:t>5</w:t>
                  </w:r>
                </w:p>
              </w:tc>
            </w:tr>
            <w:tr w14:paraId="5AB268C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3" w:hRule="atLeast"/>
                <w:jc w:val="center"/>
              </w:trPr>
              <w:tc>
                <w:tcPr>
                  <w:tcW w:w="1930" w:type="dxa"/>
                  <w:gridSpan w:val="3"/>
                  <w:tcBorders>
                    <w:tl2br w:val="nil"/>
                    <w:tr2bl w:val="nil"/>
                  </w:tcBorders>
                  <w:noWrap w:val="0"/>
                  <w:vAlign w:val="center"/>
                </w:tcPr>
                <w:p w14:paraId="410E2063">
                  <w:pPr>
                    <w:adjustRightInd w:val="0"/>
                    <w:snapToGrid w:val="0"/>
                    <w:jc w:val="center"/>
                    <w:rPr>
                      <w:b/>
                      <w:bCs w:val="0"/>
                      <w:color w:val="000000"/>
                      <w:szCs w:val="21"/>
                      <w:u w:val="none"/>
                    </w:rPr>
                  </w:pPr>
                  <w:r>
                    <w:rPr>
                      <w:b w:val="0"/>
                      <w:bCs/>
                      <w:color w:val="000000"/>
                      <w:szCs w:val="21"/>
                      <w:u w:val="none"/>
                    </w:rPr>
                    <w:t>总计</w:t>
                  </w:r>
                </w:p>
              </w:tc>
              <w:tc>
                <w:tcPr>
                  <w:tcW w:w="5148" w:type="dxa"/>
                  <w:gridSpan w:val="2"/>
                  <w:tcBorders>
                    <w:tl2br w:val="nil"/>
                    <w:tr2bl w:val="nil"/>
                  </w:tcBorders>
                  <w:noWrap w:val="0"/>
                  <w:vAlign w:val="center"/>
                </w:tcPr>
                <w:p w14:paraId="0F014E09">
                  <w:pPr>
                    <w:adjustRightInd w:val="0"/>
                    <w:snapToGrid w:val="0"/>
                    <w:jc w:val="center"/>
                    <w:rPr>
                      <w:b/>
                      <w:bCs w:val="0"/>
                      <w:color w:val="000000"/>
                      <w:kern w:val="0"/>
                      <w:szCs w:val="21"/>
                      <w:u w:val="none"/>
                      <w:lang w:val="zh-CN"/>
                    </w:rPr>
                  </w:pPr>
                  <w:r>
                    <w:rPr>
                      <w:rFonts w:hint="eastAsia"/>
                      <w:b/>
                      <w:bCs w:val="0"/>
                      <w:color w:val="000000"/>
                      <w:kern w:val="0"/>
                      <w:szCs w:val="21"/>
                      <w:u w:val="none"/>
                      <w:lang w:val="zh-CN"/>
                    </w:rPr>
                    <w:t>/</w:t>
                  </w:r>
                </w:p>
              </w:tc>
              <w:tc>
                <w:tcPr>
                  <w:tcW w:w="960" w:type="dxa"/>
                  <w:tcBorders>
                    <w:tl2br w:val="nil"/>
                    <w:tr2bl w:val="nil"/>
                  </w:tcBorders>
                  <w:noWrap w:val="0"/>
                  <w:vAlign w:val="center"/>
                </w:tcPr>
                <w:p w14:paraId="6F0E703E">
                  <w:pPr>
                    <w:spacing w:line="240" w:lineRule="exact"/>
                    <w:jc w:val="center"/>
                    <w:rPr>
                      <w:rFonts w:hint="default" w:eastAsia="宋体"/>
                      <w:color w:val="000000"/>
                      <w:szCs w:val="21"/>
                      <w:u w:val="none"/>
                      <w:lang w:val="en-US" w:eastAsia="zh-CN"/>
                    </w:rPr>
                  </w:pPr>
                  <w:r>
                    <w:rPr>
                      <w:rFonts w:hint="eastAsia"/>
                      <w:color w:val="000000"/>
                      <w:szCs w:val="21"/>
                      <w:u w:val="none"/>
                      <w:lang w:val="en-US" w:eastAsia="zh-CN"/>
                    </w:rPr>
                    <w:t>130</w:t>
                  </w:r>
                </w:p>
              </w:tc>
            </w:tr>
          </w:tbl>
          <w:p w14:paraId="40465CAE">
            <w:pPr>
              <w:spacing w:line="520" w:lineRule="exact"/>
              <w:ind w:firstLine="480" w:firstLineChars="200"/>
              <w:rPr>
                <w:rFonts w:ascii="Calibri" w:cs="宋体"/>
                <w:kern w:val="0"/>
                <w:sz w:val="24"/>
                <w:szCs w:val="24"/>
              </w:rPr>
            </w:pPr>
          </w:p>
        </w:tc>
      </w:tr>
    </w:tbl>
    <w:p w14:paraId="3D8BC226">
      <w:pPr>
        <w:adjustRightInd w:val="0"/>
        <w:snapToGrid w:val="0"/>
        <w:spacing w:line="360" w:lineRule="auto"/>
        <w:rPr>
          <w:rFonts w:hint="eastAsia"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F9E2203">
      <w:pPr>
        <w:spacing w:line="360" w:lineRule="auto"/>
        <w:jc w:val="center"/>
        <w:rPr>
          <w:rFonts w:hint="eastAsia" w:ascii="黑体" w:hAnsi="黑体" w:eastAsia="黑体"/>
          <w:snapToGrid w:val="0"/>
          <w:sz w:val="30"/>
          <w:szCs w:val="30"/>
          <w:highlight w:val="none"/>
        </w:rPr>
      </w:pPr>
      <w:r>
        <w:rPr>
          <w:rFonts w:hint="eastAsia"/>
          <w:b/>
          <w:color w:val="auto"/>
          <w:sz w:val="30"/>
          <w:highlight w:val="none"/>
          <w:lang w:val="en-US" w:eastAsia="zh-CN"/>
        </w:rPr>
        <w:t>五、</w:t>
      </w:r>
      <w:r>
        <w:rPr>
          <w:rFonts w:hint="eastAsia" w:ascii="黑体" w:hAnsi="黑体" w:eastAsia="黑体"/>
          <w:snapToGrid w:val="0"/>
          <w:sz w:val="30"/>
          <w:szCs w:val="30"/>
          <w:highlight w:val="none"/>
        </w:rPr>
        <w:t>环境保护措施监督检查清单</w:t>
      </w:r>
    </w:p>
    <w:tbl>
      <w:tblPr>
        <w:tblStyle w:val="23"/>
        <w:tblW w:w="508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1288"/>
        <w:gridCol w:w="983"/>
        <w:gridCol w:w="732"/>
        <w:gridCol w:w="2892"/>
        <w:gridCol w:w="2058"/>
      </w:tblGrid>
      <w:tr w14:paraId="467C72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single" w:color="auto" w:sz="4" w:space="0"/>
            </w:tcBorders>
            <w:noWrap w:val="0"/>
            <w:vAlign w:val="center"/>
          </w:tcPr>
          <w:p w14:paraId="30142E25">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eastAsia" w:ascii="Times New Roman" w:hAnsi="Times New Roman" w:eastAsia="宋体" w:cs="Times New Roman"/>
                <w:b/>
                <w:bCs/>
                <w:sz w:val="24"/>
                <w:lang w:val="en-US" w:eastAsia="zh-CN"/>
              </w:rPr>
              <w:t xml:space="preserve">    </w:t>
            </w:r>
            <w:r>
              <w:rPr>
                <w:rFonts w:hint="default" w:ascii="Times New Roman" w:hAnsi="Times New Roman" w:eastAsia="宋体" w:cs="Times New Roman"/>
                <w:b/>
                <w:bCs/>
                <w:sz w:val="24"/>
              </w:rPr>
              <w:t>内容</w:t>
            </w:r>
          </w:p>
          <w:p w14:paraId="0C560EC9">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要素</w:t>
            </w:r>
          </w:p>
        </w:tc>
        <w:tc>
          <w:tcPr>
            <w:tcW w:w="699" w:type="pct"/>
            <w:noWrap w:val="0"/>
            <w:vAlign w:val="center"/>
          </w:tcPr>
          <w:p w14:paraId="44FF9B9A">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排放口</w:t>
            </w:r>
            <w:r>
              <w:rPr>
                <w:rFonts w:hint="eastAsia" w:ascii="Times New Roman" w:hAnsi="Times New Roman" w:eastAsia="宋体" w:cs="Times New Roman"/>
                <w:b/>
                <w:bCs/>
                <w:sz w:val="24"/>
                <w:lang w:eastAsia="zh-CN"/>
              </w:rPr>
              <w:t>（</w:t>
            </w:r>
            <w:r>
              <w:rPr>
                <w:rFonts w:hint="default" w:ascii="Times New Roman" w:hAnsi="Times New Roman" w:eastAsia="宋体" w:cs="Times New Roman"/>
                <w:b/>
                <w:bCs/>
                <w:sz w:val="24"/>
              </w:rPr>
              <w:t>编号、名称</w:t>
            </w:r>
            <w:r>
              <w:rPr>
                <w:rFonts w:hint="eastAsia" w:ascii="Times New Roman" w:hAnsi="Times New Roman" w:eastAsia="宋体" w:cs="Times New Roman"/>
                <w:b/>
                <w:bCs/>
                <w:sz w:val="24"/>
                <w:lang w:eastAsia="zh-CN"/>
              </w:rPr>
              <w:t>）</w:t>
            </w:r>
            <w:r>
              <w:rPr>
                <w:rFonts w:hint="default" w:ascii="Times New Roman" w:hAnsi="Times New Roman" w:eastAsia="宋体" w:cs="Times New Roman"/>
                <w:b/>
                <w:bCs/>
                <w:sz w:val="24"/>
              </w:rPr>
              <w:t>/污染源</w:t>
            </w:r>
          </w:p>
        </w:tc>
        <w:tc>
          <w:tcPr>
            <w:tcW w:w="533" w:type="pct"/>
            <w:noWrap w:val="0"/>
            <w:vAlign w:val="center"/>
          </w:tcPr>
          <w:p w14:paraId="2345174D">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污染物项目</w:t>
            </w:r>
          </w:p>
        </w:tc>
        <w:tc>
          <w:tcPr>
            <w:tcW w:w="1966" w:type="pct"/>
            <w:gridSpan w:val="2"/>
            <w:noWrap w:val="0"/>
            <w:vAlign w:val="center"/>
          </w:tcPr>
          <w:p w14:paraId="1E0EF670">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环境保护措施</w:t>
            </w:r>
          </w:p>
        </w:tc>
        <w:tc>
          <w:tcPr>
            <w:tcW w:w="1116" w:type="pct"/>
            <w:noWrap w:val="0"/>
            <w:vAlign w:val="center"/>
          </w:tcPr>
          <w:p w14:paraId="6A1AE17B">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执行标准</w:t>
            </w:r>
          </w:p>
        </w:tc>
      </w:tr>
      <w:tr w14:paraId="6C2E4C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5" w:hRule="atLeast"/>
          <w:jc w:val="center"/>
        </w:trPr>
        <w:tc>
          <w:tcPr>
            <w:tcW w:w="683" w:type="pct"/>
            <w:vMerge w:val="restart"/>
            <w:noWrap w:val="0"/>
            <w:vAlign w:val="center"/>
          </w:tcPr>
          <w:p w14:paraId="4D1E44A3">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大气</w:t>
            </w:r>
          </w:p>
          <w:p w14:paraId="0B1722FF">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环境</w:t>
            </w:r>
          </w:p>
        </w:tc>
        <w:tc>
          <w:tcPr>
            <w:tcW w:w="699" w:type="pct"/>
            <w:vMerge w:val="restart"/>
            <w:noWrap w:val="0"/>
            <w:vAlign w:val="center"/>
          </w:tcPr>
          <w:p w14:paraId="7FE076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sz w:val="24"/>
                <w:szCs w:val="24"/>
                <w:lang w:val="en-US" w:eastAsia="zh-CN"/>
              </w:rPr>
            </w:pPr>
            <w:r>
              <w:rPr>
                <w:rFonts w:hint="eastAsia" w:cs="Times New Roman"/>
                <w:sz w:val="24"/>
                <w:szCs w:val="24"/>
                <w:lang w:val="en-US" w:eastAsia="zh-CN"/>
              </w:rPr>
              <w:t>废气</w:t>
            </w:r>
          </w:p>
          <w:p w14:paraId="27E068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sz w:val="24"/>
                <w:szCs w:val="24"/>
                <w:lang w:val="en-US" w:eastAsia="zh-CN"/>
              </w:rPr>
              <w:t>排气筒（DA00</w:t>
            </w:r>
            <w:r>
              <w:rPr>
                <w:rFonts w:hint="eastAsia" w:cs="Times New Roman"/>
                <w:sz w:val="24"/>
                <w:szCs w:val="24"/>
                <w:lang w:val="en-US" w:eastAsia="zh-CN"/>
              </w:rPr>
              <w:t>1</w:t>
            </w:r>
            <w:r>
              <w:rPr>
                <w:rFonts w:hint="default" w:ascii="Times New Roman" w:hAnsi="Times New Roman" w:eastAsia="宋体" w:cs="Times New Roman"/>
                <w:sz w:val="24"/>
                <w:szCs w:val="24"/>
                <w:lang w:val="en-US" w:eastAsia="zh-CN"/>
              </w:rPr>
              <w:t>）</w:t>
            </w:r>
          </w:p>
        </w:tc>
        <w:tc>
          <w:tcPr>
            <w:tcW w:w="533" w:type="pct"/>
            <w:vMerge w:val="restart"/>
            <w:noWrap w:val="0"/>
            <w:vAlign w:val="center"/>
          </w:tcPr>
          <w:p w14:paraId="238B36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z w:val="24"/>
                <w:szCs w:val="24"/>
                <w:lang w:val="en-US" w:eastAsia="zh-CN"/>
              </w:rPr>
            </w:pPr>
            <w:r>
              <w:rPr>
                <w:rFonts w:hint="eastAsia" w:cs="Times New Roman"/>
                <w:color w:val="auto"/>
                <w:sz w:val="24"/>
                <w:szCs w:val="24"/>
                <w:lang w:val="en-US" w:eastAsia="zh-CN"/>
              </w:rPr>
              <w:t>有组织</w:t>
            </w:r>
          </w:p>
          <w:p w14:paraId="5DCFBE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颗粒物</w:t>
            </w:r>
          </w:p>
        </w:tc>
        <w:tc>
          <w:tcPr>
            <w:tcW w:w="397" w:type="pct"/>
            <w:noWrap w:val="0"/>
            <w:vAlign w:val="center"/>
          </w:tcPr>
          <w:p w14:paraId="6357CE75">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4"/>
                <w:szCs w:val="24"/>
                <w:lang w:val="en-US" w:eastAsia="zh-CN" w:bidi="ar-SA"/>
              </w:rPr>
            </w:pPr>
            <w:r>
              <w:rPr>
                <w:rFonts w:hint="eastAsia" w:cs="Times New Roman"/>
                <w:color w:val="000000"/>
                <w:sz w:val="24"/>
                <w:szCs w:val="24"/>
                <w:lang w:val="en-US" w:eastAsia="zh-CN"/>
              </w:rPr>
              <w:t>喂料机给料工序</w:t>
            </w:r>
          </w:p>
        </w:tc>
        <w:tc>
          <w:tcPr>
            <w:tcW w:w="1569" w:type="pct"/>
            <w:vMerge w:val="restart"/>
            <w:shd w:val="clear" w:color="auto" w:fill="auto"/>
            <w:noWrap w:val="0"/>
            <w:vAlign w:val="center"/>
          </w:tcPr>
          <w:p w14:paraId="62DB8309">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color w:val="000000"/>
                <w:kern w:val="2"/>
                <w:sz w:val="24"/>
                <w:szCs w:val="24"/>
                <w:lang w:val="en-US" w:eastAsia="zh-CN" w:bidi="ar-SA"/>
              </w:rPr>
            </w:pPr>
            <w:r>
              <w:rPr>
                <w:rFonts w:hint="eastAsia" w:cs="Times New Roman"/>
                <w:color w:val="000000"/>
                <w:sz w:val="24"/>
                <w:szCs w:val="24"/>
                <w:lang w:val="en-US" w:eastAsia="zh-CN"/>
              </w:rPr>
              <w:t>给料和颚破产尘点处设置集气罩收集废气，收集到的颗粒物经过袋式除尘器处理，再</w:t>
            </w:r>
            <w:r>
              <w:rPr>
                <w:rFonts w:hint="default" w:ascii="Times New Roman" w:hAnsi="Times New Roman" w:cs="Times New Roman"/>
                <w:color w:val="000000"/>
                <w:sz w:val="24"/>
                <w:szCs w:val="24"/>
                <w:lang w:val="en-US" w:eastAsia="zh-CN"/>
              </w:rPr>
              <w:t>通过15m高的排气筒达标排放</w:t>
            </w:r>
            <w:r>
              <w:rPr>
                <w:rFonts w:hint="default" w:ascii="Times New Roman" w:hAnsi="Times New Roman" w:cs="Times New Roman"/>
                <w:color w:val="000000"/>
                <w:sz w:val="24"/>
                <w:szCs w:val="24"/>
              </w:rPr>
              <w:t>（DA00</w:t>
            </w:r>
            <w:r>
              <w:rPr>
                <w:rFonts w:hint="default" w:ascii="Times New Roman" w:hAnsi="Times New Roman" w:cs="Times New Roman"/>
                <w:color w:val="000000"/>
                <w:sz w:val="24"/>
                <w:szCs w:val="24"/>
                <w:lang w:val="en-US" w:eastAsia="zh-CN"/>
              </w:rPr>
              <w:t>1</w:t>
            </w:r>
            <w:r>
              <w:rPr>
                <w:rFonts w:hint="default" w:ascii="Times New Roman" w:hAnsi="Times New Roman" w:cs="Times New Roman"/>
                <w:color w:val="000000"/>
                <w:sz w:val="24"/>
                <w:szCs w:val="24"/>
              </w:rPr>
              <w:t>）</w:t>
            </w:r>
            <w:r>
              <w:rPr>
                <w:rFonts w:hint="eastAsia" w:cs="Times New Roman"/>
                <w:color w:val="000000"/>
                <w:sz w:val="24"/>
                <w:szCs w:val="24"/>
                <w:lang w:eastAsia="zh-CN"/>
              </w:rPr>
              <w:t>。</w:t>
            </w:r>
          </w:p>
        </w:tc>
        <w:tc>
          <w:tcPr>
            <w:tcW w:w="1116" w:type="pct"/>
            <w:vMerge w:val="restart"/>
            <w:noWrap w:val="0"/>
            <w:vAlign w:val="center"/>
          </w:tcPr>
          <w:p w14:paraId="06386DF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kern w:val="2"/>
                <w:sz w:val="24"/>
                <w:szCs w:val="24"/>
                <w:lang w:val="en-US" w:eastAsia="zh-CN" w:bidi="ar"/>
              </w:rPr>
            </w:pPr>
            <w:r>
              <w:rPr>
                <w:rFonts w:hint="eastAsia"/>
                <w:color w:val="000000"/>
                <w:sz w:val="24"/>
                <w:szCs w:val="24"/>
                <w:u w:val="none"/>
                <w:lang w:eastAsia="zh-CN"/>
              </w:rPr>
              <w:t>《</w:t>
            </w:r>
            <w:r>
              <w:rPr>
                <w:rFonts w:hint="eastAsia"/>
                <w:sz w:val="24"/>
                <w:szCs w:val="24"/>
                <w:lang w:val="en-US" w:eastAsia="zh-CN"/>
              </w:rPr>
              <w:t>河南省水泥工业大气污染物排放标准</w:t>
            </w:r>
            <w:r>
              <w:rPr>
                <w:rFonts w:hint="eastAsia"/>
                <w:color w:val="000000"/>
                <w:sz w:val="24"/>
                <w:szCs w:val="24"/>
                <w:u w:val="none"/>
                <w:lang w:eastAsia="zh-CN"/>
              </w:rPr>
              <w:t>》</w:t>
            </w:r>
            <w:r>
              <w:rPr>
                <w:rFonts w:hint="eastAsia"/>
                <w:sz w:val="24"/>
                <w:szCs w:val="24"/>
                <w:lang w:val="en-US" w:eastAsia="zh-CN"/>
              </w:rPr>
              <w:t>(DB41/1953-2020)（</w:t>
            </w:r>
            <w:r>
              <w:rPr>
                <w:color w:val="000000"/>
                <w:sz w:val="24"/>
                <w:szCs w:val="24"/>
                <w:u w:val="none"/>
              </w:rPr>
              <w:t>10mg/m</w:t>
            </w:r>
            <w:r>
              <w:rPr>
                <w:color w:val="000000"/>
                <w:sz w:val="24"/>
                <w:szCs w:val="24"/>
                <w:u w:val="none"/>
                <w:vertAlign w:val="superscript"/>
              </w:rPr>
              <w:t>3</w:t>
            </w:r>
            <w:r>
              <w:rPr>
                <w:rFonts w:hint="eastAsia"/>
                <w:sz w:val="24"/>
                <w:szCs w:val="24"/>
                <w:lang w:val="en-US" w:eastAsia="zh-CN"/>
              </w:rPr>
              <w:t>）和</w:t>
            </w:r>
            <w:r>
              <w:rPr>
                <w:rFonts w:hint="eastAsia"/>
                <w:color w:val="000000"/>
                <w:sz w:val="24"/>
                <w:szCs w:val="24"/>
                <w:u w:val="none"/>
              </w:rPr>
              <w:t>《河南省重污染天气</w:t>
            </w:r>
            <w:r>
              <w:rPr>
                <w:rFonts w:hint="eastAsia"/>
                <w:color w:val="000000"/>
                <w:sz w:val="24"/>
                <w:szCs w:val="24"/>
                <w:u w:val="none"/>
                <w:lang w:val="en-US" w:eastAsia="zh-CN"/>
              </w:rPr>
              <w:t>重点</w:t>
            </w:r>
            <w:r>
              <w:rPr>
                <w:rFonts w:hint="eastAsia"/>
                <w:color w:val="000000"/>
                <w:sz w:val="24"/>
                <w:szCs w:val="24"/>
                <w:u w:val="none"/>
              </w:rPr>
              <w:t>行业应急减排措施制定技术指南》</w:t>
            </w:r>
            <w:r>
              <w:rPr>
                <w:rFonts w:hint="eastAsia"/>
                <w:sz w:val="24"/>
                <w:szCs w:val="24"/>
                <w:highlight w:val="none"/>
                <w:u w:val="none"/>
                <w:lang w:val="en-US" w:eastAsia="zh-CN"/>
              </w:rPr>
              <w:t>（2024年修订版）</w:t>
            </w:r>
            <w:r>
              <w:rPr>
                <w:rFonts w:hint="eastAsia"/>
                <w:sz w:val="24"/>
                <w:szCs w:val="24"/>
                <w:u w:val="none"/>
              </w:rPr>
              <w:t>中排放限值（</w:t>
            </w:r>
            <w:r>
              <w:rPr>
                <w:rFonts w:hint="eastAsia"/>
                <w:sz w:val="24"/>
                <w:szCs w:val="24"/>
                <w:u w:val="none"/>
                <w:lang w:val="en-US" w:eastAsia="zh-CN"/>
              </w:rPr>
              <w:t>颗粒物</w:t>
            </w:r>
            <w:r>
              <w:rPr>
                <w:rFonts w:hint="eastAsia"/>
                <w:sz w:val="24"/>
                <w:szCs w:val="24"/>
                <w:u w:val="none"/>
              </w:rPr>
              <w:t>有组织10mg/m</w:t>
            </w:r>
            <w:r>
              <w:rPr>
                <w:rFonts w:hint="eastAsia"/>
                <w:sz w:val="24"/>
                <w:szCs w:val="24"/>
                <w:u w:val="none"/>
                <w:vertAlign w:val="superscript"/>
              </w:rPr>
              <w:t>3</w:t>
            </w:r>
            <w:r>
              <w:rPr>
                <w:rFonts w:hint="eastAsia"/>
                <w:sz w:val="24"/>
                <w:szCs w:val="24"/>
                <w:u w:val="none"/>
              </w:rPr>
              <w:t>）要求</w:t>
            </w:r>
            <w:r>
              <w:rPr>
                <w:color w:val="000000"/>
                <w:sz w:val="24"/>
                <w:szCs w:val="24"/>
                <w:u w:val="none"/>
              </w:rPr>
              <w:t>。</w:t>
            </w:r>
          </w:p>
        </w:tc>
      </w:tr>
      <w:tr w14:paraId="3F9317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683" w:type="pct"/>
            <w:vMerge w:val="continue"/>
            <w:noWrap w:val="0"/>
            <w:vAlign w:val="center"/>
          </w:tcPr>
          <w:p w14:paraId="5CF6274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pPr>
          </w:p>
        </w:tc>
        <w:tc>
          <w:tcPr>
            <w:tcW w:w="699" w:type="pct"/>
            <w:vMerge w:val="continue"/>
            <w:noWrap w:val="0"/>
            <w:vAlign w:val="center"/>
          </w:tcPr>
          <w:p w14:paraId="0311943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pPr>
          </w:p>
        </w:tc>
        <w:tc>
          <w:tcPr>
            <w:tcW w:w="533" w:type="pct"/>
            <w:vMerge w:val="continue"/>
            <w:noWrap w:val="0"/>
            <w:vAlign w:val="center"/>
          </w:tcPr>
          <w:p w14:paraId="27237B4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pPr>
          </w:p>
        </w:tc>
        <w:tc>
          <w:tcPr>
            <w:tcW w:w="397" w:type="pct"/>
            <w:noWrap w:val="0"/>
            <w:vAlign w:val="center"/>
          </w:tcPr>
          <w:p w14:paraId="59136E0E">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4"/>
                <w:szCs w:val="24"/>
                <w:lang w:val="en-US" w:eastAsia="zh-CN" w:bidi="ar-SA"/>
              </w:rPr>
            </w:pPr>
            <w:r>
              <w:rPr>
                <w:rFonts w:hint="eastAsia" w:cs="Times New Roman"/>
                <w:color w:val="000000"/>
                <w:sz w:val="24"/>
                <w:szCs w:val="24"/>
                <w:lang w:val="en-US" w:eastAsia="zh-CN"/>
              </w:rPr>
              <w:t>颚</w:t>
            </w:r>
            <w:r>
              <w:rPr>
                <w:rFonts w:hint="default" w:ascii="Times New Roman" w:hAnsi="Times New Roman" w:cs="Times New Roman"/>
                <w:color w:val="000000"/>
                <w:sz w:val="24"/>
                <w:szCs w:val="24"/>
                <w:lang w:val="en-US" w:eastAsia="zh-CN"/>
              </w:rPr>
              <w:t>破工序</w:t>
            </w:r>
          </w:p>
        </w:tc>
        <w:tc>
          <w:tcPr>
            <w:tcW w:w="1569" w:type="pct"/>
            <w:vMerge w:val="continue"/>
            <w:noWrap w:val="0"/>
            <w:vAlign w:val="center"/>
          </w:tcPr>
          <w:p w14:paraId="1D256F2D">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color w:val="000000"/>
                <w:kern w:val="2"/>
                <w:sz w:val="24"/>
                <w:szCs w:val="24"/>
                <w:lang w:val="en-US" w:eastAsia="zh-CN" w:bidi="ar-SA"/>
              </w:rPr>
            </w:pPr>
          </w:p>
        </w:tc>
        <w:tc>
          <w:tcPr>
            <w:tcW w:w="1116" w:type="pct"/>
            <w:vMerge w:val="continue"/>
            <w:noWrap w:val="0"/>
            <w:vAlign w:val="center"/>
          </w:tcPr>
          <w:p w14:paraId="79348D4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p>
        </w:tc>
      </w:tr>
      <w:tr w14:paraId="6BD8BD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6" w:hRule="atLeast"/>
          <w:jc w:val="center"/>
        </w:trPr>
        <w:tc>
          <w:tcPr>
            <w:tcW w:w="683" w:type="pct"/>
            <w:vMerge w:val="continue"/>
            <w:noWrap w:val="0"/>
            <w:vAlign w:val="center"/>
          </w:tcPr>
          <w:p w14:paraId="75B702A8">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p>
        </w:tc>
        <w:tc>
          <w:tcPr>
            <w:tcW w:w="699" w:type="pct"/>
            <w:vMerge w:val="restart"/>
            <w:noWrap w:val="0"/>
            <w:vAlign w:val="center"/>
          </w:tcPr>
          <w:p w14:paraId="7F86B0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sz w:val="24"/>
                <w:szCs w:val="24"/>
                <w:lang w:val="en-US" w:eastAsia="zh-CN"/>
              </w:rPr>
            </w:pPr>
            <w:r>
              <w:rPr>
                <w:rFonts w:hint="eastAsia" w:cs="Times New Roman"/>
                <w:sz w:val="24"/>
                <w:szCs w:val="24"/>
                <w:lang w:val="en-US" w:eastAsia="zh-CN"/>
              </w:rPr>
              <w:t>废气</w:t>
            </w:r>
          </w:p>
          <w:p w14:paraId="0395EF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sz w:val="24"/>
                <w:szCs w:val="24"/>
                <w:lang w:val="en-US" w:eastAsia="zh-CN"/>
              </w:rPr>
              <w:t>排气筒（DA00</w:t>
            </w:r>
            <w:r>
              <w:rPr>
                <w:rFonts w:hint="eastAsia" w:ascii="Times New Roman" w:hAnsi="Times New Roman" w:cs="Times New Roman"/>
                <w:sz w:val="24"/>
                <w:szCs w:val="24"/>
                <w:lang w:val="en-US" w:eastAsia="zh-CN"/>
              </w:rPr>
              <w:t>2</w:t>
            </w:r>
            <w:r>
              <w:rPr>
                <w:rFonts w:hint="default" w:ascii="Times New Roman" w:hAnsi="Times New Roman" w:eastAsia="宋体" w:cs="Times New Roman"/>
                <w:sz w:val="24"/>
                <w:szCs w:val="24"/>
                <w:lang w:val="en-US" w:eastAsia="zh-CN"/>
              </w:rPr>
              <w:t>）</w:t>
            </w:r>
          </w:p>
        </w:tc>
        <w:tc>
          <w:tcPr>
            <w:tcW w:w="533" w:type="pct"/>
            <w:vMerge w:val="restart"/>
            <w:noWrap w:val="0"/>
            <w:vAlign w:val="center"/>
          </w:tcPr>
          <w:p w14:paraId="12D1DB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z w:val="24"/>
                <w:szCs w:val="24"/>
                <w:lang w:val="en-US" w:eastAsia="zh-CN"/>
              </w:rPr>
            </w:pPr>
            <w:r>
              <w:rPr>
                <w:rFonts w:hint="eastAsia" w:cs="Times New Roman"/>
                <w:color w:val="auto"/>
                <w:sz w:val="24"/>
                <w:szCs w:val="24"/>
                <w:lang w:val="en-US" w:eastAsia="zh-CN"/>
              </w:rPr>
              <w:t>有组织</w:t>
            </w:r>
          </w:p>
          <w:p w14:paraId="7568B8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颗粒物</w:t>
            </w:r>
          </w:p>
        </w:tc>
        <w:tc>
          <w:tcPr>
            <w:tcW w:w="397" w:type="pct"/>
            <w:noWrap w:val="0"/>
            <w:vAlign w:val="center"/>
          </w:tcPr>
          <w:p w14:paraId="61888D91">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4"/>
                <w:szCs w:val="24"/>
                <w:lang w:val="en-US" w:eastAsia="zh-CN" w:bidi="ar-SA"/>
              </w:rPr>
            </w:pPr>
            <w:r>
              <w:rPr>
                <w:rFonts w:hint="eastAsia" w:cs="Times New Roman"/>
                <w:color w:val="000000"/>
                <w:sz w:val="24"/>
                <w:szCs w:val="24"/>
                <w:lang w:val="en-US" w:eastAsia="zh-CN"/>
              </w:rPr>
              <w:t>水泥筒仓</w:t>
            </w:r>
          </w:p>
        </w:tc>
        <w:tc>
          <w:tcPr>
            <w:tcW w:w="1569" w:type="pct"/>
            <w:shd w:val="clear" w:color="auto" w:fill="auto"/>
            <w:noWrap w:val="0"/>
            <w:vAlign w:val="center"/>
          </w:tcPr>
          <w:p w14:paraId="1BDEFB37">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color w:val="000000"/>
                <w:kern w:val="2"/>
                <w:sz w:val="24"/>
                <w:szCs w:val="24"/>
                <w:lang w:val="en-US" w:eastAsia="zh-CN" w:bidi="ar-SA"/>
              </w:rPr>
            </w:pPr>
            <w:r>
              <w:rPr>
                <w:rFonts w:hint="eastAsia" w:cs="Times New Roman"/>
                <w:color w:val="000000"/>
                <w:sz w:val="24"/>
                <w:szCs w:val="24"/>
                <w:lang w:val="en-US" w:eastAsia="zh-CN"/>
              </w:rPr>
              <w:t>水泥入仓时2个水泥筒仓产生的颗粒物通过配套除尘器（TA00</w:t>
            </w:r>
            <w:r>
              <w:rPr>
                <w:rFonts w:hint="default" w:cs="Times New Roman"/>
                <w:color w:val="000000"/>
                <w:sz w:val="24"/>
                <w:szCs w:val="24"/>
                <w:lang w:eastAsia="zh-CN"/>
              </w:rPr>
              <w:t>2</w:t>
            </w:r>
            <w:r>
              <w:rPr>
                <w:rFonts w:hint="eastAsia" w:cs="Times New Roman"/>
                <w:color w:val="000000"/>
                <w:sz w:val="24"/>
                <w:szCs w:val="24"/>
                <w:lang w:val="en-US" w:eastAsia="zh-CN"/>
              </w:rPr>
              <w:t>、TA00</w:t>
            </w:r>
            <w:r>
              <w:rPr>
                <w:rFonts w:hint="default" w:cs="Times New Roman"/>
                <w:color w:val="000000"/>
                <w:sz w:val="24"/>
                <w:szCs w:val="24"/>
                <w:lang w:eastAsia="zh-CN"/>
              </w:rPr>
              <w:t>3</w:t>
            </w:r>
            <w:r>
              <w:rPr>
                <w:rFonts w:hint="eastAsia" w:cs="Times New Roman"/>
                <w:color w:val="000000"/>
                <w:sz w:val="24"/>
                <w:szCs w:val="24"/>
                <w:lang w:val="en-US" w:eastAsia="zh-CN"/>
              </w:rPr>
              <w:t>）收集处理，再通过排气筒达标排放</w:t>
            </w:r>
            <w:r>
              <w:rPr>
                <w:rFonts w:hint="default" w:ascii="Times New Roman" w:hAnsi="Times New Roman" w:cs="Times New Roman"/>
                <w:color w:val="000000"/>
                <w:sz w:val="24"/>
                <w:szCs w:val="24"/>
              </w:rPr>
              <w:t>（DA00</w:t>
            </w:r>
            <w:r>
              <w:rPr>
                <w:rFonts w:hint="eastAsia" w:cs="Times New Roman"/>
                <w:color w:val="000000"/>
                <w:sz w:val="24"/>
                <w:szCs w:val="24"/>
                <w:lang w:val="en-US" w:eastAsia="zh-CN"/>
              </w:rPr>
              <w:t>2</w:t>
            </w:r>
            <w:r>
              <w:rPr>
                <w:rFonts w:hint="default" w:ascii="Times New Roman" w:hAnsi="Times New Roman" w:cs="Times New Roman"/>
                <w:color w:val="000000"/>
                <w:sz w:val="24"/>
                <w:szCs w:val="24"/>
              </w:rPr>
              <w:t>）</w:t>
            </w:r>
          </w:p>
        </w:tc>
        <w:tc>
          <w:tcPr>
            <w:tcW w:w="1116" w:type="pct"/>
            <w:vMerge w:val="continue"/>
            <w:noWrap w:val="0"/>
            <w:vAlign w:val="center"/>
          </w:tcPr>
          <w:p w14:paraId="0BE4CF7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textAlignment w:val="auto"/>
              <w:rPr>
                <w:rFonts w:hint="eastAsia"/>
                <w:color w:val="000000"/>
                <w:sz w:val="24"/>
                <w:szCs w:val="24"/>
                <w:u w:val="none"/>
                <w:lang w:eastAsia="zh-CN"/>
              </w:rPr>
            </w:pPr>
          </w:p>
        </w:tc>
      </w:tr>
      <w:tr w14:paraId="1CFC55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683" w:type="pct"/>
            <w:vMerge w:val="continue"/>
            <w:noWrap w:val="0"/>
            <w:vAlign w:val="center"/>
          </w:tcPr>
          <w:p w14:paraId="7199D03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pPr>
          </w:p>
        </w:tc>
        <w:tc>
          <w:tcPr>
            <w:tcW w:w="699" w:type="pct"/>
            <w:vMerge w:val="continue"/>
            <w:noWrap w:val="0"/>
            <w:vAlign w:val="center"/>
          </w:tcPr>
          <w:p w14:paraId="1CA6A12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pPr>
          </w:p>
        </w:tc>
        <w:tc>
          <w:tcPr>
            <w:tcW w:w="533" w:type="pct"/>
            <w:vMerge w:val="continue"/>
            <w:noWrap w:val="0"/>
            <w:vAlign w:val="center"/>
          </w:tcPr>
          <w:p w14:paraId="1F764C8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pPr>
          </w:p>
        </w:tc>
        <w:tc>
          <w:tcPr>
            <w:tcW w:w="397" w:type="pct"/>
            <w:noWrap w:val="0"/>
            <w:vAlign w:val="center"/>
          </w:tcPr>
          <w:p w14:paraId="19439A09">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cs="Times New Roman"/>
                <w:color w:val="000000"/>
                <w:sz w:val="24"/>
                <w:szCs w:val="24"/>
                <w:lang w:val="en-US" w:eastAsia="zh-CN"/>
              </w:rPr>
              <w:t>给料工序</w:t>
            </w:r>
            <w:r>
              <w:rPr>
                <w:rFonts w:hint="eastAsia" w:cs="Times New Roman"/>
                <w:color w:val="000000"/>
                <w:sz w:val="24"/>
                <w:szCs w:val="24"/>
                <w:lang w:val="en-US" w:eastAsia="zh-CN"/>
              </w:rPr>
              <w:t>颗粒物</w:t>
            </w:r>
          </w:p>
        </w:tc>
        <w:tc>
          <w:tcPr>
            <w:tcW w:w="1569" w:type="pct"/>
            <w:vMerge w:val="restart"/>
            <w:shd w:val="clear" w:color="auto" w:fill="auto"/>
            <w:noWrap w:val="0"/>
            <w:vAlign w:val="center"/>
          </w:tcPr>
          <w:p w14:paraId="00A8AEBB">
            <w:pPr>
              <w:keepNext w:val="0"/>
              <w:keepLines w:val="0"/>
              <w:pageBreakBefore w:val="0"/>
              <w:widowControl w:val="0"/>
              <w:kinsoku/>
              <w:wordWrap w:val="0"/>
              <w:overflowPunct/>
              <w:topLinePunct w:val="0"/>
              <w:autoSpaceDE/>
              <w:autoSpaceDN/>
              <w:bidi w:val="0"/>
              <w:adjustRightInd/>
              <w:snapToGrid/>
              <w:jc w:val="center"/>
              <w:textAlignment w:val="auto"/>
              <w:rPr>
                <w:rFonts w:hint="default" w:ascii="Times New Roman" w:hAnsi="Times New Roman" w:eastAsia="宋体" w:cs="Times New Roman"/>
                <w:color w:val="000000"/>
                <w:kern w:val="2"/>
                <w:sz w:val="24"/>
                <w:szCs w:val="24"/>
                <w:lang w:val="en-US" w:eastAsia="zh-CN" w:bidi="ar-SA"/>
              </w:rPr>
            </w:pPr>
            <w:r>
              <w:rPr>
                <w:rFonts w:hint="eastAsia" w:cs="Times New Roman"/>
                <w:color w:val="000000"/>
                <w:sz w:val="24"/>
                <w:szCs w:val="24"/>
                <w:lang w:val="en-US" w:eastAsia="zh-CN"/>
              </w:rPr>
              <w:t>配料给料和搅拌工序产尘点处</w:t>
            </w:r>
            <w:r>
              <w:rPr>
                <w:rFonts w:hint="default" w:ascii="Times New Roman" w:hAnsi="Times New Roman" w:cs="Times New Roman"/>
                <w:color w:val="000000"/>
                <w:sz w:val="24"/>
                <w:szCs w:val="24"/>
                <w:lang w:val="en-US" w:eastAsia="zh-CN"/>
              </w:rPr>
              <w:t>设置集气罩</w:t>
            </w:r>
            <w:r>
              <w:rPr>
                <w:rFonts w:hint="eastAsia" w:cs="Times New Roman"/>
                <w:color w:val="000000"/>
                <w:sz w:val="24"/>
                <w:szCs w:val="24"/>
                <w:lang w:val="en-US" w:eastAsia="zh-CN"/>
              </w:rPr>
              <w:t>，</w:t>
            </w:r>
            <w:r>
              <w:rPr>
                <w:rFonts w:hint="default" w:ascii="Times New Roman" w:hAnsi="Times New Roman" w:cs="Times New Roman"/>
                <w:color w:val="000000"/>
                <w:sz w:val="24"/>
                <w:szCs w:val="24"/>
                <w:highlight w:val="none"/>
                <w:lang w:val="en-US" w:eastAsia="zh-CN"/>
              </w:rPr>
              <w:t>收集到废气经袋式除尘器处理后通过15m高的</w:t>
            </w:r>
            <w:r>
              <w:rPr>
                <w:rFonts w:hint="default" w:ascii="Times New Roman" w:hAnsi="Times New Roman" w:cs="Times New Roman"/>
                <w:color w:val="000000"/>
                <w:sz w:val="24"/>
                <w:szCs w:val="24"/>
                <w:lang w:val="en-US" w:eastAsia="zh-CN"/>
              </w:rPr>
              <w:t>排气筒达标排放</w:t>
            </w:r>
            <w:r>
              <w:rPr>
                <w:rFonts w:hint="default" w:ascii="Times New Roman" w:hAnsi="Times New Roman" w:cs="Times New Roman"/>
                <w:color w:val="000000"/>
                <w:sz w:val="24"/>
                <w:szCs w:val="24"/>
              </w:rPr>
              <w:t>（DA00</w:t>
            </w:r>
            <w:r>
              <w:rPr>
                <w:rFonts w:hint="eastAsia" w:cs="Times New Roman"/>
                <w:color w:val="000000"/>
                <w:sz w:val="24"/>
                <w:szCs w:val="24"/>
                <w:lang w:val="en-US" w:eastAsia="zh-CN"/>
              </w:rPr>
              <w:t>2</w:t>
            </w:r>
            <w:r>
              <w:rPr>
                <w:rFonts w:hint="default" w:ascii="Times New Roman" w:hAnsi="Times New Roman" w:cs="Times New Roman"/>
                <w:color w:val="000000"/>
                <w:sz w:val="24"/>
                <w:szCs w:val="24"/>
              </w:rPr>
              <w:t>）</w:t>
            </w:r>
          </w:p>
        </w:tc>
        <w:tc>
          <w:tcPr>
            <w:tcW w:w="1116" w:type="pct"/>
            <w:vMerge w:val="continue"/>
            <w:noWrap w:val="0"/>
            <w:vAlign w:val="center"/>
          </w:tcPr>
          <w:p w14:paraId="37FC788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sz w:val="24"/>
                <w:szCs w:val="24"/>
                <w:lang w:val="en-US" w:eastAsia="zh-CN"/>
              </w:rPr>
            </w:pPr>
          </w:p>
        </w:tc>
      </w:tr>
      <w:tr w14:paraId="6CF115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683" w:type="pct"/>
            <w:vMerge w:val="continue"/>
            <w:noWrap w:val="0"/>
            <w:vAlign w:val="center"/>
          </w:tcPr>
          <w:p w14:paraId="02F4F2F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sz w:val="24"/>
                <w:szCs w:val="24"/>
                <w:lang w:val="en-US" w:eastAsia="zh-CN"/>
              </w:rPr>
            </w:pPr>
          </w:p>
        </w:tc>
        <w:tc>
          <w:tcPr>
            <w:tcW w:w="699" w:type="pct"/>
            <w:vMerge w:val="continue"/>
            <w:noWrap w:val="0"/>
            <w:vAlign w:val="center"/>
          </w:tcPr>
          <w:p w14:paraId="0C9F489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sz w:val="24"/>
                <w:szCs w:val="24"/>
                <w:lang w:val="en-US" w:eastAsia="zh-CN"/>
              </w:rPr>
            </w:pPr>
          </w:p>
        </w:tc>
        <w:tc>
          <w:tcPr>
            <w:tcW w:w="533" w:type="pct"/>
            <w:vMerge w:val="continue"/>
            <w:noWrap w:val="0"/>
            <w:vAlign w:val="center"/>
          </w:tcPr>
          <w:p w14:paraId="3AA7B01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sz w:val="24"/>
                <w:szCs w:val="24"/>
                <w:lang w:val="en-US" w:eastAsia="zh-CN"/>
              </w:rPr>
            </w:pPr>
          </w:p>
        </w:tc>
        <w:tc>
          <w:tcPr>
            <w:tcW w:w="397" w:type="pct"/>
            <w:noWrap w:val="0"/>
            <w:vAlign w:val="center"/>
          </w:tcPr>
          <w:p w14:paraId="6C1E3D2E">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24"/>
                <w:szCs w:val="24"/>
                <w:lang w:val="en-US" w:eastAsia="zh-CN" w:bidi="ar-SA"/>
              </w:rPr>
            </w:pPr>
            <w:r>
              <w:rPr>
                <w:rFonts w:hint="eastAsia" w:cs="Times New Roman"/>
                <w:color w:val="000000"/>
                <w:sz w:val="24"/>
                <w:szCs w:val="24"/>
                <w:lang w:val="en-US" w:eastAsia="zh-CN"/>
              </w:rPr>
              <w:t>搅拌工序颗粒物</w:t>
            </w:r>
          </w:p>
        </w:tc>
        <w:tc>
          <w:tcPr>
            <w:tcW w:w="1569" w:type="pct"/>
            <w:vMerge w:val="continue"/>
            <w:noWrap w:val="0"/>
            <w:vAlign w:val="center"/>
          </w:tcPr>
          <w:p w14:paraId="27E79D42">
            <w:pPr>
              <w:keepNext w:val="0"/>
              <w:keepLines w:val="0"/>
              <w:pageBreakBefore w:val="0"/>
              <w:widowControl w:val="0"/>
              <w:kinsoku/>
              <w:overflowPunct/>
              <w:topLinePunct w:val="0"/>
              <w:autoSpaceDE/>
              <w:autoSpaceDN/>
              <w:bidi w:val="0"/>
              <w:jc w:val="center"/>
              <w:textAlignment w:val="auto"/>
              <w:rPr>
                <w:rFonts w:hint="default" w:ascii="Times New Roman" w:hAnsi="Times New Roman" w:eastAsia="宋体" w:cs="Times New Roman"/>
                <w:color w:val="000000"/>
                <w:kern w:val="2"/>
                <w:sz w:val="21"/>
                <w:szCs w:val="21"/>
                <w:lang w:val="en-US" w:eastAsia="zh-CN" w:bidi="ar-SA"/>
              </w:rPr>
            </w:pPr>
          </w:p>
        </w:tc>
        <w:tc>
          <w:tcPr>
            <w:tcW w:w="1116" w:type="pct"/>
            <w:vMerge w:val="continue"/>
            <w:noWrap w:val="0"/>
            <w:vAlign w:val="center"/>
          </w:tcPr>
          <w:p w14:paraId="67985FE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sz w:val="24"/>
                <w:szCs w:val="24"/>
                <w:lang w:val="en-US" w:eastAsia="zh-CN"/>
              </w:rPr>
            </w:pPr>
          </w:p>
        </w:tc>
      </w:tr>
      <w:tr w14:paraId="459550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27" w:hRule="atLeast"/>
          <w:jc w:val="center"/>
        </w:trPr>
        <w:tc>
          <w:tcPr>
            <w:tcW w:w="683" w:type="pct"/>
            <w:vMerge w:val="continue"/>
            <w:noWrap w:val="0"/>
            <w:vAlign w:val="center"/>
          </w:tcPr>
          <w:p w14:paraId="5246C413">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p>
        </w:tc>
        <w:tc>
          <w:tcPr>
            <w:tcW w:w="699" w:type="pct"/>
            <w:noWrap w:val="0"/>
            <w:vAlign w:val="center"/>
          </w:tcPr>
          <w:p w14:paraId="05952AC1">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24"/>
                <w:szCs w:val="24"/>
                <w:u w:val="none"/>
                <w:lang w:val="en-US" w:eastAsia="zh-CN" w:bidi="ar-SA"/>
              </w:rPr>
            </w:pPr>
            <w:r>
              <w:rPr>
                <w:color w:val="000000"/>
                <w:sz w:val="24"/>
                <w:szCs w:val="24"/>
                <w:u w:val="none"/>
              </w:rPr>
              <w:t>原料</w:t>
            </w:r>
            <w:r>
              <w:rPr>
                <w:rFonts w:hint="eastAsia"/>
                <w:color w:val="000000"/>
                <w:sz w:val="24"/>
                <w:szCs w:val="24"/>
                <w:u w:val="none"/>
                <w:lang w:val="en-US" w:eastAsia="zh-CN"/>
              </w:rPr>
              <w:t>堆放</w:t>
            </w:r>
            <w:r>
              <w:rPr>
                <w:color w:val="000000"/>
                <w:sz w:val="24"/>
                <w:szCs w:val="24"/>
                <w:u w:val="none"/>
              </w:rPr>
              <w:t>装卸</w:t>
            </w:r>
            <w:r>
              <w:rPr>
                <w:rFonts w:hint="eastAsia"/>
                <w:color w:val="000000"/>
                <w:sz w:val="24"/>
                <w:szCs w:val="24"/>
                <w:u w:val="none"/>
                <w:lang w:eastAsia="zh-CN"/>
              </w:rPr>
              <w:t>，</w:t>
            </w:r>
            <w:r>
              <w:rPr>
                <w:rFonts w:hint="eastAsia"/>
                <w:color w:val="000000"/>
                <w:sz w:val="24"/>
                <w:szCs w:val="24"/>
                <w:u w:val="none"/>
                <w:lang w:val="en-US" w:eastAsia="zh-CN"/>
              </w:rPr>
              <w:t>生产工序</w:t>
            </w:r>
          </w:p>
        </w:tc>
        <w:tc>
          <w:tcPr>
            <w:tcW w:w="533" w:type="pct"/>
            <w:noWrap w:val="0"/>
            <w:vAlign w:val="center"/>
          </w:tcPr>
          <w:p w14:paraId="3D8CBD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z w:val="24"/>
                <w:szCs w:val="24"/>
                <w:lang w:val="en-US" w:eastAsia="zh-CN"/>
              </w:rPr>
            </w:pPr>
            <w:r>
              <w:rPr>
                <w:rFonts w:hint="eastAsia" w:cs="Times New Roman"/>
                <w:color w:val="auto"/>
                <w:sz w:val="24"/>
                <w:szCs w:val="24"/>
                <w:lang w:val="en-US" w:eastAsia="zh-CN"/>
              </w:rPr>
              <w:t>无组织</w:t>
            </w:r>
          </w:p>
          <w:p w14:paraId="619B88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颗粒物</w:t>
            </w:r>
          </w:p>
        </w:tc>
        <w:tc>
          <w:tcPr>
            <w:tcW w:w="1966" w:type="pct"/>
            <w:gridSpan w:val="2"/>
            <w:noWrap w:val="0"/>
            <w:vAlign w:val="center"/>
          </w:tcPr>
          <w:p w14:paraId="7C4DEC0D">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000000"/>
                <w:kern w:val="0"/>
                <w:sz w:val="24"/>
                <w:szCs w:val="24"/>
                <w:u w:val="none"/>
                <w:lang w:val="en-US" w:eastAsia="zh-CN" w:bidi="ar-SA"/>
              </w:rPr>
            </w:pPr>
            <w:r>
              <w:rPr>
                <w:color w:val="000000"/>
                <w:kern w:val="0"/>
                <w:sz w:val="24"/>
                <w:szCs w:val="24"/>
                <w:u w:val="none"/>
              </w:rPr>
              <w:t>厂房密闭、</w:t>
            </w:r>
            <w:r>
              <w:rPr>
                <w:rFonts w:hint="eastAsia"/>
                <w:color w:val="000000"/>
                <w:kern w:val="0"/>
                <w:sz w:val="24"/>
                <w:szCs w:val="24"/>
                <w:u w:val="none"/>
                <w:lang w:val="en-US" w:eastAsia="zh-CN"/>
              </w:rPr>
              <w:t>原料堆放区安装一套</w:t>
            </w:r>
            <w:r>
              <w:rPr>
                <w:rFonts w:hint="eastAsia"/>
                <w:color w:val="000000"/>
                <w:kern w:val="0"/>
                <w:sz w:val="24"/>
                <w:szCs w:val="24"/>
                <w:u w:val="none"/>
              </w:rPr>
              <w:t>喷雾抑尘</w:t>
            </w:r>
            <w:r>
              <w:rPr>
                <w:bCs/>
                <w:color w:val="000000"/>
                <w:sz w:val="24"/>
                <w:szCs w:val="24"/>
                <w:u w:val="none"/>
              </w:rPr>
              <w:t>装置</w:t>
            </w:r>
          </w:p>
        </w:tc>
        <w:tc>
          <w:tcPr>
            <w:tcW w:w="1116" w:type="pct"/>
            <w:vMerge w:val="restart"/>
            <w:noWrap w:val="0"/>
            <w:vAlign w:val="center"/>
          </w:tcPr>
          <w:p w14:paraId="6060BC1D">
            <w:pPr>
              <w:pStyle w:val="12"/>
              <w:keepNext w:val="0"/>
              <w:keepLines w:val="0"/>
              <w:pageBreakBefore w:val="0"/>
              <w:widowControl w:val="0"/>
              <w:kinsoku/>
              <w:wordWrap w:val="0"/>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b w:val="0"/>
                <w:bCs w:val="0"/>
                <w:color w:val="auto"/>
                <w:kern w:val="2"/>
                <w:sz w:val="24"/>
                <w:szCs w:val="24"/>
                <w:lang w:val="en-US" w:eastAsia="zh-CN" w:bidi="ar"/>
              </w:rPr>
            </w:pPr>
            <w:r>
              <w:rPr>
                <w:rFonts w:hint="eastAsia"/>
                <w:color w:val="000000"/>
                <w:sz w:val="24"/>
                <w:szCs w:val="24"/>
                <w:u w:val="none"/>
                <w:lang w:eastAsia="zh-CN"/>
              </w:rPr>
              <w:t>《</w:t>
            </w:r>
            <w:r>
              <w:rPr>
                <w:rFonts w:hint="eastAsia"/>
                <w:sz w:val="24"/>
                <w:szCs w:val="24"/>
                <w:lang w:val="en-US" w:eastAsia="zh-CN"/>
              </w:rPr>
              <w:t>河南省水泥工业大气污染物排放标准</w:t>
            </w:r>
            <w:r>
              <w:rPr>
                <w:rFonts w:hint="eastAsia"/>
                <w:color w:val="000000"/>
                <w:sz w:val="24"/>
                <w:szCs w:val="24"/>
                <w:u w:val="none"/>
                <w:lang w:eastAsia="zh-CN"/>
              </w:rPr>
              <w:t>》</w:t>
            </w:r>
            <w:r>
              <w:rPr>
                <w:rFonts w:hint="eastAsia"/>
                <w:sz w:val="24"/>
                <w:szCs w:val="24"/>
                <w:lang w:val="en-US" w:eastAsia="zh-CN"/>
              </w:rPr>
              <w:t>(DB41/1953-2020)</w:t>
            </w:r>
            <w:r>
              <w:rPr>
                <w:rFonts w:hint="eastAsia" w:ascii="Times New Roman" w:hAnsi="Times New Roman"/>
                <w:sz w:val="24"/>
                <w:szCs w:val="24"/>
                <w:highlight w:val="none"/>
                <w:u w:val="none"/>
              </w:rPr>
              <w:t>的要求</w:t>
            </w:r>
            <w:r>
              <w:rPr>
                <w:rFonts w:hint="eastAsia" w:ascii="Times New Roman" w:hAnsi="Times New Roman"/>
                <w:sz w:val="24"/>
                <w:szCs w:val="24"/>
                <w:highlight w:val="none"/>
                <w:u w:val="none"/>
                <w:lang w:eastAsia="zh-CN"/>
              </w:rPr>
              <w:t>（</w:t>
            </w:r>
            <w:r>
              <w:rPr>
                <w:rFonts w:hint="default" w:ascii="Times New Roman" w:hAnsi="Times New Roman" w:cs="Times New Roman"/>
                <w:sz w:val="24"/>
                <w:szCs w:val="24"/>
                <w:highlight w:val="none"/>
                <w:u w:val="none"/>
                <w:lang w:val="en-US" w:eastAsia="zh-CN"/>
              </w:rPr>
              <w:t>监控</w:t>
            </w:r>
            <w:r>
              <w:rPr>
                <w:rFonts w:hint="default" w:ascii="Times New Roman" w:hAnsi="Times New Roman" w:eastAsia="宋体" w:cs="Times New Roman"/>
                <w:sz w:val="24"/>
                <w:szCs w:val="24"/>
              </w:rPr>
              <w:t>点与参照点总悬浮颗粒物（TSP）1h浓度值的差值</w:t>
            </w:r>
            <w:r>
              <w:rPr>
                <w:rFonts w:hint="eastAsia" w:cs="Times New Roman"/>
                <w:b w:val="0"/>
                <w:bCs w:val="0"/>
                <w:color w:val="000000"/>
                <w:sz w:val="24"/>
                <w:szCs w:val="24"/>
                <w:highlight w:val="none"/>
                <w:u w:val="none"/>
                <w:lang w:val="en-US" w:eastAsia="zh-CN"/>
              </w:rPr>
              <w:t>0.5</w:t>
            </w:r>
            <w:r>
              <w:rPr>
                <w:rFonts w:ascii="Times New Roman" w:hAnsi="Times New Roman" w:cs="Times New Roman"/>
                <w:b w:val="0"/>
                <w:bCs w:val="0"/>
                <w:color w:val="000000"/>
                <w:sz w:val="24"/>
                <w:szCs w:val="24"/>
                <w:highlight w:val="none"/>
                <w:u w:val="none"/>
              </w:rPr>
              <w:t>mg/m</w:t>
            </w:r>
            <w:r>
              <w:rPr>
                <w:rFonts w:ascii="Times New Roman" w:hAnsi="Times New Roman" w:cs="Times New Roman"/>
                <w:b w:val="0"/>
                <w:bCs w:val="0"/>
                <w:color w:val="000000"/>
                <w:sz w:val="24"/>
                <w:szCs w:val="24"/>
                <w:highlight w:val="none"/>
                <w:u w:val="none"/>
                <w:vertAlign w:val="superscript"/>
              </w:rPr>
              <w:t>3</w:t>
            </w:r>
            <w:r>
              <w:rPr>
                <w:rFonts w:hint="eastAsia" w:ascii="Times New Roman" w:hAnsi="Times New Roman"/>
                <w:sz w:val="24"/>
                <w:szCs w:val="24"/>
                <w:highlight w:val="none"/>
                <w:u w:val="none"/>
                <w:lang w:eastAsia="zh-CN"/>
              </w:rPr>
              <w:t>）</w:t>
            </w:r>
            <w:r>
              <w:rPr>
                <w:rFonts w:hint="eastAsia"/>
                <w:sz w:val="24"/>
                <w:szCs w:val="24"/>
                <w:highlight w:val="none"/>
                <w:u w:val="none"/>
                <w:lang w:eastAsia="zh-CN"/>
              </w:rPr>
              <w:t>、</w:t>
            </w:r>
            <w:r>
              <w:rPr>
                <w:rFonts w:hint="eastAsia" w:ascii="Times New Roman" w:hAnsi="Times New Roman" w:eastAsia="宋体" w:cs="Times New Roman"/>
                <w:b w:val="0"/>
                <w:bCs w:val="0"/>
                <w:color w:val="000000"/>
                <w:sz w:val="24"/>
                <w:szCs w:val="24"/>
              </w:rPr>
              <w:t>《大气污染物综合排放标准》(GB16297</w:t>
            </w:r>
            <w:r>
              <w:rPr>
                <w:rFonts w:hint="eastAsia" w:ascii="Times New Roman" w:hAnsi="Times New Roman" w:eastAsia="宋体" w:cs="Times New Roman"/>
                <w:b w:val="0"/>
                <w:bCs w:val="0"/>
                <w:color w:val="000000"/>
                <w:sz w:val="24"/>
                <w:szCs w:val="24"/>
                <w:lang w:val="en-US" w:eastAsia="zh-CN"/>
              </w:rPr>
              <w:t>-</w:t>
            </w:r>
            <w:r>
              <w:rPr>
                <w:rFonts w:hint="eastAsia" w:ascii="Times New Roman" w:hAnsi="Times New Roman" w:eastAsia="宋体" w:cs="Times New Roman"/>
                <w:b w:val="0"/>
                <w:bCs w:val="0"/>
                <w:color w:val="000000"/>
                <w:sz w:val="24"/>
                <w:szCs w:val="24"/>
              </w:rPr>
              <w:t>1996)表2要求</w:t>
            </w:r>
            <w:r>
              <w:rPr>
                <w:rFonts w:hint="eastAsia" w:ascii="Times New Roman" w:hAnsi="Times New Roman" w:eastAsia="宋体" w:cs="Times New Roman"/>
                <w:b w:val="0"/>
                <w:bCs w:val="0"/>
                <w:color w:val="000000"/>
                <w:sz w:val="24"/>
                <w:szCs w:val="24"/>
                <w:lang w:eastAsia="zh-CN"/>
              </w:rPr>
              <w:t>（</w:t>
            </w:r>
            <w:r>
              <w:rPr>
                <w:rFonts w:hint="eastAsia" w:ascii="Times New Roman" w:hAnsi="Times New Roman" w:eastAsia="宋体" w:cs="Times New Roman"/>
                <w:b w:val="0"/>
                <w:bCs w:val="0"/>
                <w:color w:val="000000"/>
                <w:sz w:val="24"/>
                <w:szCs w:val="24"/>
              </w:rPr>
              <w:t>颗粒物企业边界大气污染物浓度限值1.0mg/m</w:t>
            </w:r>
            <w:r>
              <w:rPr>
                <w:rFonts w:hint="eastAsia" w:ascii="Times New Roman" w:hAnsi="Times New Roman" w:eastAsia="宋体" w:cs="Times New Roman"/>
                <w:b w:val="0"/>
                <w:bCs w:val="0"/>
                <w:color w:val="000000"/>
                <w:sz w:val="24"/>
                <w:szCs w:val="24"/>
                <w:vertAlign w:val="superscript"/>
              </w:rPr>
              <w:t>3</w:t>
            </w:r>
            <w:r>
              <w:rPr>
                <w:rFonts w:hint="eastAsia" w:ascii="Times New Roman" w:hAnsi="Times New Roman" w:eastAsia="宋体" w:cs="Times New Roman"/>
                <w:b w:val="0"/>
                <w:bCs w:val="0"/>
                <w:color w:val="000000"/>
                <w:sz w:val="24"/>
                <w:szCs w:val="24"/>
                <w:lang w:eastAsia="zh-CN"/>
              </w:rPr>
              <w:t>）</w:t>
            </w:r>
          </w:p>
        </w:tc>
      </w:tr>
      <w:tr w14:paraId="4F2499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39" w:hRule="atLeast"/>
          <w:jc w:val="center"/>
        </w:trPr>
        <w:tc>
          <w:tcPr>
            <w:tcW w:w="683" w:type="pct"/>
            <w:vMerge w:val="continue"/>
            <w:noWrap w:val="0"/>
            <w:vAlign w:val="center"/>
          </w:tcPr>
          <w:p w14:paraId="76C23727">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p>
        </w:tc>
        <w:tc>
          <w:tcPr>
            <w:tcW w:w="699" w:type="pct"/>
            <w:noWrap w:val="0"/>
            <w:vAlign w:val="center"/>
          </w:tcPr>
          <w:p w14:paraId="7CBC1A99">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24"/>
                <w:szCs w:val="24"/>
                <w:u w:val="none"/>
                <w:lang w:val="en-US" w:eastAsia="zh-CN" w:bidi="ar-SA"/>
              </w:rPr>
            </w:pPr>
            <w:r>
              <w:rPr>
                <w:color w:val="000000"/>
                <w:sz w:val="24"/>
                <w:szCs w:val="24"/>
                <w:u w:val="none"/>
              </w:rPr>
              <w:t>运输车辆</w:t>
            </w:r>
          </w:p>
        </w:tc>
        <w:tc>
          <w:tcPr>
            <w:tcW w:w="533" w:type="pct"/>
            <w:noWrap w:val="0"/>
            <w:vAlign w:val="center"/>
          </w:tcPr>
          <w:p w14:paraId="110456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扬尘</w:t>
            </w:r>
          </w:p>
        </w:tc>
        <w:tc>
          <w:tcPr>
            <w:tcW w:w="1966" w:type="pct"/>
            <w:gridSpan w:val="2"/>
            <w:noWrap w:val="0"/>
            <w:vAlign w:val="center"/>
          </w:tcPr>
          <w:p w14:paraId="03E198BA">
            <w:pPr>
              <w:keepNext w:val="0"/>
              <w:keepLines w:val="0"/>
              <w:pageBreakBefore w:val="0"/>
              <w:widowControl w:val="0"/>
              <w:kinsoku/>
              <w:overflowPunct/>
              <w:topLinePunct w:val="0"/>
              <w:autoSpaceDE/>
              <w:autoSpaceDN/>
              <w:bidi w:val="0"/>
              <w:spacing w:line="240" w:lineRule="auto"/>
              <w:jc w:val="center"/>
              <w:textAlignment w:val="auto"/>
              <w:rPr>
                <w:rFonts w:hint="eastAsia" w:ascii="Times New Roman" w:hAnsi="Times New Roman" w:eastAsia="宋体" w:cs="Times New Roman"/>
                <w:color w:val="000000"/>
                <w:spacing w:val="-6"/>
                <w:kern w:val="2"/>
                <w:sz w:val="24"/>
                <w:szCs w:val="24"/>
                <w:u w:val="none"/>
                <w:lang w:val="en-US" w:eastAsia="zh-CN" w:bidi="ar-SA"/>
              </w:rPr>
            </w:pPr>
            <w:r>
              <w:rPr>
                <w:color w:val="000000"/>
                <w:sz w:val="24"/>
                <w:szCs w:val="24"/>
                <w:u w:val="none"/>
              </w:rPr>
              <w:t>对厂区内地面进行硬化、洒水抑尘，原料运输车辆要封闭遮盖、厂区设车辆冲洗装置</w:t>
            </w:r>
            <w:r>
              <w:rPr>
                <w:rFonts w:hint="eastAsia"/>
                <w:color w:val="000000"/>
                <w:sz w:val="24"/>
                <w:szCs w:val="24"/>
                <w:u w:val="none"/>
                <w:lang w:val="en-US" w:eastAsia="zh-CN"/>
              </w:rPr>
              <w:t>等</w:t>
            </w:r>
          </w:p>
        </w:tc>
        <w:tc>
          <w:tcPr>
            <w:tcW w:w="1116" w:type="pct"/>
            <w:vMerge w:val="continue"/>
            <w:noWrap w:val="0"/>
            <w:vAlign w:val="center"/>
          </w:tcPr>
          <w:p w14:paraId="671D1E25">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textAlignment w:val="auto"/>
              <w:rPr>
                <w:rFonts w:hint="default" w:ascii="Times New Roman" w:hAnsi="Times New Roman" w:eastAsia="宋体" w:cs="Times New Roman"/>
                <w:b w:val="0"/>
                <w:bCs w:val="0"/>
                <w:color w:val="auto"/>
                <w:kern w:val="2"/>
                <w:sz w:val="24"/>
                <w:szCs w:val="24"/>
                <w:lang w:val="en-US" w:eastAsia="zh-CN" w:bidi="ar"/>
              </w:rPr>
            </w:pPr>
          </w:p>
        </w:tc>
      </w:tr>
      <w:tr w14:paraId="7DD575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683" w:type="pct"/>
            <w:vMerge w:val="restart"/>
            <w:noWrap w:val="0"/>
            <w:vAlign w:val="center"/>
          </w:tcPr>
          <w:p w14:paraId="03F5CBB7">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cs="Times New Roman"/>
                <w:b/>
                <w:bCs/>
                <w:sz w:val="24"/>
                <w:lang w:val="en-US" w:eastAsia="zh-CN"/>
              </w:rPr>
            </w:pPr>
            <w:r>
              <w:rPr>
                <w:rFonts w:hint="eastAsia" w:cs="Times New Roman"/>
                <w:b/>
                <w:bCs/>
                <w:sz w:val="24"/>
                <w:lang w:val="en-US" w:eastAsia="zh-CN"/>
              </w:rPr>
              <w:t>地表水</w:t>
            </w:r>
          </w:p>
          <w:p w14:paraId="4760658A">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lang w:val="en-US" w:eastAsia="zh-CN"/>
              </w:rPr>
            </w:pPr>
            <w:r>
              <w:rPr>
                <w:rFonts w:hint="eastAsia" w:cs="Times New Roman"/>
                <w:b/>
                <w:bCs/>
                <w:sz w:val="24"/>
                <w:lang w:val="en-US" w:eastAsia="zh-CN"/>
              </w:rPr>
              <w:t>环境</w:t>
            </w:r>
          </w:p>
        </w:tc>
        <w:tc>
          <w:tcPr>
            <w:tcW w:w="699" w:type="pct"/>
            <w:noWrap w:val="0"/>
            <w:vAlign w:val="center"/>
          </w:tcPr>
          <w:p w14:paraId="718730C4">
            <w:pPr>
              <w:keepNext w:val="0"/>
              <w:keepLines w:val="0"/>
              <w:pageBreakBefore w:val="0"/>
              <w:widowControl w:val="0"/>
              <w:kinsoku/>
              <w:overflowPunct/>
              <w:topLinePunct w:val="0"/>
              <w:autoSpaceDE/>
              <w:autoSpaceDN/>
              <w:bidi w:val="0"/>
              <w:spacing w:line="240" w:lineRule="auto"/>
              <w:jc w:val="center"/>
              <w:textAlignment w:val="auto"/>
              <w:rPr>
                <w:color w:val="000000"/>
                <w:sz w:val="24"/>
                <w:szCs w:val="24"/>
                <w:u w:val="none"/>
              </w:rPr>
            </w:pPr>
            <w:r>
              <w:rPr>
                <w:color w:val="000000"/>
                <w:sz w:val="24"/>
                <w:szCs w:val="24"/>
                <w:u w:val="none"/>
              </w:rPr>
              <w:t>车辆冲洗</w:t>
            </w:r>
          </w:p>
          <w:p w14:paraId="21008BA9">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24"/>
                <w:szCs w:val="24"/>
                <w:u w:val="none"/>
                <w:lang w:val="en-US" w:eastAsia="zh-CN" w:bidi="ar-SA"/>
              </w:rPr>
            </w:pPr>
            <w:r>
              <w:rPr>
                <w:color w:val="000000"/>
                <w:sz w:val="24"/>
                <w:szCs w:val="24"/>
                <w:u w:val="none"/>
              </w:rPr>
              <w:t>废水</w:t>
            </w:r>
          </w:p>
        </w:tc>
        <w:tc>
          <w:tcPr>
            <w:tcW w:w="533" w:type="pct"/>
            <w:noWrap w:val="0"/>
            <w:vAlign w:val="center"/>
          </w:tcPr>
          <w:p w14:paraId="067F1B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u w:val="none"/>
                <w:lang w:val="en-US" w:eastAsia="zh-CN"/>
              </w:rPr>
            </w:pPr>
            <w:r>
              <w:rPr>
                <w:color w:val="000000"/>
                <w:sz w:val="24"/>
                <w:szCs w:val="24"/>
                <w:u w:val="none"/>
              </w:rPr>
              <w:t>SS</w:t>
            </w:r>
          </w:p>
        </w:tc>
        <w:tc>
          <w:tcPr>
            <w:tcW w:w="1966" w:type="pct"/>
            <w:gridSpan w:val="2"/>
            <w:noWrap w:val="0"/>
            <w:vAlign w:val="center"/>
          </w:tcPr>
          <w:p w14:paraId="3F9833FB">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24"/>
                <w:szCs w:val="24"/>
                <w:u w:val="none"/>
                <w:lang w:val="en-US" w:eastAsia="zh-CN" w:bidi="ar-SA"/>
              </w:rPr>
            </w:pPr>
            <w:r>
              <w:rPr>
                <w:rFonts w:hint="default" w:ascii="Times New Roman" w:hAnsi="Times New Roman" w:cs="Times New Roman"/>
                <w:color w:val="000000"/>
                <w:sz w:val="24"/>
                <w:szCs w:val="24"/>
              </w:rPr>
              <w:t>经沉淀池</w:t>
            </w:r>
            <w:r>
              <w:rPr>
                <w:rFonts w:hint="eastAsia" w:cs="Times New Roman"/>
                <w:color w:val="000000"/>
                <w:sz w:val="24"/>
                <w:szCs w:val="24"/>
                <w:highlight w:val="none"/>
                <w:lang w:val="en-US" w:eastAsia="zh-CN"/>
              </w:rPr>
              <w:t>（5m</w:t>
            </w:r>
            <w:r>
              <w:rPr>
                <w:rFonts w:hint="eastAsia" w:cs="Times New Roman"/>
                <w:color w:val="000000"/>
                <w:sz w:val="24"/>
                <w:szCs w:val="24"/>
                <w:highlight w:val="none"/>
                <w:vertAlign w:val="superscript"/>
                <w:lang w:val="en-US" w:eastAsia="zh-CN"/>
              </w:rPr>
              <w:t>3</w:t>
            </w:r>
            <w:r>
              <w:rPr>
                <w:rFonts w:hint="eastAsia" w:cs="Times New Roman"/>
                <w:color w:val="000000"/>
                <w:sz w:val="24"/>
                <w:szCs w:val="24"/>
                <w:highlight w:val="none"/>
                <w:lang w:val="en-US" w:eastAsia="zh-CN"/>
              </w:rPr>
              <w:t>）</w:t>
            </w:r>
            <w:r>
              <w:rPr>
                <w:rFonts w:hint="default" w:ascii="Times New Roman" w:hAnsi="Times New Roman" w:cs="Times New Roman"/>
                <w:color w:val="000000"/>
                <w:sz w:val="24"/>
                <w:szCs w:val="24"/>
              </w:rPr>
              <w:t>沉淀后回用</w:t>
            </w:r>
            <w:r>
              <w:rPr>
                <w:rFonts w:hint="eastAsia" w:cs="Times New Roman"/>
                <w:color w:val="000000"/>
                <w:sz w:val="24"/>
                <w:szCs w:val="24"/>
                <w:lang w:eastAsia="zh-CN"/>
              </w:rPr>
              <w:t>，</w:t>
            </w:r>
            <w:r>
              <w:rPr>
                <w:rFonts w:hint="eastAsia" w:cs="Times New Roman"/>
                <w:color w:val="000000"/>
                <w:sz w:val="24"/>
                <w:szCs w:val="24"/>
                <w:lang w:val="en-US" w:eastAsia="zh-CN"/>
              </w:rPr>
              <w:t>不外排</w:t>
            </w:r>
          </w:p>
        </w:tc>
        <w:tc>
          <w:tcPr>
            <w:tcW w:w="1116" w:type="pct"/>
            <w:vMerge w:val="restart"/>
            <w:noWrap w:val="0"/>
            <w:vAlign w:val="center"/>
          </w:tcPr>
          <w:p w14:paraId="66B99B3B">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4"/>
                <w:szCs w:val="24"/>
                <w:lang w:val="en-US" w:eastAsia="zh-CN" w:bidi="ar"/>
              </w:rPr>
            </w:pPr>
            <w:r>
              <w:rPr>
                <w:rFonts w:hint="eastAsia" w:cs="Times New Roman"/>
                <w:b w:val="0"/>
                <w:bCs w:val="0"/>
                <w:color w:val="auto"/>
                <w:kern w:val="2"/>
                <w:sz w:val="24"/>
                <w:szCs w:val="24"/>
                <w:lang w:val="en-US" w:eastAsia="zh-CN" w:bidi="ar"/>
              </w:rPr>
              <w:t>/</w:t>
            </w:r>
          </w:p>
        </w:tc>
      </w:tr>
      <w:tr w14:paraId="30F61E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0" w:hRule="atLeast"/>
          <w:jc w:val="center"/>
        </w:trPr>
        <w:tc>
          <w:tcPr>
            <w:tcW w:w="683" w:type="pct"/>
            <w:vMerge w:val="continue"/>
            <w:noWrap w:val="0"/>
            <w:vAlign w:val="center"/>
          </w:tcPr>
          <w:p w14:paraId="0AA5120D">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p>
        </w:tc>
        <w:tc>
          <w:tcPr>
            <w:tcW w:w="699" w:type="pct"/>
            <w:noWrap w:val="0"/>
            <w:vAlign w:val="center"/>
          </w:tcPr>
          <w:p w14:paraId="4A856EA6">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24"/>
                <w:szCs w:val="24"/>
                <w:u w:val="none"/>
                <w:lang w:val="en-US" w:eastAsia="zh-CN" w:bidi="ar-SA"/>
              </w:rPr>
            </w:pPr>
            <w:r>
              <w:rPr>
                <w:rFonts w:hint="eastAsia" w:cs="Times New Roman"/>
                <w:color w:val="000000"/>
                <w:kern w:val="2"/>
                <w:sz w:val="24"/>
                <w:szCs w:val="24"/>
                <w:u w:val="none"/>
                <w:lang w:val="en-US" w:eastAsia="zh-CN" w:bidi="ar-SA"/>
              </w:rPr>
              <w:t>筛分、水洗和脱水废水</w:t>
            </w:r>
          </w:p>
        </w:tc>
        <w:tc>
          <w:tcPr>
            <w:tcW w:w="533" w:type="pct"/>
            <w:noWrap w:val="0"/>
            <w:vAlign w:val="center"/>
          </w:tcPr>
          <w:p w14:paraId="6FB73A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u w:val="none"/>
                <w:lang w:val="en-US" w:eastAsia="zh-CN"/>
              </w:rPr>
            </w:pPr>
            <w:r>
              <w:rPr>
                <w:color w:val="000000"/>
                <w:sz w:val="24"/>
                <w:szCs w:val="24"/>
                <w:u w:val="none"/>
              </w:rPr>
              <w:t>SS</w:t>
            </w:r>
          </w:p>
        </w:tc>
        <w:tc>
          <w:tcPr>
            <w:tcW w:w="1966" w:type="pct"/>
            <w:gridSpan w:val="2"/>
            <w:noWrap w:val="0"/>
            <w:vAlign w:val="center"/>
          </w:tcPr>
          <w:p w14:paraId="0378D74B">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24"/>
                <w:szCs w:val="24"/>
                <w:u w:val="none"/>
                <w:lang w:val="en-US" w:eastAsia="zh-CN" w:bidi="ar-SA"/>
              </w:rPr>
            </w:pPr>
            <w:r>
              <w:rPr>
                <w:rFonts w:hint="eastAsia"/>
                <w:color w:val="000000"/>
                <w:sz w:val="24"/>
                <w:szCs w:val="24"/>
                <w:highlight w:val="none"/>
                <w:u w:val="none"/>
                <w:lang w:val="en-US" w:eastAsia="zh-CN"/>
              </w:rPr>
              <w:t>10</w:t>
            </w:r>
            <w:r>
              <w:rPr>
                <w:color w:val="000000"/>
                <w:sz w:val="24"/>
                <w:szCs w:val="24"/>
                <w:highlight w:val="none"/>
                <w:u w:val="none"/>
              </w:rPr>
              <w:t>m</w:t>
            </w:r>
            <w:r>
              <w:rPr>
                <w:color w:val="000000"/>
                <w:sz w:val="24"/>
                <w:szCs w:val="24"/>
                <w:highlight w:val="none"/>
                <w:u w:val="none"/>
                <w:vertAlign w:val="superscript"/>
              </w:rPr>
              <w:t>3</w:t>
            </w:r>
            <w:r>
              <w:rPr>
                <w:rFonts w:hint="eastAsia"/>
                <w:color w:val="000000"/>
                <w:sz w:val="24"/>
                <w:szCs w:val="24"/>
                <w:highlight w:val="none"/>
                <w:u w:val="none"/>
                <w:vertAlign w:val="baseline"/>
                <w:lang w:val="en-US" w:eastAsia="zh-CN"/>
              </w:rPr>
              <w:t>污水池</w:t>
            </w:r>
            <w:r>
              <w:rPr>
                <w:rFonts w:hint="eastAsia"/>
                <w:color w:val="000000"/>
                <w:sz w:val="24"/>
                <w:szCs w:val="24"/>
                <w:highlight w:val="none"/>
                <w:u w:val="none"/>
                <w:lang w:val="en-US" w:eastAsia="zh-CN"/>
              </w:rPr>
              <w:t>+300</w:t>
            </w:r>
            <w:r>
              <w:rPr>
                <w:color w:val="000000"/>
                <w:sz w:val="24"/>
                <w:szCs w:val="24"/>
                <w:highlight w:val="none"/>
                <w:u w:val="none"/>
              </w:rPr>
              <w:t>m</w:t>
            </w:r>
            <w:r>
              <w:rPr>
                <w:color w:val="000000"/>
                <w:sz w:val="24"/>
                <w:szCs w:val="24"/>
                <w:highlight w:val="none"/>
                <w:u w:val="none"/>
                <w:vertAlign w:val="superscript"/>
              </w:rPr>
              <w:t>3</w:t>
            </w:r>
            <w:r>
              <w:rPr>
                <w:rFonts w:hint="eastAsia"/>
                <w:color w:val="000000"/>
                <w:sz w:val="24"/>
                <w:szCs w:val="24"/>
                <w:highlight w:val="none"/>
                <w:u w:val="none"/>
                <w:vertAlign w:val="baseline"/>
                <w:lang w:val="en-US" w:eastAsia="zh-CN"/>
              </w:rPr>
              <w:t>浓缩罐+80</w:t>
            </w:r>
            <w:r>
              <w:rPr>
                <w:color w:val="000000"/>
                <w:sz w:val="24"/>
                <w:szCs w:val="24"/>
                <w:highlight w:val="none"/>
                <w:u w:val="none"/>
              </w:rPr>
              <w:t>m</w:t>
            </w:r>
            <w:r>
              <w:rPr>
                <w:color w:val="000000"/>
                <w:sz w:val="24"/>
                <w:szCs w:val="24"/>
                <w:highlight w:val="none"/>
                <w:u w:val="none"/>
                <w:vertAlign w:val="superscript"/>
              </w:rPr>
              <w:t>3</w:t>
            </w:r>
            <w:r>
              <w:rPr>
                <w:rFonts w:hint="eastAsia"/>
                <w:color w:val="000000"/>
                <w:sz w:val="24"/>
                <w:szCs w:val="24"/>
                <w:highlight w:val="none"/>
                <w:u w:val="none"/>
                <w:vertAlign w:val="baseline"/>
                <w:lang w:val="en-US" w:eastAsia="zh-CN"/>
              </w:rPr>
              <w:t>清水池，</w:t>
            </w:r>
            <w:r>
              <w:rPr>
                <w:rFonts w:hint="default" w:ascii="Times New Roman" w:hAnsi="Times New Roman" w:cs="Times New Roman"/>
                <w:color w:val="000000"/>
                <w:sz w:val="24"/>
                <w:szCs w:val="24"/>
                <w:highlight w:val="none"/>
                <w:lang w:eastAsia="zh-CN"/>
              </w:rPr>
              <w:t>浓缩</w:t>
            </w:r>
            <w:r>
              <w:rPr>
                <w:rFonts w:hint="default" w:ascii="Times New Roman" w:hAnsi="Times New Roman" w:cs="Times New Roman"/>
                <w:color w:val="000000"/>
                <w:sz w:val="24"/>
                <w:szCs w:val="24"/>
                <w:highlight w:val="none"/>
                <w:lang w:val="en-US" w:eastAsia="zh-CN"/>
              </w:rPr>
              <w:t>罐浓缩</w:t>
            </w:r>
            <w:r>
              <w:rPr>
                <w:rFonts w:hint="eastAsia" w:cs="Times New Roman"/>
                <w:color w:val="000000"/>
                <w:sz w:val="24"/>
                <w:szCs w:val="24"/>
                <w:highlight w:val="none"/>
                <w:lang w:val="en-US" w:eastAsia="zh-CN"/>
              </w:rPr>
              <w:t>沉淀</w:t>
            </w:r>
            <w:r>
              <w:rPr>
                <w:rFonts w:hint="default" w:ascii="Times New Roman" w:hAnsi="Times New Roman" w:cs="Times New Roman"/>
                <w:color w:val="000000"/>
                <w:sz w:val="24"/>
                <w:szCs w:val="24"/>
                <w:highlight w:val="none"/>
              </w:rPr>
              <w:t>后上清液回流至清水池循环利用</w:t>
            </w: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color w:val="000000"/>
                <w:sz w:val="24"/>
                <w:szCs w:val="24"/>
                <w:highlight w:val="none"/>
              </w:rPr>
              <w:t>不外排</w:t>
            </w:r>
          </w:p>
        </w:tc>
        <w:tc>
          <w:tcPr>
            <w:tcW w:w="1116" w:type="pct"/>
            <w:vMerge w:val="continue"/>
            <w:noWrap w:val="0"/>
            <w:vAlign w:val="center"/>
          </w:tcPr>
          <w:p w14:paraId="5D029B7D">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textAlignment w:val="auto"/>
              <w:rPr>
                <w:rFonts w:hint="default" w:ascii="Times New Roman" w:hAnsi="Times New Roman" w:eastAsia="宋体" w:cs="Times New Roman"/>
                <w:b w:val="0"/>
                <w:bCs w:val="0"/>
                <w:color w:val="auto"/>
                <w:kern w:val="2"/>
                <w:sz w:val="24"/>
                <w:szCs w:val="24"/>
                <w:lang w:val="en-US" w:eastAsia="zh-CN" w:bidi="ar"/>
              </w:rPr>
            </w:pPr>
          </w:p>
        </w:tc>
      </w:tr>
      <w:tr w14:paraId="1CC071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683" w:type="pct"/>
            <w:vMerge w:val="continue"/>
            <w:noWrap w:val="0"/>
            <w:vAlign w:val="center"/>
          </w:tcPr>
          <w:p w14:paraId="478BB378">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p>
        </w:tc>
        <w:tc>
          <w:tcPr>
            <w:tcW w:w="699" w:type="pct"/>
            <w:noWrap w:val="0"/>
            <w:vAlign w:val="center"/>
          </w:tcPr>
          <w:p w14:paraId="123366CF">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24"/>
                <w:szCs w:val="24"/>
                <w:u w:val="none"/>
                <w:lang w:val="en-US" w:eastAsia="zh-CN" w:bidi="ar-SA"/>
              </w:rPr>
            </w:pPr>
            <w:r>
              <w:rPr>
                <w:color w:val="000000"/>
                <w:sz w:val="24"/>
                <w:szCs w:val="24"/>
                <w:u w:val="none"/>
              </w:rPr>
              <w:t>生活污水</w:t>
            </w:r>
          </w:p>
        </w:tc>
        <w:tc>
          <w:tcPr>
            <w:tcW w:w="533" w:type="pct"/>
            <w:noWrap w:val="0"/>
            <w:vAlign w:val="center"/>
          </w:tcPr>
          <w:p w14:paraId="2C8B68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4"/>
                <w:szCs w:val="24"/>
                <w:lang w:val="en-US" w:eastAsia="zh-CN"/>
              </w:rPr>
            </w:pPr>
            <w:r>
              <w:rPr>
                <w:color w:val="000000"/>
                <w:sz w:val="24"/>
                <w:szCs w:val="24"/>
                <w:u w:val="none"/>
              </w:rPr>
              <w:t>COD、BOD</w:t>
            </w:r>
            <w:r>
              <w:rPr>
                <w:color w:val="000000"/>
                <w:sz w:val="24"/>
                <w:szCs w:val="24"/>
                <w:u w:val="none"/>
                <w:vertAlign w:val="subscript"/>
              </w:rPr>
              <w:t>5</w:t>
            </w:r>
            <w:r>
              <w:rPr>
                <w:color w:val="000000"/>
                <w:sz w:val="24"/>
                <w:szCs w:val="24"/>
                <w:u w:val="none"/>
              </w:rPr>
              <w:t>、SS、NH</w:t>
            </w:r>
            <w:r>
              <w:rPr>
                <w:color w:val="000000"/>
                <w:sz w:val="24"/>
                <w:szCs w:val="24"/>
                <w:u w:val="none"/>
                <w:vertAlign w:val="subscript"/>
              </w:rPr>
              <w:t>3</w:t>
            </w:r>
            <w:r>
              <w:rPr>
                <w:color w:val="000000"/>
                <w:sz w:val="24"/>
                <w:szCs w:val="24"/>
                <w:u w:val="none"/>
              </w:rPr>
              <w:t>-N</w:t>
            </w:r>
          </w:p>
        </w:tc>
        <w:tc>
          <w:tcPr>
            <w:tcW w:w="1966" w:type="pct"/>
            <w:gridSpan w:val="2"/>
            <w:noWrap w:val="0"/>
            <w:vAlign w:val="center"/>
          </w:tcPr>
          <w:p w14:paraId="43633D6A">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24"/>
                <w:szCs w:val="24"/>
                <w:u w:val="none"/>
                <w:lang w:val="en-US" w:eastAsia="zh-CN" w:bidi="ar-SA"/>
              </w:rPr>
            </w:pPr>
            <w:r>
              <w:rPr>
                <w:rFonts w:hint="default" w:ascii="Times New Roman" w:hAnsi="Times New Roman" w:cs="Times New Roman"/>
                <w:color w:val="000000"/>
                <w:sz w:val="24"/>
                <w:szCs w:val="24"/>
              </w:rPr>
              <w:t>化粪池</w:t>
            </w:r>
            <w:r>
              <w:rPr>
                <w:rFonts w:hint="eastAsia" w:cs="Times New Roman"/>
                <w:color w:val="000000"/>
                <w:sz w:val="24"/>
                <w:szCs w:val="24"/>
                <w:highlight w:val="none"/>
                <w:lang w:val="en-US" w:eastAsia="zh-CN"/>
              </w:rPr>
              <w:t>（10m</w:t>
            </w:r>
            <w:r>
              <w:rPr>
                <w:rFonts w:hint="eastAsia" w:cs="Times New Roman"/>
                <w:color w:val="000000"/>
                <w:sz w:val="24"/>
                <w:szCs w:val="24"/>
                <w:highlight w:val="none"/>
                <w:vertAlign w:val="superscript"/>
                <w:lang w:val="en-US" w:eastAsia="zh-CN"/>
              </w:rPr>
              <w:t>3</w:t>
            </w:r>
            <w:r>
              <w:rPr>
                <w:rFonts w:hint="eastAsia" w:cs="Times New Roman"/>
                <w:color w:val="000000"/>
                <w:sz w:val="24"/>
                <w:szCs w:val="24"/>
                <w:highlight w:val="none"/>
                <w:lang w:val="en-US" w:eastAsia="zh-CN"/>
              </w:rPr>
              <w:t>）</w:t>
            </w:r>
            <w:r>
              <w:rPr>
                <w:rFonts w:hint="default" w:ascii="Times New Roman" w:hAnsi="Times New Roman" w:cs="Times New Roman"/>
                <w:color w:val="000000"/>
                <w:sz w:val="24"/>
                <w:szCs w:val="24"/>
              </w:rPr>
              <w:t>处理后</w:t>
            </w:r>
            <w:r>
              <w:rPr>
                <w:rFonts w:hint="default" w:ascii="Times New Roman" w:hAnsi="Times New Roman" w:cs="Times New Roman"/>
                <w:color w:val="000000"/>
                <w:sz w:val="24"/>
                <w:szCs w:val="24"/>
                <w:lang w:val="en-US" w:eastAsia="zh-CN"/>
              </w:rPr>
              <w:t>用于周围农田施肥，资源化利用，不外排</w:t>
            </w:r>
          </w:p>
        </w:tc>
        <w:tc>
          <w:tcPr>
            <w:tcW w:w="1116" w:type="pct"/>
            <w:vMerge w:val="continue"/>
            <w:noWrap w:val="0"/>
            <w:vAlign w:val="center"/>
          </w:tcPr>
          <w:p w14:paraId="68A11007">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textAlignment w:val="auto"/>
              <w:rPr>
                <w:rFonts w:hint="default" w:ascii="Times New Roman" w:hAnsi="Times New Roman" w:eastAsia="宋体" w:cs="Times New Roman"/>
                <w:b w:val="0"/>
                <w:bCs w:val="0"/>
                <w:color w:val="auto"/>
                <w:kern w:val="2"/>
                <w:sz w:val="24"/>
                <w:szCs w:val="24"/>
                <w:lang w:val="en-US" w:eastAsia="zh-CN" w:bidi="ar"/>
              </w:rPr>
            </w:pPr>
          </w:p>
        </w:tc>
      </w:tr>
      <w:tr w14:paraId="5C664A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0" w:hRule="atLeast"/>
          <w:jc w:val="center"/>
        </w:trPr>
        <w:tc>
          <w:tcPr>
            <w:tcW w:w="683" w:type="pct"/>
            <w:noWrap w:val="0"/>
            <w:vAlign w:val="center"/>
          </w:tcPr>
          <w:p w14:paraId="536696A0">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声环境</w:t>
            </w:r>
          </w:p>
        </w:tc>
        <w:tc>
          <w:tcPr>
            <w:tcW w:w="1232" w:type="pct"/>
            <w:gridSpan w:val="2"/>
            <w:noWrap w:val="0"/>
            <w:vAlign w:val="center"/>
          </w:tcPr>
          <w:p w14:paraId="705B93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各高噪声设备工作时的机械噪声</w:t>
            </w:r>
          </w:p>
        </w:tc>
        <w:tc>
          <w:tcPr>
            <w:tcW w:w="1966" w:type="pct"/>
            <w:gridSpan w:val="2"/>
            <w:noWrap w:val="0"/>
            <w:vAlign w:val="center"/>
          </w:tcPr>
          <w:p w14:paraId="5C08EF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优先选用低噪声设备，通过减震基础、室内隔声及距离衰减等</w:t>
            </w:r>
          </w:p>
        </w:tc>
        <w:tc>
          <w:tcPr>
            <w:tcW w:w="1116" w:type="pct"/>
            <w:noWrap w:val="0"/>
            <w:vAlign w:val="center"/>
          </w:tcPr>
          <w:p w14:paraId="3DAA7C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《工业企业厂界环境噪声排放标准》（GB12</w:t>
            </w:r>
            <w:r>
              <w:rPr>
                <w:rFonts w:hint="eastAsia" w:ascii="Times New Roman" w:hAnsi="Times New Roman" w:eastAsia="宋体" w:cs="Times New Roman"/>
                <w:color w:val="auto"/>
                <w:sz w:val="24"/>
                <w:szCs w:val="24"/>
                <w:highlight w:val="none"/>
                <w:lang w:val="en-US" w:eastAsia="zh-CN"/>
              </w:rPr>
              <w:t>348-2008）</w:t>
            </w:r>
            <w:r>
              <w:rPr>
                <w:rFonts w:hint="eastAsia"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val="en-US" w:eastAsia="zh-CN"/>
              </w:rPr>
              <w:t>类</w:t>
            </w:r>
            <w:r>
              <w:rPr>
                <w:rFonts w:hint="eastAsia" w:ascii="Times New Roman" w:hAnsi="Times New Roman" w:eastAsia="宋体" w:cs="Times New Roman"/>
                <w:color w:val="auto"/>
                <w:sz w:val="24"/>
                <w:szCs w:val="24"/>
                <w:highlight w:val="none"/>
                <w:lang w:val="en-US" w:eastAsia="zh-CN"/>
              </w:rPr>
              <w:t>标</w:t>
            </w:r>
            <w:r>
              <w:rPr>
                <w:rFonts w:hint="eastAsia" w:ascii="Times New Roman" w:hAnsi="Times New Roman" w:eastAsia="宋体" w:cs="Times New Roman"/>
                <w:color w:val="auto"/>
                <w:sz w:val="24"/>
                <w:szCs w:val="24"/>
                <w:lang w:val="en-US" w:eastAsia="zh-CN"/>
              </w:rPr>
              <w:t>准</w:t>
            </w:r>
          </w:p>
        </w:tc>
      </w:tr>
      <w:tr w14:paraId="6AF342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83" w:type="pct"/>
            <w:noWrap w:val="0"/>
            <w:vAlign w:val="center"/>
          </w:tcPr>
          <w:p w14:paraId="62A41954">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电磁辐射</w:t>
            </w:r>
          </w:p>
        </w:tc>
        <w:tc>
          <w:tcPr>
            <w:tcW w:w="4316" w:type="pct"/>
            <w:gridSpan w:val="5"/>
            <w:noWrap w:val="0"/>
            <w:vAlign w:val="center"/>
          </w:tcPr>
          <w:p w14:paraId="3CF1E6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z w:val="24"/>
                <w:szCs w:val="24"/>
                <w:lang w:val="en-US" w:eastAsia="zh-CN"/>
              </w:rPr>
            </w:pPr>
            <w:r>
              <w:rPr>
                <w:rFonts w:hint="eastAsia" w:cs="Times New Roman"/>
                <w:sz w:val="24"/>
                <w:szCs w:val="24"/>
                <w:lang w:val="en-US" w:eastAsia="zh-CN"/>
              </w:rPr>
              <w:t>不涉及</w:t>
            </w:r>
          </w:p>
        </w:tc>
      </w:tr>
      <w:tr w14:paraId="4C2F21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8" w:hRule="atLeast"/>
          <w:jc w:val="center"/>
        </w:trPr>
        <w:tc>
          <w:tcPr>
            <w:tcW w:w="683" w:type="pct"/>
            <w:noWrap w:val="0"/>
            <w:vAlign w:val="center"/>
          </w:tcPr>
          <w:p w14:paraId="7BA0E8F2">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固体废物</w:t>
            </w:r>
          </w:p>
        </w:tc>
        <w:tc>
          <w:tcPr>
            <w:tcW w:w="4316" w:type="pct"/>
            <w:gridSpan w:val="5"/>
            <w:noWrap w:val="0"/>
            <w:vAlign w:val="center"/>
          </w:tcPr>
          <w:p w14:paraId="014A54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exact"/>
              <w:ind w:left="0" w:right="0"/>
              <w:jc w:val="left"/>
              <w:textAlignment w:val="auto"/>
              <w:rPr>
                <w:rFonts w:hint="eastAsia" w:cs="Times New Roman"/>
                <w:color w:val="000000"/>
                <w:spacing w:val="5"/>
                <w:sz w:val="24"/>
                <w:szCs w:val="24"/>
                <w:lang w:val="en-US" w:eastAsia="zh-CN"/>
              </w:rPr>
            </w:pPr>
            <w:r>
              <w:rPr>
                <w:rFonts w:hint="eastAsia" w:cs="Times New Roman"/>
                <w:color w:val="000000"/>
                <w:spacing w:val="5"/>
                <w:sz w:val="24"/>
                <w:szCs w:val="24"/>
                <w:lang w:val="en-US" w:eastAsia="zh-CN"/>
              </w:rPr>
              <w:t>①</w:t>
            </w:r>
            <w:r>
              <w:rPr>
                <w:rFonts w:hint="eastAsia" w:ascii="Times New Roman" w:hAnsi="Times New Roman" w:cs="Times New Roman"/>
                <w:color w:val="000000"/>
                <w:spacing w:val="5"/>
                <w:sz w:val="24"/>
                <w:szCs w:val="24"/>
                <w:lang w:val="en-US" w:eastAsia="zh-CN"/>
              </w:rPr>
              <w:t>生活垃圾</w:t>
            </w:r>
            <w:r>
              <w:rPr>
                <w:rFonts w:hint="eastAsia" w:cs="Times New Roman"/>
                <w:color w:val="000000"/>
                <w:spacing w:val="5"/>
                <w:sz w:val="24"/>
                <w:szCs w:val="24"/>
                <w:lang w:val="en-US" w:eastAsia="zh-CN"/>
              </w:rPr>
              <w:t>和絮凝剂废包装袋进入</w:t>
            </w:r>
            <w:r>
              <w:rPr>
                <w:rFonts w:hint="eastAsia" w:ascii="Times New Roman" w:hAnsi="Times New Roman" w:cs="Times New Roman"/>
                <w:color w:val="000000"/>
                <w:spacing w:val="5"/>
                <w:sz w:val="24"/>
                <w:szCs w:val="24"/>
                <w:lang w:val="en-US" w:eastAsia="zh-CN"/>
              </w:rPr>
              <w:t>垃圾桶</w:t>
            </w:r>
            <w:r>
              <w:rPr>
                <w:rFonts w:hint="eastAsia" w:cs="Times New Roman"/>
                <w:color w:val="000000"/>
                <w:spacing w:val="5"/>
                <w:sz w:val="24"/>
                <w:szCs w:val="24"/>
                <w:lang w:val="en-US" w:eastAsia="zh-CN"/>
              </w:rPr>
              <w:t>分类</w:t>
            </w:r>
            <w:r>
              <w:rPr>
                <w:rFonts w:hint="eastAsia" w:ascii="Times New Roman" w:hAnsi="Times New Roman" w:cs="Times New Roman"/>
                <w:color w:val="000000"/>
                <w:spacing w:val="5"/>
                <w:sz w:val="24"/>
                <w:szCs w:val="24"/>
                <w:lang w:val="en-US" w:eastAsia="zh-CN"/>
              </w:rPr>
              <w:t>收集后由环卫部门清运处理</w:t>
            </w:r>
            <w:r>
              <w:rPr>
                <w:rFonts w:hint="eastAsia" w:cs="Times New Roman"/>
                <w:color w:val="000000"/>
                <w:spacing w:val="5"/>
                <w:sz w:val="24"/>
                <w:szCs w:val="24"/>
                <w:lang w:val="en-US" w:eastAsia="zh-CN"/>
              </w:rPr>
              <w:t>；</w:t>
            </w:r>
          </w:p>
          <w:p w14:paraId="10305B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exact"/>
              <w:ind w:left="0" w:right="0"/>
              <w:jc w:val="left"/>
              <w:textAlignment w:val="auto"/>
              <w:rPr>
                <w:rFonts w:hint="eastAsia" w:cs="Times New Roman"/>
                <w:bCs/>
                <w:color w:val="000000"/>
                <w:sz w:val="24"/>
                <w:szCs w:val="24"/>
                <w:lang w:val="en-US" w:eastAsia="zh-CN"/>
              </w:rPr>
            </w:pPr>
            <w:r>
              <w:rPr>
                <w:rFonts w:hint="eastAsia"/>
                <w:color w:val="auto"/>
                <w:sz w:val="24"/>
                <w:szCs w:val="24"/>
                <w:lang w:val="en-US" w:eastAsia="zh-CN"/>
              </w:rPr>
              <w:t>②</w:t>
            </w:r>
            <w:r>
              <w:rPr>
                <w:rFonts w:hint="eastAsia" w:cs="Times New Roman"/>
                <w:bCs/>
                <w:color w:val="000000"/>
                <w:sz w:val="24"/>
                <w:szCs w:val="24"/>
                <w:highlight w:val="none"/>
                <w:lang w:val="en-US" w:eastAsia="zh-CN"/>
              </w:rPr>
              <w:t>浓缩后的底泥</w:t>
            </w:r>
            <w:r>
              <w:rPr>
                <w:rFonts w:hint="default" w:ascii="Times New Roman" w:hAnsi="Times New Roman" w:cs="Times New Roman"/>
                <w:bCs/>
                <w:color w:val="000000"/>
                <w:sz w:val="24"/>
                <w:szCs w:val="24"/>
                <w:highlight w:val="none"/>
                <w:lang w:val="en-US" w:eastAsia="zh-CN"/>
              </w:rPr>
              <w:t>经</w:t>
            </w:r>
            <w:r>
              <w:rPr>
                <w:rFonts w:hint="eastAsia" w:cs="Times New Roman"/>
                <w:bCs/>
                <w:color w:val="000000"/>
                <w:sz w:val="24"/>
                <w:szCs w:val="24"/>
                <w:highlight w:val="none"/>
                <w:lang w:val="en-US" w:eastAsia="zh-CN"/>
              </w:rPr>
              <w:t>板框</w:t>
            </w:r>
            <w:r>
              <w:rPr>
                <w:rFonts w:hint="default" w:ascii="Times New Roman" w:hAnsi="Times New Roman" w:cs="Times New Roman"/>
                <w:bCs/>
                <w:color w:val="000000"/>
                <w:sz w:val="24"/>
                <w:szCs w:val="24"/>
                <w:highlight w:val="none"/>
                <w:lang w:val="en-US" w:eastAsia="zh-CN"/>
              </w:rPr>
              <w:t>压滤机压滤后</w:t>
            </w:r>
            <w:r>
              <w:rPr>
                <w:rFonts w:hint="eastAsia" w:cs="Times New Roman"/>
                <w:bCs/>
                <w:color w:val="000000"/>
                <w:sz w:val="24"/>
                <w:szCs w:val="24"/>
                <w:highlight w:val="none"/>
                <w:lang w:val="en-US" w:eastAsia="zh-CN"/>
              </w:rPr>
              <w:t>和车辆冲洗沉淀污泥一起用于土地回填</w:t>
            </w:r>
            <w:r>
              <w:rPr>
                <w:rFonts w:hint="eastAsia" w:cs="Times New Roman"/>
                <w:bCs/>
                <w:color w:val="000000"/>
                <w:sz w:val="24"/>
                <w:szCs w:val="24"/>
                <w:lang w:val="en-US" w:eastAsia="zh-CN"/>
              </w:rPr>
              <w:t>；</w:t>
            </w:r>
          </w:p>
          <w:p w14:paraId="127447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left"/>
              <w:textAlignment w:val="auto"/>
              <w:rPr>
                <w:rFonts w:hint="eastAsia" w:ascii="Times New Roman" w:hAnsi="Times New Roman" w:eastAsia="宋体" w:cs="宋体"/>
                <w:color w:val="auto"/>
                <w:kern w:val="2"/>
                <w:sz w:val="24"/>
                <w:szCs w:val="24"/>
                <w:lang w:val="en-US" w:eastAsia="zh-CN" w:bidi="ar-SA"/>
              </w:rPr>
            </w:pPr>
            <w:r>
              <w:rPr>
                <w:rFonts w:hint="eastAsia" w:cs="Times New Roman"/>
                <w:bCs/>
                <w:color w:val="000000"/>
                <w:sz w:val="24"/>
                <w:szCs w:val="24"/>
                <w:highlight w:val="none"/>
                <w:lang w:val="en-US" w:eastAsia="zh-CN"/>
              </w:rPr>
              <w:t>③更换滤袋定期收集后由原厂家回收处理；</w:t>
            </w:r>
          </w:p>
          <w:p w14:paraId="336E45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left"/>
              <w:textAlignment w:val="auto"/>
              <w:rPr>
                <w:rFonts w:hint="eastAsia" w:cs="Times New Roman"/>
                <w:bCs/>
                <w:color w:val="000000"/>
                <w:sz w:val="24"/>
                <w:szCs w:val="24"/>
                <w:lang w:val="en-US" w:eastAsia="zh-CN"/>
              </w:rPr>
            </w:pPr>
            <w:r>
              <w:rPr>
                <w:rFonts w:hint="eastAsia"/>
                <w:color w:val="000000"/>
                <w:sz w:val="24"/>
                <w:szCs w:val="24"/>
                <w:u w:val="none"/>
                <w:lang w:val="en-US" w:eastAsia="zh-CN"/>
              </w:rPr>
              <w:t>④袋式除尘器收集的颗粒物</w:t>
            </w:r>
            <w:r>
              <w:rPr>
                <w:rFonts w:hint="eastAsia" w:cs="Times New Roman"/>
                <w:bCs/>
                <w:color w:val="000000"/>
                <w:sz w:val="24"/>
                <w:szCs w:val="24"/>
                <w:lang w:val="en-US" w:eastAsia="zh-CN"/>
              </w:rPr>
              <w:t>统一定期收集后循环回用；</w:t>
            </w:r>
          </w:p>
          <w:p w14:paraId="2E516F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left"/>
              <w:textAlignment w:val="auto"/>
              <w:rPr>
                <w:rFonts w:hint="default" w:ascii="Times New Roman" w:hAnsi="Times New Roman" w:cs="Times New Roman"/>
                <w:sz w:val="24"/>
                <w:szCs w:val="24"/>
              </w:rPr>
            </w:pPr>
            <w:r>
              <w:rPr>
                <w:rFonts w:hint="eastAsia"/>
                <w:color w:val="000000"/>
                <w:sz w:val="24"/>
                <w:szCs w:val="24"/>
                <w:u w:val="none"/>
                <w:lang w:val="en-US" w:eastAsia="zh-CN"/>
              </w:rPr>
              <w:t>⑤废润滑油、废润滑油桶</w:t>
            </w:r>
            <w:r>
              <w:rPr>
                <w:rFonts w:hint="default" w:ascii="Times New Roman" w:hAnsi="Times New Roman" w:cs="Times New Roman"/>
                <w:color w:val="000000"/>
                <w:sz w:val="24"/>
                <w:szCs w:val="24"/>
                <w:lang w:val="en-US" w:eastAsia="zh-CN"/>
              </w:rPr>
              <w:t>暂存于危废暂存间</w:t>
            </w:r>
            <w:r>
              <w:rPr>
                <w:rFonts w:hint="eastAsia" w:cs="Times New Roman"/>
                <w:color w:val="000000"/>
                <w:sz w:val="24"/>
                <w:szCs w:val="24"/>
                <w:lang w:val="en-US" w:eastAsia="zh-CN"/>
              </w:rPr>
              <w:t>（4m</w:t>
            </w:r>
            <w:r>
              <w:rPr>
                <w:rFonts w:hint="eastAsia" w:cs="Times New Roman"/>
                <w:color w:val="000000"/>
                <w:sz w:val="24"/>
                <w:szCs w:val="24"/>
                <w:vertAlign w:val="superscript"/>
                <w:lang w:val="en-US" w:eastAsia="zh-CN"/>
              </w:rPr>
              <w:t>2</w:t>
            </w:r>
            <w:r>
              <w:rPr>
                <w:rFonts w:hint="eastAsia" w:cs="Times New Roman"/>
                <w:color w:val="000000"/>
                <w:sz w:val="24"/>
                <w:szCs w:val="24"/>
                <w:lang w:val="en-US" w:eastAsia="zh-CN"/>
              </w:rPr>
              <w:t>）</w:t>
            </w:r>
            <w:r>
              <w:rPr>
                <w:rFonts w:hint="default" w:ascii="Times New Roman" w:hAnsi="Times New Roman" w:cs="Times New Roman"/>
                <w:color w:val="000000"/>
                <w:sz w:val="24"/>
                <w:szCs w:val="24"/>
                <w:lang w:val="en-US" w:eastAsia="zh-CN"/>
              </w:rPr>
              <w:t>，</w:t>
            </w:r>
            <w:r>
              <w:rPr>
                <w:rFonts w:hint="default" w:ascii="Times New Roman" w:hAnsi="Times New Roman" w:cs="Times New Roman"/>
                <w:color w:val="000000"/>
                <w:sz w:val="24"/>
                <w:szCs w:val="24"/>
              </w:rPr>
              <w:t>定期委托有资质单位安全处置</w:t>
            </w:r>
            <w:r>
              <w:rPr>
                <w:rFonts w:hint="eastAsia" w:cs="Times New Roman"/>
                <w:color w:val="000000"/>
                <w:sz w:val="24"/>
                <w:szCs w:val="24"/>
                <w:lang w:eastAsia="zh-CN"/>
              </w:rPr>
              <w:t>。</w:t>
            </w:r>
          </w:p>
        </w:tc>
      </w:tr>
      <w:tr w14:paraId="46C33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54" w:hRule="atLeast"/>
          <w:jc w:val="center"/>
        </w:trPr>
        <w:tc>
          <w:tcPr>
            <w:tcW w:w="683" w:type="pct"/>
            <w:noWrap w:val="0"/>
            <w:vAlign w:val="center"/>
          </w:tcPr>
          <w:p w14:paraId="5926A1CA">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土壤及地下水污染防治措施</w:t>
            </w:r>
          </w:p>
        </w:tc>
        <w:tc>
          <w:tcPr>
            <w:tcW w:w="4316" w:type="pct"/>
            <w:gridSpan w:val="5"/>
            <w:noWrap w:val="0"/>
            <w:vAlign w:val="center"/>
          </w:tcPr>
          <w:p w14:paraId="1504199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a、本环评要求企业对</w:t>
            </w:r>
            <w:r>
              <w:rPr>
                <w:rFonts w:hint="eastAsia" w:hAnsi="宋体" w:cs="Times New Roman"/>
                <w:color w:val="auto"/>
                <w:kern w:val="2"/>
                <w:sz w:val="24"/>
                <w:szCs w:val="24"/>
                <w:lang w:val="en-US" w:eastAsia="zh-CN" w:bidi="ar-SA"/>
              </w:rPr>
              <w:t>厂区进行</w:t>
            </w:r>
            <w:r>
              <w:rPr>
                <w:bCs/>
                <w:color w:val="000000"/>
                <w:kern w:val="0"/>
                <w:sz w:val="24"/>
                <w:szCs w:val="24"/>
                <w:u w:val="none"/>
              </w:rPr>
              <w:t>分区防渗，</w:t>
            </w:r>
            <w:r>
              <w:rPr>
                <w:rFonts w:hint="eastAsia"/>
                <w:bCs/>
                <w:color w:val="000000"/>
                <w:kern w:val="0"/>
                <w:sz w:val="24"/>
                <w:szCs w:val="24"/>
                <w:u w:val="none"/>
                <w:lang w:val="en-US" w:eastAsia="zh-CN"/>
              </w:rPr>
              <w:t>危废间、润滑油和絮凝剂存放区为</w:t>
            </w:r>
            <w:r>
              <w:rPr>
                <w:bCs/>
                <w:color w:val="000000"/>
                <w:kern w:val="0"/>
                <w:sz w:val="24"/>
                <w:szCs w:val="24"/>
                <w:u w:val="none"/>
              </w:rPr>
              <w:t>重点防渗区</w:t>
            </w:r>
            <w:r>
              <w:rPr>
                <w:rFonts w:hint="eastAsia"/>
                <w:bCs/>
                <w:color w:val="000000"/>
                <w:kern w:val="0"/>
                <w:sz w:val="24"/>
                <w:szCs w:val="24"/>
                <w:u w:val="none"/>
                <w:lang w:eastAsia="zh-CN"/>
              </w:rPr>
              <w:t>，</w:t>
            </w:r>
            <w:r>
              <w:rPr>
                <w:color w:val="000000"/>
                <w:sz w:val="24"/>
                <w:szCs w:val="24"/>
                <w:u w:val="none"/>
              </w:rPr>
              <w:t>效黏土防渗层Mb≥6.0m、</w:t>
            </w:r>
            <w:r>
              <w:rPr>
                <w:color w:val="000000"/>
                <w:kern w:val="0"/>
                <w:sz w:val="24"/>
                <w:szCs w:val="24"/>
                <w:u w:val="none"/>
                <w:lang w:val="zh-CN"/>
              </w:rPr>
              <w:t>K≤</w:t>
            </w:r>
            <w:r>
              <w:rPr>
                <w:color w:val="000000"/>
                <w:sz w:val="24"/>
                <w:szCs w:val="24"/>
                <w:u w:val="none"/>
              </w:rPr>
              <w:t>1×10</w:t>
            </w:r>
            <w:r>
              <w:rPr>
                <w:color w:val="000000"/>
                <w:sz w:val="24"/>
                <w:szCs w:val="24"/>
                <w:u w:val="none"/>
                <w:vertAlign w:val="superscript"/>
              </w:rPr>
              <w:t>-</w:t>
            </w:r>
            <w:r>
              <w:rPr>
                <w:rFonts w:hint="eastAsia"/>
                <w:color w:val="000000"/>
                <w:sz w:val="24"/>
                <w:szCs w:val="24"/>
                <w:u w:val="none"/>
                <w:vertAlign w:val="superscript"/>
                <w:lang w:val="en-US" w:eastAsia="zh-CN"/>
              </w:rPr>
              <w:t>10</w:t>
            </w:r>
            <w:r>
              <w:rPr>
                <w:color w:val="000000"/>
                <w:kern w:val="0"/>
                <w:sz w:val="24"/>
                <w:szCs w:val="24"/>
                <w:u w:val="none"/>
                <w:lang w:val="zh-CN"/>
              </w:rPr>
              <w:t>cm/s；</w:t>
            </w:r>
            <w:r>
              <w:rPr>
                <w:rFonts w:hint="eastAsia"/>
                <w:color w:val="000000"/>
                <w:kern w:val="0"/>
                <w:sz w:val="24"/>
                <w:szCs w:val="24"/>
                <w:u w:val="none"/>
                <w:lang w:val="en-US" w:eastAsia="zh-CN"/>
              </w:rPr>
              <w:t>污水池、清水池和污水管线等区域为</w:t>
            </w:r>
            <w:r>
              <w:rPr>
                <w:color w:val="000000"/>
                <w:kern w:val="0"/>
                <w:sz w:val="24"/>
                <w:szCs w:val="24"/>
                <w:u w:val="none"/>
                <w:lang w:val="zh-CN"/>
              </w:rPr>
              <w:t>一般防渗区</w:t>
            </w:r>
            <w:r>
              <w:rPr>
                <w:rFonts w:hint="eastAsia"/>
                <w:color w:val="000000"/>
                <w:kern w:val="0"/>
                <w:sz w:val="24"/>
                <w:szCs w:val="24"/>
                <w:u w:val="none"/>
                <w:lang w:val="zh-CN"/>
              </w:rPr>
              <w:t>，</w:t>
            </w:r>
            <w:r>
              <w:rPr>
                <w:color w:val="000000"/>
                <w:sz w:val="24"/>
                <w:szCs w:val="24"/>
                <w:u w:val="none"/>
              </w:rPr>
              <w:t>效黏土防渗层Mb≥1.5m、</w:t>
            </w:r>
            <w:r>
              <w:rPr>
                <w:color w:val="000000"/>
                <w:kern w:val="0"/>
                <w:sz w:val="24"/>
                <w:szCs w:val="24"/>
                <w:u w:val="none"/>
                <w:lang w:val="zh-CN"/>
              </w:rPr>
              <w:t>K≤</w:t>
            </w:r>
            <w:r>
              <w:rPr>
                <w:color w:val="000000"/>
                <w:sz w:val="24"/>
                <w:szCs w:val="24"/>
                <w:u w:val="none"/>
              </w:rPr>
              <w:t>1×10</w:t>
            </w:r>
            <w:r>
              <w:rPr>
                <w:color w:val="000000"/>
                <w:sz w:val="24"/>
                <w:szCs w:val="24"/>
                <w:u w:val="none"/>
                <w:vertAlign w:val="superscript"/>
              </w:rPr>
              <w:t>-7</w:t>
            </w:r>
            <w:r>
              <w:rPr>
                <w:color w:val="000000"/>
                <w:kern w:val="0"/>
                <w:sz w:val="24"/>
                <w:szCs w:val="24"/>
                <w:u w:val="none"/>
                <w:lang w:val="zh-CN"/>
              </w:rPr>
              <w:t>cm/s；</w:t>
            </w:r>
            <w:r>
              <w:rPr>
                <w:rFonts w:hint="eastAsia"/>
                <w:color w:val="000000"/>
                <w:kern w:val="0"/>
                <w:sz w:val="24"/>
                <w:szCs w:val="24"/>
                <w:u w:val="none"/>
                <w:lang w:val="en-US" w:eastAsia="zh-CN"/>
              </w:rPr>
              <w:t>厂区其他地面为</w:t>
            </w:r>
            <w:r>
              <w:rPr>
                <w:color w:val="000000"/>
                <w:kern w:val="0"/>
                <w:sz w:val="24"/>
                <w:szCs w:val="24"/>
                <w:u w:val="none"/>
                <w:lang w:val="zh-CN"/>
              </w:rPr>
              <w:t>简单防渗区</w:t>
            </w:r>
            <w:r>
              <w:rPr>
                <w:rFonts w:hint="eastAsia"/>
                <w:color w:val="000000"/>
                <w:kern w:val="0"/>
                <w:sz w:val="24"/>
                <w:szCs w:val="24"/>
                <w:u w:val="none"/>
                <w:lang w:val="en-US" w:eastAsia="zh-CN"/>
              </w:rPr>
              <w:t>需将</w:t>
            </w:r>
            <w:r>
              <w:rPr>
                <w:color w:val="000000"/>
                <w:kern w:val="0"/>
                <w:sz w:val="24"/>
                <w:szCs w:val="24"/>
                <w:u w:val="none"/>
                <w:lang w:val="zh-CN"/>
              </w:rPr>
              <w:t>地面混凝土硬化</w:t>
            </w:r>
            <w:r>
              <w:rPr>
                <w:rFonts w:hint="eastAsia"/>
                <w:color w:val="000000"/>
                <w:kern w:val="0"/>
                <w:sz w:val="24"/>
                <w:szCs w:val="24"/>
                <w:u w:val="none"/>
                <w:lang w:val="zh-CN"/>
              </w:rPr>
              <w:t>。</w:t>
            </w:r>
            <w:r>
              <w:rPr>
                <w:rFonts w:hint="eastAsia" w:ascii="Times New Roman" w:hAnsi="宋体" w:eastAsia="宋体" w:cs="Times New Roman"/>
                <w:color w:val="auto"/>
                <w:kern w:val="2"/>
                <w:sz w:val="24"/>
                <w:szCs w:val="24"/>
                <w:lang w:val="en-US" w:eastAsia="zh-CN" w:bidi="ar-SA"/>
              </w:rPr>
              <w:t>保证满足相关安全设计规范，具有耐腐蚀性，保证泄漏物料不发生溢出情况。</w:t>
            </w:r>
          </w:p>
          <w:p w14:paraId="53B282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right="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b、加强设备的维护和巡视，及时发现和处理跑冒滴漏的情况。</w:t>
            </w:r>
          </w:p>
          <w:p w14:paraId="21B7CB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right="0"/>
              <w:jc w:val="both"/>
              <w:textAlignment w:val="auto"/>
              <w:rPr>
                <w:rFonts w:hint="eastAsia" w:ascii="Times New Roman" w:hAnsi="Times New Roman" w:eastAsia="宋体" w:cs="Times New Roman"/>
                <w:lang w:val="en-US" w:eastAsia="zh-CN"/>
              </w:rPr>
            </w:pPr>
            <w:r>
              <w:rPr>
                <w:rFonts w:hint="eastAsia" w:ascii="Times New Roman" w:hAnsi="宋体" w:eastAsia="宋体" w:cs="Times New Roman"/>
                <w:color w:val="auto"/>
                <w:kern w:val="2"/>
                <w:sz w:val="24"/>
                <w:szCs w:val="24"/>
                <w:lang w:val="en-US" w:eastAsia="zh-CN" w:bidi="ar-SA"/>
              </w:rPr>
              <w:t>c、发现地面破裂及时进行处理和维护。</w:t>
            </w:r>
          </w:p>
        </w:tc>
      </w:tr>
      <w:tr w14:paraId="303D39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4" w:hRule="atLeast"/>
          <w:jc w:val="center"/>
        </w:trPr>
        <w:tc>
          <w:tcPr>
            <w:tcW w:w="683" w:type="pct"/>
            <w:noWrap w:val="0"/>
            <w:vAlign w:val="center"/>
          </w:tcPr>
          <w:p w14:paraId="3AE0D1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生态保护措施</w:t>
            </w:r>
          </w:p>
        </w:tc>
        <w:tc>
          <w:tcPr>
            <w:tcW w:w="4316" w:type="pct"/>
            <w:gridSpan w:val="5"/>
            <w:noWrap w:val="0"/>
            <w:vAlign w:val="center"/>
          </w:tcPr>
          <w:p w14:paraId="020937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不涉及</w:t>
            </w:r>
          </w:p>
        </w:tc>
      </w:tr>
      <w:tr w14:paraId="5D54BA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62" w:hRule="atLeast"/>
          <w:jc w:val="center"/>
        </w:trPr>
        <w:tc>
          <w:tcPr>
            <w:tcW w:w="683" w:type="pct"/>
            <w:noWrap w:val="0"/>
            <w:vAlign w:val="center"/>
          </w:tcPr>
          <w:p w14:paraId="48A39422">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环境风险</w:t>
            </w:r>
          </w:p>
          <w:p w14:paraId="205D8563">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防范措施</w:t>
            </w:r>
          </w:p>
        </w:tc>
        <w:tc>
          <w:tcPr>
            <w:tcW w:w="4316" w:type="pct"/>
            <w:gridSpan w:val="5"/>
            <w:noWrap w:val="0"/>
            <w:vAlign w:val="center"/>
          </w:tcPr>
          <w:p w14:paraId="4EBF3F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大气事故风险防范措施</w:t>
            </w:r>
          </w:p>
          <w:p w14:paraId="32FECA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①加强对厂区原料储存过程的管理，规范操作和使用规范，降低事故发生概率；危废暂存间禁火，避免阳光直射、暴晒，远离热源、电源和火源，库房建筑及各种设备均应符合《建筑设计防火规范》中的规定。按化学品不同类别、性质、危险程度、灭火方法等分区分类贮存，并附上明显标示。</w:t>
            </w:r>
          </w:p>
          <w:p w14:paraId="728A8F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②设置管理台账，入库时应检验物品质量、数量、包装等情况；入库后采取适当的防护措施，定期检查，并建立严格的入库管理制度；</w:t>
            </w:r>
          </w:p>
          <w:p w14:paraId="294421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③设置原料的购置要求，采购的原辅材料品质必须符合技术安全和材质证明所规定的各项要求；要求供应商提供危险化学品安全技术说明书；</w:t>
            </w:r>
          </w:p>
          <w:p w14:paraId="3BDFFD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④厂区原辅料储存区应做好防渗漏措施，并设置围堰，则发生泄漏时可以收集在围堰内并收集处理；</w:t>
            </w:r>
          </w:p>
          <w:p w14:paraId="53EDEA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⑤配备必要的火灾应急救援器材、设备，对消防措施定期检查。若发生火灾，迅速转移人员，并用一切可能的消防器材全力灭火，及时拨打火灾报警电话。严禁火源进入润滑油存放区，对明火严格控制，明火发生源为火柴、打火机等，维修用火控制，对设备维修检查，需进行维修焊接，应经安全部门确认、准许，并有记录在案。</w:t>
            </w:r>
          </w:p>
          <w:p w14:paraId="06040B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另外如果废气处理设施发生故障的，会造成工艺废气直排入环境中，造成大气污染。一旦造成废气事故排放时，就可能对车间的工人、周围居民、其他厂工人、大气环境产生影响。建设单位必须严加管理，杜绝事故排放的事故发生。建设单位应认真做好设备的保养，定期维护、保修工作，使处理设施达到预期效果。为确保不发生事故性废气排放，建议建设单位采取一定的事故性防范保护措施：</w:t>
            </w:r>
          </w:p>
          <w:p w14:paraId="5BF280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①生产车间应做到相对密闭状态，加强对各生产设备的维修及保养，设置设备管理人员，提高管理人员素质，并设置生产车间事故应急措施及管理制度，确保设备长期处于良好状态。日常环保工作中加大废气处理的力度和加强环保设施管理工作，按时对废气处理装置进行维护保养，定时更换袋式除尘器滤袋等，保证废气处理设施能有效运转。严禁出现风机失效、废气未收集无组织排放的工况。加强有机废气处理装置的运行管理，一旦出现事故性排放应及时停止生产操作，待修复后再进行生产；</w:t>
            </w:r>
          </w:p>
          <w:p w14:paraId="04FDF0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ascii="Times New Roman" w:hAnsi="Times New Roman" w:cs="Times New Roman"/>
                <w:sz w:val="24"/>
                <w:szCs w:val="24"/>
              </w:rPr>
            </w:pPr>
            <w:r>
              <w:rPr>
                <w:rFonts w:hint="eastAsia" w:ascii="Times New Roman" w:hAnsi="宋体" w:eastAsia="宋体" w:cs="Times New Roman"/>
                <w:color w:val="auto"/>
                <w:kern w:val="2"/>
                <w:sz w:val="24"/>
                <w:szCs w:val="24"/>
                <w:lang w:val="en-US" w:eastAsia="zh-CN" w:bidi="ar-SA"/>
              </w:rPr>
              <w:t>②现场作业人员定时记录废气处理状况，如对废气处理设施的抽风机等设备进行点检工作，并派专人巡视，遇不良工作状况立即停止生产，维修正常后再开始作业，杜绝事故性废气直排，并及时</w:t>
            </w:r>
            <w:r>
              <w:rPr>
                <w:rFonts w:hint="eastAsia" w:hAnsi="宋体" w:cs="Times New Roman"/>
                <w:color w:val="auto"/>
                <w:kern w:val="2"/>
                <w:sz w:val="24"/>
                <w:szCs w:val="24"/>
                <w:lang w:val="en-US" w:eastAsia="zh-CN" w:bidi="ar-SA"/>
              </w:rPr>
              <w:t>上报</w:t>
            </w:r>
            <w:r>
              <w:rPr>
                <w:rFonts w:hint="eastAsia" w:ascii="Times New Roman" w:hAnsi="宋体" w:eastAsia="宋体" w:cs="Times New Roman"/>
                <w:color w:val="auto"/>
                <w:kern w:val="2"/>
                <w:sz w:val="24"/>
                <w:szCs w:val="24"/>
                <w:lang w:val="en-US" w:eastAsia="zh-CN" w:bidi="ar-SA"/>
              </w:rPr>
              <w:t>单位</w:t>
            </w:r>
            <w:r>
              <w:rPr>
                <w:rFonts w:hint="eastAsia" w:hAnsi="宋体" w:cs="Times New Roman"/>
                <w:color w:val="auto"/>
                <w:kern w:val="2"/>
                <w:sz w:val="24"/>
                <w:szCs w:val="24"/>
                <w:lang w:val="en-US" w:eastAsia="zh-CN" w:bidi="ar-SA"/>
              </w:rPr>
              <w:t>。</w:t>
            </w:r>
          </w:p>
        </w:tc>
      </w:tr>
      <w:tr w14:paraId="5BFD4F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16" w:hRule="atLeast"/>
          <w:jc w:val="center"/>
        </w:trPr>
        <w:tc>
          <w:tcPr>
            <w:tcW w:w="683" w:type="pct"/>
            <w:noWrap w:val="0"/>
            <w:vAlign w:val="center"/>
          </w:tcPr>
          <w:p w14:paraId="796143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spacing w:val="-8"/>
                <w:sz w:val="24"/>
                <w:szCs w:val="24"/>
              </w:rPr>
            </w:pPr>
            <w:r>
              <w:rPr>
                <w:rFonts w:hint="default" w:ascii="Times New Roman" w:hAnsi="Times New Roman" w:cs="Times New Roman"/>
                <w:b/>
                <w:bCs/>
                <w:spacing w:val="-8"/>
                <w:sz w:val="24"/>
                <w:szCs w:val="24"/>
              </w:rPr>
              <w:t>其他环境</w:t>
            </w:r>
          </w:p>
          <w:p w14:paraId="67B8C4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spacing w:val="-8"/>
                <w:sz w:val="24"/>
                <w:szCs w:val="24"/>
              </w:rPr>
            </w:pPr>
            <w:r>
              <w:rPr>
                <w:rFonts w:hint="default" w:ascii="Times New Roman" w:hAnsi="Times New Roman" w:cs="Times New Roman"/>
                <w:b/>
                <w:bCs/>
                <w:spacing w:val="-8"/>
                <w:sz w:val="24"/>
                <w:szCs w:val="24"/>
              </w:rPr>
              <w:t>管理要求</w:t>
            </w:r>
          </w:p>
        </w:tc>
        <w:tc>
          <w:tcPr>
            <w:tcW w:w="4316" w:type="pct"/>
            <w:gridSpan w:val="5"/>
            <w:noWrap w:val="0"/>
            <w:vAlign w:val="center"/>
          </w:tcPr>
          <w:p w14:paraId="526093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240" w:firstLineChars="100"/>
              <w:jc w:val="left"/>
              <w:textAlignment w:val="auto"/>
              <w:rPr>
                <w:rFonts w:hint="default" w:ascii="Times New Roman" w:hAnsi="Times New Roman" w:cs="Times New Roman"/>
                <w:sz w:val="24"/>
                <w:szCs w:val="24"/>
              </w:rPr>
            </w:pPr>
            <w:r>
              <w:rPr>
                <w:rFonts w:hint="eastAsia" w:ascii="Times New Roman" w:hAnsi="Times New Roman" w:cs="Times New Roman"/>
                <w:sz w:val="24"/>
                <w:szCs w:val="24"/>
              </w:rPr>
              <w:t>（1）项目建设过程中主体工程、环保设施应同时设计、同时施工、同时投产运行；项目建成后按照《建设项目竣工环境保护验收暂行办法》（国环规环评【2017】4号）要求开展项目竣工环境保护验收工作。</w:t>
            </w:r>
          </w:p>
          <w:p w14:paraId="4002EF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240" w:firstLineChars="100"/>
              <w:jc w:val="left"/>
              <w:textAlignment w:val="auto"/>
              <w:rPr>
                <w:rFonts w:hint="default" w:ascii="Times New Roman" w:hAnsi="Times New Roman" w:cs="Times New Roman"/>
                <w:sz w:val="24"/>
                <w:szCs w:val="24"/>
              </w:rPr>
            </w:pPr>
            <w:r>
              <w:rPr>
                <w:rFonts w:hint="eastAsia" w:ascii="Times New Roman" w:hAnsi="Times New Roman" w:cs="Times New Roman"/>
                <w:sz w:val="24"/>
                <w:szCs w:val="24"/>
              </w:rPr>
              <w:t>（2）按照《排污许可管理条例》（国务院令第736号）的相关要求开展固定污染源排污许可</w:t>
            </w:r>
            <w:r>
              <w:rPr>
                <w:rFonts w:hint="eastAsia" w:cs="Times New Roman"/>
                <w:sz w:val="24"/>
                <w:szCs w:val="24"/>
                <w:lang w:val="en-US" w:eastAsia="zh-CN"/>
              </w:rPr>
              <w:t>办理</w:t>
            </w:r>
            <w:r>
              <w:rPr>
                <w:rFonts w:hint="eastAsia" w:ascii="Times New Roman" w:hAnsi="Times New Roman" w:cs="Times New Roman"/>
                <w:sz w:val="24"/>
                <w:szCs w:val="24"/>
              </w:rPr>
              <w:t>。</w:t>
            </w:r>
          </w:p>
          <w:p w14:paraId="5D9C75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240" w:firstLineChars="100"/>
              <w:jc w:val="left"/>
              <w:textAlignment w:val="auto"/>
              <w:rPr>
                <w:rFonts w:hint="default" w:ascii="Times New Roman" w:hAnsi="Times New Roman" w:cs="Times New Roman"/>
                <w:sz w:val="24"/>
                <w:szCs w:val="24"/>
              </w:rPr>
            </w:pPr>
            <w:r>
              <w:rPr>
                <w:rFonts w:hint="eastAsia" w:ascii="Times New Roman" w:hAnsi="Times New Roman" w:cs="Times New Roman"/>
                <w:sz w:val="24"/>
                <w:szCs w:val="24"/>
              </w:rPr>
              <w:t>（3）项目营运过程中建立环境管理台账制度，落实环境管理台账记录的责任人，明确工作职责，包括台账的记录、整理、维护和管理等。台账记录频次和内容须满足排污许可证环境管理要求，并对台账记录结果的真实性、完整性和规范性负责。台账按照电子化储存和纸质储存两种形式同步管理，台账保存期限不得少于五年。</w:t>
            </w:r>
          </w:p>
          <w:p w14:paraId="6373F1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240" w:firstLineChars="100"/>
              <w:jc w:val="left"/>
              <w:textAlignment w:val="auto"/>
              <w:rPr>
                <w:rFonts w:hint="default" w:ascii="Times New Roman" w:hAnsi="Times New Roman" w:cs="Times New Roman"/>
                <w:sz w:val="24"/>
                <w:szCs w:val="24"/>
              </w:rPr>
            </w:pPr>
            <w:r>
              <w:rPr>
                <w:rFonts w:hint="eastAsia" w:ascii="Times New Roman" w:hAnsi="Times New Roman" w:cs="Times New Roman"/>
                <w:sz w:val="24"/>
                <w:szCs w:val="24"/>
              </w:rPr>
              <w:t>（4）</w:t>
            </w:r>
            <w:r>
              <w:rPr>
                <w:rFonts w:hint="default" w:ascii="Times New Roman" w:hAnsi="Times New Roman" w:eastAsia="宋体" w:cs="Times New Roman"/>
                <w:color w:val="auto"/>
                <w:sz w:val="24"/>
                <w:szCs w:val="24"/>
                <w:lang w:val="en-US" w:eastAsia="zh-CN"/>
              </w:rPr>
              <w:t>制定环境监测计划：有组织废气</w:t>
            </w:r>
            <w:r>
              <w:rPr>
                <w:rFonts w:hint="eastAsia" w:cs="Times New Roman"/>
                <w:color w:val="auto"/>
                <w:sz w:val="24"/>
                <w:szCs w:val="24"/>
                <w:lang w:val="en-US" w:eastAsia="zh-CN"/>
              </w:rPr>
              <w:t>每年</w:t>
            </w:r>
            <w:r>
              <w:rPr>
                <w:rFonts w:hint="default" w:ascii="Times New Roman" w:hAnsi="Times New Roman" w:eastAsia="宋体" w:cs="Times New Roman"/>
                <w:color w:val="auto"/>
                <w:sz w:val="24"/>
                <w:szCs w:val="24"/>
                <w:lang w:val="en-US" w:eastAsia="zh-CN"/>
              </w:rPr>
              <w:t>检测一次，无组织废气</w:t>
            </w:r>
            <w:r>
              <w:rPr>
                <w:rFonts w:hint="eastAsia" w:cs="Times New Roman"/>
                <w:color w:val="auto"/>
                <w:sz w:val="24"/>
                <w:szCs w:val="24"/>
                <w:lang w:val="en-US" w:eastAsia="zh-CN"/>
              </w:rPr>
              <w:t>每年</w:t>
            </w:r>
            <w:r>
              <w:rPr>
                <w:rFonts w:hint="default" w:ascii="Times New Roman" w:hAnsi="Times New Roman" w:eastAsia="宋体" w:cs="Times New Roman"/>
                <w:color w:val="auto"/>
                <w:sz w:val="24"/>
                <w:szCs w:val="24"/>
                <w:lang w:val="en-US" w:eastAsia="zh-CN"/>
              </w:rPr>
              <w:t>检测一次</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噪声每季度检测一次</w:t>
            </w:r>
            <w:r>
              <w:rPr>
                <w:rFonts w:hint="eastAsia" w:cs="Times New Roman"/>
                <w:color w:val="auto"/>
                <w:sz w:val="24"/>
                <w:szCs w:val="24"/>
                <w:lang w:val="en-US" w:eastAsia="zh-CN"/>
              </w:rPr>
              <w:t>。</w:t>
            </w:r>
          </w:p>
        </w:tc>
      </w:tr>
    </w:tbl>
    <w:p w14:paraId="105B3DD9">
      <w:pPr>
        <w:pStyle w:val="20"/>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Layout w:type="fixed"/>
        <w:tblCellMar>
          <w:top w:w="0" w:type="dxa"/>
          <w:left w:w="108" w:type="dxa"/>
          <w:bottom w:w="0" w:type="dxa"/>
          <w:right w:w="108" w:type="dxa"/>
        </w:tblCellMar>
      </w:tblPr>
      <w:tblGrid>
        <w:gridCol w:w="8865"/>
      </w:tblGrid>
      <w:tr w14:paraId="50E15237">
        <w:tblPrEx>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CellMar>
            <w:top w:w="0" w:type="dxa"/>
            <w:left w:w="108" w:type="dxa"/>
            <w:bottom w:w="0" w:type="dxa"/>
            <w:right w:w="108" w:type="dxa"/>
          </w:tblCellMar>
        </w:tblPrEx>
        <w:trPr>
          <w:trHeight w:val="11991" w:hRule="atLeast"/>
          <w:jc w:val="center"/>
        </w:trPr>
        <w:tc>
          <w:tcPr>
            <w:tcW w:w="8865" w:type="dxa"/>
            <w:tcBorders>
              <w:tl2br w:val="nil"/>
              <w:tr2bl w:val="nil"/>
            </w:tcBorders>
            <w:noWrap w:val="0"/>
            <w:vAlign w:val="center"/>
          </w:tcPr>
          <w:p w14:paraId="45921597">
            <w:pPr>
              <w:spacing w:line="520" w:lineRule="exact"/>
              <w:ind w:firstLine="480" w:firstLineChars="200"/>
              <w:rPr>
                <w:rFonts w:hint="eastAsia"/>
                <w:b w:val="0"/>
                <w:bCs w:val="0"/>
                <w:sz w:val="24"/>
                <w:szCs w:val="24"/>
              </w:rPr>
            </w:pPr>
            <w:r>
              <w:rPr>
                <w:rFonts w:hint="eastAsia"/>
                <w:b w:val="0"/>
                <w:bCs w:val="0"/>
                <w:sz w:val="24"/>
                <w:szCs w:val="24"/>
              </w:rPr>
              <w:t>综上所述，评价认为，</w:t>
            </w:r>
            <w:r>
              <w:rPr>
                <w:rFonts w:hint="eastAsia"/>
                <w:b w:val="0"/>
                <w:bCs w:val="0"/>
                <w:sz w:val="24"/>
                <w:szCs w:val="24"/>
                <w:lang w:val="en-US" w:eastAsia="zh-CN"/>
              </w:rPr>
              <w:t>河南省昆仲工程有限责任公司建筑垃圾回收再利用及水泥稳定土项目</w:t>
            </w:r>
            <w:r>
              <w:rPr>
                <w:rFonts w:hint="eastAsia"/>
                <w:b w:val="0"/>
                <w:bCs w:val="0"/>
                <w:sz w:val="24"/>
                <w:szCs w:val="24"/>
              </w:rPr>
              <w:t>符合国家产业政策，符合</w:t>
            </w:r>
            <w:r>
              <w:rPr>
                <w:rFonts w:hint="eastAsia"/>
                <w:b w:val="0"/>
                <w:bCs w:val="0"/>
                <w:sz w:val="24"/>
                <w:szCs w:val="24"/>
                <w:lang w:val="en-US" w:eastAsia="zh-CN"/>
              </w:rPr>
              <w:t>叶县“三线一单”要求，项目</w:t>
            </w:r>
            <w:r>
              <w:rPr>
                <w:rFonts w:hint="eastAsia"/>
                <w:b w:val="0"/>
                <w:bCs w:val="0"/>
                <w:sz w:val="24"/>
                <w:szCs w:val="24"/>
              </w:rPr>
              <w:t>选址可行；本项目采取的</w:t>
            </w:r>
            <w:r>
              <w:rPr>
                <w:rFonts w:hint="eastAsia"/>
                <w:b w:val="0"/>
                <w:bCs w:val="0"/>
                <w:sz w:val="24"/>
                <w:szCs w:val="24"/>
                <w:lang w:eastAsia="zh-CN"/>
              </w:rPr>
              <w:t>废气、</w:t>
            </w:r>
            <w:r>
              <w:rPr>
                <w:rFonts w:hint="eastAsia"/>
                <w:b w:val="0"/>
                <w:bCs w:val="0"/>
                <w:sz w:val="24"/>
                <w:szCs w:val="24"/>
              </w:rPr>
              <w:t>噪声、污水、固废处理措施均经济、技术可行，措施有效，项目采取本报告表中提出的环保措施后，项目营运过程中污染物可做到达标排放；项目周围环境质量较好。从</w:t>
            </w:r>
            <w:r>
              <w:rPr>
                <w:rFonts w:hint="eastAsia" w:ascii="Times New Roman" w:hAnsi="Times New Roman" w:eastAsia="宋体" w:cs="Times New Roman"/>
                <w:b w:val="0"/>
                <w:bCs w:val="0"/>
                <w:sz w:val="24"/>
                <w:szCs w:val="24"/>
              </w:rPr>
              <w:t>环境保护角度</w:t>
            </w:r>
            <w:r>
              <w:rPr>
                <w:rFonts w:hint="eastAsia"/>
                <w:b w:val="0"/>
                <w:bCs w:val="0"/>
                <w:sz w:val="24"/>
                <w:szCs w:val="24"/>
              </w:rPr>
              <w:t>分析，项目建设</w:t>
            </w:r>
            <w:r>
              <w:rPr>
                <w:rFonts w:hint="eastAsia"/>
                <w:b w:val="0"/>
                <w:bCs w:val="0"/>
                <w:sz w:val="24"/>
                <w:szCs w:val="24"/>
                <w:lang w:eastAsia="zh-CN"/>
              </w:rPr>
              <w:t>是</w:t>
            </w:r>
            <w:r>
              <w:rPr>
                <w:rFonts w:hint="eastAsia"/>
                <w:b w:val="0"/>
                <w:bCs w:val="0"/>
                <w:sz w:val="24"/>
                <w:szCs w:val="24"/>
              </w:rPr>
              <w:t>可行</w:t>
            </w:r>
            <w:r>
              <w:rPr>
                <w:rFonts w:hint="eastAsia"/>
                <w:b w:val="0"/>
                <w:bCs w:val="0"/>
                <w:sz w:val="24"/>
                <w:szCs w:val="24"/>
                <w:lang w:eastAsia="zh-CN"/>
              </w:rPr>
              <w:t>的</w:t>
            </w:r>
            <w:r>
              <w:rPr>
                <w:rFonts w:hint="eastAsia"/>
                <w:b w:val="0"/>
                <w:bCs w:val="0"/>
                <w:sz w:val="24"/>
                <w:szCs w:val="24"/>
              </w:rPr>
              <w:t>。</w:t>
            </w:r>
          </w:p>
          <w:p w14:paraId="0EBF2126">
            <w:pPr>
              <w:pStyle w:val="2"/>
              <w:rPr>
                <w:rFonts w:hint="eastAsia"/>
                <w:b w:val="0"/>
                <w:bCs w:val="0"/>
                <w:sz w:val="24"/>
                <w:szCs w:val="24"/>
              </w:rPr>
            </w:pPr>
          </w:p>
          <w:p w14:paraId="787E486A">
            <w:pPr>
              <w:rPr>
                <w:rFonts w:hint="eastAsia"/>
                <w:b w:val="0"/>
                <w:bCs w:val="0"/>
                <w:sz w:val="24"/>
                <w:szCs w:val="24"/>
              </w:rPr>
            </w:pPr>
          </w:p>
          <w:p w14:paraId="0CEFBDAA">
            <w:pPr>
              <w:pStyle w:val="2"/>
            </w:pPr>
          </w:p>
        </w:tc>
      </w:tr>
    </w:tbl>
    <w:p w14:paraId="69657158">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7C723F9">
      <w:pPr>
        <w:pStyle w:val="20"/>
        <w:adjustRightInd w:val="0"/>
        <w:snapToGrid w:val="0"/>
        <w:spacing w:before="0" w:beforeAutospacing="0" w:after="0" w:afterAutospacing="0"/>
        <w:outlineLvl w:val="0"/>
        <w:rPr>
          <w:rFonts w:ascii="黑体" w:hAnsi="黑体" w:eastAsia="黑体"/>
          <w:snapToGrid w:val="0"/>
          <w:sz w:val="32"/>
          <w:szCs w:val="32"/>
        </w:rPr>
      </w:pPr>
      <w:r>
        <w:rPr>
          <w:rFonts w:hint="eastAsia" w:ascii="黑体" w:hAnsi="黑体" w:eastAsia="黑体"/>
          <w:snapToGrid w:val="0"/>
          <w:sz w:val="32"/>
          <w:szCs w:val="32"/>
        </w:rPr>
        <w:t>附表</w:t>
      </w:r>
    </w:p>
    <w:p w14:paraId="49807496">
      <w:pPr>
        <w:pStyle w:val="20"/>
        <w:adjustRightInd w:val="0"/>
        <w:snapToGrid w:val="0"/>
        <w:spacing w:before="0" w:beforeAutospacing="0" w:after="0" w:afterAutospacing="0"/>
        <w:jc w:val="center"/>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2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6"/>
        <w:gridCol w:w="1865"/>
        <w:gridCol w:w="1456"/>
        <w:gridCol w:w="1241"/>
        <w:gridCol w:w="1655"/>
        <w:gridCol w:w="1517"/>
        <w:gridCol w:w="1714"/>
        <w:gridCol w:w="1907"/>
        <w:gridCol w:w="1164"/>
      </w:tblGrid>
      <w:tr w14:paraId="522F9F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1256" w:type="dxa"/>
            <w:tcBorders>
              <w:tl2br w:val="single" w:color="auto" w:sz="4" w:space="0"/>
            </w:tcBorders>
            <w:noWrap w:val="0"/>
            <w:tcMar>
              <w:left w:w="28" w:type="dxa"/>
              <w:right w:w="28" w:type="dxa"/>
            </w:tcMar>
            <w:vAlign w:val="center"/>
          </w:tcPr>
          <w:p w14:paraId="54289389">
            <w:pPr>
              <w:pStyle w:val="42"/>
              <w:spacing w:beforeLines="0" w:afterLines="0" w:line="240" w:lineRule="auto"/>
              <w:jc w:val="right"/>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项目</w:t>
            </w:r>
          </w:p>
          <w:p w14:paraId="33979D46">
            <w:pPr>
              <w:pStyle w:val="42"/>
              <w:spacing w:beforeLines="0" w:afterLines="0" w:line="240" w:lineRule="auto"/>
              <w:jc w:val="left"/>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分类</w:t>
            </w:r>
          </w:p>
        </w:tc>
        <w:tc>
          <w:tcPr>
            <w:tcW w:w="1865" w:type="dxa"/>
            <w:noWrap w:val="0"/>
            <w:tcMar>
              <w:left w:w="28" w:type="dxa"/>
              <w:right w:w="28" w:type="dxa"/>
            </w:tcMar>
            <w:vAlign w:val="center"/>
          </w:tcPr>
          <w:p w14:paraId="7A6AAE82">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污染物名称</w:t>
            </w:r>
          </w:p>
        </w:tc>
        <w:tc>
          <w:tcPr>
            <w:tcW w:w="1456" w:type="dxa"/>
            <w:noWrap w:val="0"/>
            <w:tcMar>
              <w:left w:w="28" w:type="dxa"/>
              <w:right w:w="28" w:type="dxa"/>
            </w:tcMar>
            <w:vAlign w:val="center"/>
          </w:tcPr>
          <w:p w14:paraId="6174F7D0">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现有工程</w:t>
            </w:r>
          </w:p>
          <w:p w14:paraId="50BB5455">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排放量（固体废物产生量）</w:t>
            </w:r>
            <w:r>
              <w:rPr>
                <w:rFonts w:hint="default" w:ascii="Times New Roman" w:hAnsi="Times New Roman" w:eastAsia="黑体" w:cs="Times New Roman"/>
                <w:snapToGrid w:val="0"/>
                <w:spacing w:val="-6"/>
                <w:kern w:val="21"/>
                <w:szCs w:val="21"/>
                <w:lang w:val="en-US" w:eastAsia="zh-CN"/>
              </w:rPr>
              <w:fldChar w:fldCharType="begin"/>
            </w:r>
            <w:r>
              <w:rPr>
                <w:rFonts w:hint="default" w:ascii="Times New Roman" w:hAnsi="Times New Roman" w:eastAsia="黑体" w:cs="Times New Roman"/>
                <w:snapToGrid w:val="0"/>
                <w:spacing w:val="-6"/>
                <w:kern w:val="21"/>
                <w:szCs w:val="21"/>
                <w:lang w:val="en-US" w:eastAsia="zh-CN"/>
              </w:rPr>
              <w:instrText xml:space="preserve"> = 1 \* GB3 \* MERGEFORMAT </w:instrText>
            </w:r>
            <w:r>
              <w:rPr>
                <w:rFonts w:hint="default" w:ascii="Times New Roman" w:hAnsi="Times New Roman" w:eastAsia="黑体" w:cs="Times New Roman"/>
                <w:snapToGrid w:val="0"/>
                <w:spacing w:val="-6"/>
                <w:kern w:val="21"/>
                <w:szCs w:val="21"/>
                <w:lang w:val="en-US" w:eastAsia="zh-CN"/>
              </w:rPr>
              <w:fldChar w:fldCharType="separate"/>
            </w:r>
            <w:r>
              <w:rPr>
                <w:rFonts w:hint="default" w:ascii="Times New Roman" w:hAnsi="Times New Roman" w:eastAsia="黑体" w:cs="Times New Roman"/>
                <w:kern w:val="2"/>
                <w:szCs w:val="21"/>
                <w:lang w:val="en-US" w:eastAsia="zh-CN"/>
              </w:rPr>
              <w:t>①</w:t>
            </w:r>
            <w:r>
              <w:rPr>
                <w:rFonts w:hint="default" w:ascii="Times New Roman" w:hAnsi="Times New Roman" w:eastAsia="黑体" w:cs="Times New Roman"/>
                <w:snapToGrid w:val="0"/>
                <w:spacing w:val="-6"/>
                <w:kern w:val="21"/>
                <w:szCs w:val="21"/>
                <w:lang w:val="en-US" w:eastAsia="zh-CN"/>
              </w:rPr>
              <w:fldChar w:fldCharType="end"/>
            </w:r>
          </w:p>
        </w:tc>
        <w:tc>
          <w:tcPr>
            <w:tcW w:w="1241" w:type="dxa"/>
            <w:noWrap w:val="0"/>
            <w:tcMar>
              <w:left w:w="28" w:type="dxa"/>
              <w:right w:w="28" w:type="dxa"/>
            </w:tcMar>
            <w:vAlign w:val="center"/>
          </w:tcPr>
          <w:p w14:paraId="59DB4089">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现有工程</w:t>
            </w:r>
          </w:p>
          <w:p w14:paraId="1787B676">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许可排放量</w:t>
            </w:r>
          </w:p>
          <w:p w14:paraId="77EED91B">
            <w:pPr>
              <w:pStyle w:val="42"/>
              <w:spacing w:beforeLines="0" w:afterLines="0"/>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fldChar w:fldCharType="begin"/>
            </w:r>
            <w:r>
              <w:rPr>
                <w:rFonts w:hint="default" w:ascii="Times New Roman" w:hAnsi="Times New Roman" w:eastAsia="黑体" w:cs="Times New Roman"/>
                <w:snapToGrid w:val="0"/>
                <w:spacing w:val="-6"/>
                <w:kern w:val="21"/>
                <w:szCs w:val="21"/>
                <w:lang w:val="en-US" w:eastAsia="zh-CN"/>
              </w:rPr>
              <w:instrText xml:space="preserve"> = 2 \* GB3 \* MERGEFORMAT </w:instrText>
            </w:r>
            <w:r>
              <w:rPr>
                <w:rFonts w:hint="default" w:ascii="Times New Roman" w:hAnsi="Times New Roman" w:eastAsia="黑体" w:cs="Times New Roman"/>
                <w:snapToGrid w:val="0"/>
                <w:spacing w:val="-6"/>
                <w:kern w:val="21"/>
                <w:szCs w:val="21"/>
                <w:lang w:val="en-US" w:eastAsia="zh-CN"/>
              </w:rPr>
              <w:fldChar w:fldCharType="separate"/>
            </w:r>
            <w:r>
              <w:rPr>
                <w:rFonts w:hint="default" w:ascii="Times New Roman" w:hAnsi="Times New Roman" w:eastAsia="黑体" w:cs="Times New Roman"/>
                <w:snapToGrid w:val="0"/>
                <w:spacing w:val="-6"/>
                <w:kern w:val="21"/>
                <w:szCs w:val="21"/>
                <w:lang w:val="en-US" w:eastAsia="zh-CN"/>
              </w:rPr>
              <w:t>②</w:t>
            </w:r>
            <w:r>
              <w:rPr>
                <w:rFonts w:hint="default" w:ascii="Times New Roman" w:hAnsi="Times New Roman" w:eastAsia="黑体" w:cs="Times New Roman"/>
                <w:snapToGrid w:val="0"/>
                <w:spacing w:val="-6"/>
                <w:kern w:val="21"/>
                <w:szCs w:val="21"/>
                <w:lang w:val="en-US" w:eastAsia="zh-CN"/>
              </w:rPr>
              <w:fldChar w:fldCharType="end"/>
            </w:r>
          </w:p>
        </w:tc>
        <w:tc>
          <w:tcPr>
            <w:tcW w:w="1655" w:type="dxa"/>
            <w:noWrap w:val="0"/>
            <w:tcMar>
              <w:left w:w="28" w:type="dxa"/>
              <w:right w:w="28" w:type="dxa"/>
            </w:tcMar>
            <w:vAlign w:val="center"/>
          </w:tcPr>
          <w:p w14:paraId="7F3F723F">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在建工程</w:t>
            </w:r>
          </w:p>
          <w:p w14:paraId="7A1536AA">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排放量（固体废物产生量）</w:t>
            </w:r>
            <w:r>
              <w:rPr>
                <w:rFonts w:hint="default" w:ascii="Times New Roman" w:hAnsi="Times New Roman" w:eastAsia="黑体" w:cs="Times New Roman"/>
                <w:snapToGrid w:val="0"/>
                <w:spacing w:val="-6"/>
                <w:kern w:val="21"/>
                <w:szCs w:val="21"/>
                <w:lang w:val="en-US" w:eastAsia="zh-CN"/>
              </w:rPr>
              <w:fldChar w:fldCharType="begin"/>
            </w:r>
            <w:r>
              <w:rPr>
                <w:rFonts w:hint="default" w:ascii="Times New Roman" w:hAnsi="Times New Roman" w:eastAsia="黑体" w:cs="Times New Roman"/>
                <w:snapToGrid w:val="0"/>
                <w:spacing w:val="-6"/>
                <w:kern w:val="21"/>
                <w:szCs w:val="21"/>
                <w:lang w:val="en-US" w:eastAsia="zh-CN"/>
              </w:rPr>
              <w:instrText xml:space="preserve"> = 3 \* GB3 \* MERGEFORMAT </w:instrText>
            </w:r>
            <w:r>
              <w:rPr>
                <w:rFonts w:hint="default" w:ascii="Times New Roman" w:hAnsi="Times New Roman" w:eastAsia="黑体" w:cs="Times New Roman"/>
                <w:snapToGrid w:val="0"/>
                <w:spacing w:val="-6"/>
                <w:kern w:val="21"/>
                <w:szCs w:val="21"/>
                <w:lang w:val="en-US" w:eastAsia="zh-CN"/>
              </w:rPr>
              <w:fldChar w:fldCharType="separate"/>
            </w:r>
            <w:r>
              <w:rPr>
                <w:rFonts w:hint="default" w:ascii="Times New Roman" w:hAnsi="Times New Roman" w:eastAsia="黑体" w:cs="Times New Roman"/>
                <w:kern w:val="2"/>
                <w:szCs w:val="21"/>
                <w:lang w:val="en-US" w:eastAsia="zh-CN"/>
              </w:rPr>
              <w:t>③</w:t>
            </w:r>
            <w:r>
              <w:rPr>
                <w:rFonts w:hint="default" w:ascii="Times New Roman" w:hAnsi="Times New Roman" w:eastAsia="黑体" w:cs="Times New Roman"/>
                <w:snapToGrid w:val="0"/>
                <w:spacing w:val="-6"/>
                <w:kern w:val="21"/>
                <w:szCs w:val="21"/>
                <w:lang w:val="en-US" w:eastAsia="zh-CN"/>
              </w:rPr>
              <w:fldChar w:fldCharType="end"/>
            </w:r>
          </w:p>
        </w:tc>
        <w:tc>
          <w:tcPr>
            <w:tcW w:w="1517" w:type="dxa"/>
            <w:noWrap w:val="0"/>
            <w:tcMar>
              <w:left w:w="28" w:type="dxa"/>
              <w:right w:w="28" w:type="dxa"/>
            </w:tcMar>
            <w:vAlign w:val="center"/>
          </w:tcPr>
          <w:p w14:paraId="53472CE7">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本项目</w:t>
            </w:r>
          </w:p>
          <w:p w14:paraId="20FA4089">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排放量（固体废物产生量）</w:t>
            </w:r>
            <w:r>
              <w:rPr>
                <w:rFonts w:hint="default" w:ascii="Times New Roman" w:hAnsi="Times New Roman" w:eastAsia="黑体" w:cs="Times New Roman"/>
                <w:snapToGrid w:val="0"/>
                <w:spacing w:val="-6"/>
                <w:kern w:val="21"/>
                <w:szCs w:val="21"/>
                <w:lang w:val="en-US" w:eastAsia="zh-CN"/>
              </w:rPr>
              <w:fldChar w:fldCharType="begin"/>
            </w:r>
            <w:r>
              <w:rPr>
                <w:rFonts w:hint="default" w:ascii="Times New Roman" w:hAnsi="Times New Roman" w:eastAsia="黑体" w:cs="Times New Roman"/>
                <w:snapToGrid w:val="0"/>
                <w:spacing w:val="-6"/>
                <w:kern w:val="21"/>
                <w:szCs w:val="21"/>
                <w:lang w:val="en-US" w:eastAsia="zh-CN"/>
              </w:rPr>
              <w:instrText xml:space="preserve"> = 4 \* GB3 \* MERGEFORMAT </w:instrText>
            </w:r>
            <w:r>
              <w:rPr>
                <w:rFonts w:hint="default" w:ascii="Times New Roman" w:hAnsi="Times New Roman" w:eastAsia="黑体" w:cs="Times New Roman"/>
                <w:snapToGrid w:val="0"/>
                <w:spacing w:val="-6"/>
                <w:kern w:val="21"/>
                <w:szCs w:val="21"/>
                <w:lang w:val="en-US" w:eastAsia="zh-CN"/>
              </w:rPr>
              <w:fldChar w:fldCharType="separate"/>
            </w:r>
            <w:r>
              <w:rPr>
                <w:rFonts w:hint="default" w:ascii="Times New Roman" w:hAnsi="Times New Roman" w:eastAsia="黑体" w:cs="Times New Roman"/>
                <w:kern w:val="2"/>
                <w:szCs w:val="21"/>
                <w:lang w:val="en-US" w:eastAsia="zh-CN"/>
              </w:rPr>
              <w:t>④</w:t>
            </w:r>
            <w:r>
              <w:rPr>
                <w:rFonts w:hint="default" w:ascii="Times New Roman" w:hAnsi="Times New Roman" w:eastAsia="黑体" w:cs="Times New Roman"/>
                <w:snapToGrid w:val="0"/>
                <w:spacing w:val="-6"/>
                <w:kern w:val="21"/>
                <w:szCs w:val="21"/>
                <w:lang w:val="en-US" w:eastAsia="zh-CN"/>
              </w:rPr>
              <w:fldChar w:fldCharType="end"/>
            </w:r>
          </w:p>
        </w:tc>
        <w:tc>
          <w:tcPr>
            <w:tcW w:w="1714" w:type="dxa"/>
            <w:noWrap w:val="0"/>
            <w:tcMar>
              <w:left w:w="28" w:type="dxa"/>
              <w:right w:w="28" w:type="dxa"/>
            </w:tcMar>
            <w:vAlign w:val="center"/>
          </w:tcPr>
          <w:p w14:paraId="2399F5F0">
            <w:pPr>
              <w:pStyle w:val="42"/>
              <w:spacing w:beforeLines="0" w:afterLines="0" w:line="240" w:lineRule="auto"/>
              <w:rPr>
                <w:rFonts w:hint="default" w:ascii="Times New Roman" w:hAnsi="Times New Roman" w:eastAsia="黑体" w:cs="Times New Roman"/>
                <w:snapToGrid w:val="0"/>
                <w:spacing w:val="-16"/>
                <w:kern w:val="21"/>
                <w:szCs w:val="21"/>
                <w:lang w:val="en-US" w:eastAsia="zh-CN"/>
              </w:rPr>
            </w:pPr>
            <w:r>
              <w:rPr>
                <w:rFonts w:hint="default" w:ascii="Times New Roman" w:hAnsi="Times New Roman" w:eastAsia="黑体" w:cs="Times New Roman"/>
                <w:snapToGrid w:val="0"/>
                <w:spacing w:val="-16"/>
                <w:kern w:val="21"/>
                <w:szCs w:val="21"/>
                <w:lang w:val="en-US" w:eastAsia="zh-CN"/>
              </w:rPr>
              <w:t>以新带老削减量</w:t>
            </w:r>
          </w:p>
          <w:p w14:paraId="5823F3A1">
            <w:pPr>
              <w:pStyle w:val="42"/>
              <w:spacing w:beforeLines="0" w:afterLines="0" w:line="240" w:lineRule="auto"/>
              <w:rPr>
                <w:rFonts w:hint="default" w:ascii="Times New Roman" w:hAnsi="Times New Roman" w:eastAsia="黑体" w:cs="Times New Roman"/>
                <w:snapToGrid w:val="0"/>
                <w:spacing w:val="-16"/>
                <w:kern w:val="21"/>
                <w:szCs w:val="21"/>
                <w:lang w:val="en-US" w:eastAsia="zh-CN"/>
              </w:rPr>
            </w:pPr>
            <w:r>
              <w:rPr>
                <w:rFonts w:hint="default" w:ascii="Times New Roman" w:hAnsi="Times New Roman" w:eastAsia="黑体" w:cs="Times New Roman"/>
                <w:snapToGrid w:val="0"/>
                <w:spacing w:val="-16"/>
                <w:kern w:val="21"/>
                <w:szCs w:val="21"/>
                <w:lang w:val="en-US" w:eastAsia="zh-CN"/>
              </w:rPr>
              <w:t>（新建项目不填）</w:t>
            </w:r>
            <w:r>
              <w:rPr>
                <w:rFonts w:hint="default" w:ascii="Times New Roman" w:hAnsi="Times New Roman" w:eastAsia="黑体" w:cs="Times New Roman"/>
                <w:snapToGrid w:val="0"/>
                <w:spacing w:val="-16"/>
                <w:kern w:val="21"/>
                <w:szCs w:val="21"/>
                <w:lang w:val="en-US" w:eastAsia="zh-CN"/>
              </w:rPr>
              <w:fldChar w:fldCharType="begin"/>
            </w:r>
            <w:r>
              <w:rPr>
                <w:rFonts w:hint="default" w:ascii="Times New Roman" w:hAnsi="Times New Roman" w:eastAsia="黑体" w:cs="Times New Roman"/>
                <w:snapToGrid w:val="0"/>
                <w:spacing w:val="-16"/>
                <w:kern w:val="21"/>
                <w:szCs w:val="21"/>
                <w:lang w:val="en-US" w:eastAsia="zh-CN"/>
              </w:rPr>
              <w:instrText xml:space="preserve"> = 5 \* GB3 \* MERGEFORMAT </w:instrText>
            </w:r>
            <w:r>
              <w:rPr>
                <w:rFonts w:hint="default" w:ascii="Times New Roman" w:hAnsi="Times New Roman" w:eastAsia="黑体" w:cs="Times New Roman"/>
                <w:snapToGrid w:val="0"/>
                <w:spacing w:val="-16"/>
                <w:kern w:val="21"/>
                <w:szCs w:val="21"/>
                <w:lang w:val="en-US" w:eastAsia="zh-CN"/>
              </w:rPr>
              <w:fldChar w:fldCharType="separate"/>
            </w:r>
            <w:r>
              <w:rPr>
                <w:rFonts w:hint="default" w:ascii="Times New Roman" w:hAnsi="Times New Roman" w:eastAsia="黑体" w:cs="Times New Roman"/>
                <w:kern w:val="2"/>
                <w:szCs w:val="21"/>
                <w:lang w:val="en-US" w:eastAsia="zh-CN"/>
              </w:rPr>
              <w:t>⑤</w:t>
            </w:r>
            <w:r>
              <w:rPr>
                <w:rFonts w:hint="default" w:ascii="Times New Roman" w:hAnsi="Times New Roman" w:eastAsia="黑体" w:cs="Times New Roman"/>
                <w:snapToGrid w:val="0"/>
                <w:spacing w:val="-16"/>
                <w:kern w:val="21"/>
                <w:szCs w:val="21"/>
                <w:lang w:val="en-US" w:eastAsia="zh-CN"/>
              </w:rPr>
              <w:fldChar w:fldCharType="end"/>
            </w:r>
          </w:p>
        </w:tc>
        <w:tc>
          <w:tcPr>
            <w:tcW w:w="1907" w:type="dxa"/>
            <w:noWrap w:val="0"/>
            <w:tcMar>
              <w:left w:w="28" w:type="dxa"/>
              <w:right w:w="28" w:type="dxa"/>
            </w:tcMar>
            <w:vAlign w:val="center"/>
          </w:tcPr>
          <w:p w14:paraId="3A88FB5A">
            <w:pPr>
              <w:pStyle w:val="42"/>
              <w:spacing w:beforeLines="0" w:afterLines="0" w:line="240" w:lineRule="auto"/>
              <w:rPr>
                <w:rFonts w:hint="default" w:ascii="Times New Roman" w:hAnsi="Times New Roman" w:eastAsia="黑体" w:cs="Times New Roman"/>
                <w:snapToGrid w:val="0"/>
                <w:spacing w:val="-16"/>
                <w:kern w:val="21"/>
                <w:szCs w:val="21"/>
                <w:lang w:val="en-US" w:eastAsia="zh-CN"/>
              </w:rPr>
            </w:pPr>
            <w:r>
              <w:rPr>
                <w:rFonts w:hint="default" w:ascii="Times New Roman" w:hAnsi="Times New Roman" w:eastAsia="黑体" w:cs="Times New Roman"/>
                <w:snapToGrid w:val="0"/>
                <w:spacing w:val="-16"/>
                <w:kern w:val="21"/>
                <w:szCs w:val="21"/>
                <w:lang w:val="en-US" w:eastAsia="zh-CN"/>
              </w:rPr>
              <w:t>本项目建成后</w:t>
            </w:r>
          </w:p>
          <w:p w14:paraId="5049E84D">
            <w:pPr>
              <w:pStyle w:val="42"/>
              <w:spacing w:beforeLines="0" w:afterLines="0" w:line="240" w:lineRule="auto"/>
              <w:rPr>
                <w:rFonts w:hint="default" w:ascii="Times New Roman" w:hAnsi="Times New Roman" w:eastAsia="黑体" w:cs="Times New Roman"/>
                <w:snapToGrid w:val="0"/>
                <w:spacing w:val="-16"/>
                <w:kern w:val="21"/>
                <w:szCs w:val="21"/>
                <w:lang w:val="en-US" w:eastAsia="zh-CN"/>
              </w:rPr>
            </w:pPr>
            <w:r>
              <w:rPr>
                <w:rFonts w:hint="default" w:ascii="Times New Roman" w:hAnsi="Times New Roman" w:eastAsia="黑体" w:cs="Times New Roman"/>
                <w:snapToGrid w:val="0"/>
                <w:spacing w:val="-16"/>
                <w:kern w:val="21"/>
                <w:szCs w:val="21"/>
                <w:lang w:val="en-US" w:eastAsia="zh-CN"/>
              </w:rPr>
              <w:t>全厂排放量（固体废物产生量）</w:t>
            </w:r>
            <w:r>
              <w:rPr>
                <w:rFonts w:hint="default" w:ascii="Times New Roman" w:hAnsi="Times New Roman" w:eastAsia="黑体" w:cs="Times New Roman"/>
                <w:snapToGrid w:val="0"/>
                <w:spacing w:val="-16"/>
                <w:kern w:val="21"/>
                <w:szCs w:val="21"/>
                <w:lang w:val="en-US" w:eastAsia="zh-CN"/>
              </w:rPr>
              <w:fldChar w:fldCharType="begin"/>
            </w:r>
            <w:r>
              <w:rPr>
                <w:rFonts w:hint="default" w:ascii="Times New Roman" w:hAnsi="Times New Roman" w:eastAsia="黑体" w:cs="Times New Roman"/>
                <w:snapToGrid w:val="0"/>
                <w:spacing w:val="-16"/>
                <w:kern w:val="21"/>
                <w:szCs w:val="21"/>
                <w:lang w:val="en-US" w:eastAsia="zh-CN"/>
              </w:rPr>
              <w:instrText xml:space="preserve"> = 6 \* GB3 \* MERGEFORMAT </w:instrText>
            </w:r>
            <w:r>
              <w:rPr>
                <w:rFonts w:hint="default" w:ascii="Times New Roman" w:hAnsi="Times New Roman" w:eastAsia="黑体" w:cs="Times New Roman"/>
                <w:snapToGrid w:val="0"/>
                <w:spacing w:val="-16"/>
                <w:kern w:val="21"/>
                <w:szCs w:val="21"/>
                <w:lang w:val="en-US" w:eastAsia="zh-CN"/>
              </w:rPr>
              <w:fldChar w:fldCharType="separate"/>
            </w:r>
            <w:r>
              <w:rPr>
                <w:rFonts w:hint="default" w:ascii="Times New Roman" w:hAnsi="Times New Roman" w:eastAsia="黑体" w:cs="Times New Roman"/>
                <w:kern w:val="2"/>
                <w:szCs w:val="21"/>
                <w:lang w:val="en-US" w:eastAsia="zh-CN"/>
              </w:rPr>
              <w:t>⑥</w:t>
            </w:r>
            <w:r>
              <w:rPr>
                <w:rFonts w:hint="default" w:ascii="Times New Roman" w:hAnsi="Times New Roman" w:eastAsia="黑体" w:cs="Times New Roman"/>
                <w:snapToGrid w:val="0"/>
                <w:spacing w:val="-16"/>
                <w:kern w:val="21"/>
                <w:szCs w:val="21"/>
                <w:lang w:val="en-US" w:eastAsia="zh-CN"/>
              </w:rPr>
              <w:fldChar w:fldCharType="end"/>
            </w:r>
          </w:p>
        </w:tc>
        <w:tc>
          <w:tcPr>
            <w:tcW w:w="1164" w:type="dxa"/>
            <w:noWrap w:val="0"/>
            <w:tcMar>
              <w:left w:w="28" w:type="dxa"/>
              <w:right w:w="28" w:type="dxa"/>
            </w:tcMar>
            <w:vAlign w:val="center"/>
          </w:tcPr>
          <w:p w14:paraId="0180AAE7">
            <w:pPr>
              <w:pStyle w:val="42"/>
              <w:spacing w:beforeLines="0" w:afterLines="0" w:line="240" w:lineRule="auto"/>
              <w:rPr>
                <w:rFonts w:hint="default" w:ascii="Times New Roman" w:hAnsi="Times New Roman" w:eastAsia="黑体" w:cs="Times New Roman"/>
                <w:snapToGrid w:val="0"/>
                <w:spacing w:val="-6"/>
                <w:kern w:val="21"/>
                <w:szCs w:val="21"/>
                <w:lang w:val="en-US" w:eastAsia="zh-CN"/>
              </w:rPr>
            </w:pPr>
            <w:r>
              <w:rPr>
                <w:rFonts w:hint="default" w:ascii="Times New Roman" w:hAnsi="Times New Roman" w:eastAsia="黑体" w:cs="Times New Roman"/>
                <w:snapToGrid w:val="0"/>
                <w:spacing w:val="-6"/>
                <w:kern w:val="21"/>
                <w:szCs w:val="21"/>
                <w:lang w:val="en-US" w:eastAsia="zh-CN"/>
              </w:rPr>
              <w:t>变化量</w:t>
            </w:r>
            <w:r>
              <w:rPr>
                <w:rFonts w:hint="default" w:ascii="Times New Roman" w:hAnsi="Times New Roman" w:eastAsia="黑体" w:cs="Times New Roman"/>
                <w:snapToGrid w:val="0"/>
                <w:spacing w:val="-6"/>
                <w:kern w:val="21"/>
                <w:szCs w:val="21"/>
                <w:lang w:val="en-US" w:eastAsia="zh-CN"/>
              </w:rPr>
              <w:fldChar w:fldCharType="begin"/>
            </w:r>
            <w:r>
              <w:rPr>
                <w:rFonts w:hint="default" w:ascii="Times New Roman" w:hAnsi="Times New Roman" w:eastAsia="黑体" w:cs="Times New Roman"/>
                <w:snapToGrid w:val="0"/>
                <w:spacing w:val="-6"/>
                <w:kern w:val="21"/>
                <w:szCs w:val="21"/>
                <w:lang w:val="en-US" w:eastAsia="zh-CN"/>
              </w:rPr>
              <w:instrText xml:space="preserve"> = 7 \* GB3 \* MERGEFORMAT </w:instrText>
            </w:r>
            <w:r>
              <w:rPr>
                <w:rFonts w:hint="default" w:ascii="Times New Roman" w:hAnsi="Times New Roman" w:eastAsia="黑体" w:cs="Times New Roman"/>
                <w:snapToGrid w:val="0"/>
                <w:spacing w:val="-6"/>
                <w:kern w:val="21"/>
                <w:szCs w:val="21"/>
                <w:lang w:val="en-US" w:eastAsia="zh-CN"/>
              </w:rPr>
              <w:fldChar w:fldCharType="separate"/>
            </w:r>
            <w:r>
              <w:rPr>
                <w:rFonts w:hint="default" w:ascii="Times New Roman" w:hAnsi="Times New Roman" w:eastAsia="黑体" w:cs="Times New Roman"/>
                <w:kern w:val="2"/>
                <w:szCs w:val="21"/>
                <w:lang w:val="en-US" w:eastAsia="zh-CN"/>
              </w:rPr>
              <w:t>⑦</w:t>
            </w:r>
            <w:r>
              <w:rPr>
                <w:rFonts w:hint="default" w:ascii="Times New Roman" w:hAnsi="Times New Roman" w:eastAsia="黑体" w:cs="Times New Roman"/>
                <w:snapToGrid w:val="0"/>
                <w:spacing w:val="-6"/>
                <w:kern w:val="21"/>
                <w:szCs w:val="21"/>
                <w:lang w:val="en-US" w:eastAsia="zh-CN"/>
              </w:rPr>
              <w:fldChar w:fldCharType="end"/>
            </w:r>
          </w:p>
        </w:tc>
      </w:tr>
      <w:tr w14:paraId="6FB6BF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1256" w:type="dxa"/>
            <w:vMerge w:val="restart"/>
            <w:noWrap w:val="0"/>
            <w:vAlign w:val="center"/>
          </w:tcPr>
          <w:p w14:paraId="164137AB">
            <w:pPr>
              <w:pStyle w:val="42"/>
              <w:spacing w:beforeLines="0" w:afterLines="0" w:line="240" w:lineRule="auto"/>
              <w:rPr>
                <w:rFonts w:hint="default" w:ascii="Times New Roman" w:hAnsi="Times New Roman" w:cs="Times New Roman"/>
                <w:snapToGrid w:val="0"/>
                <w:kern w:val="21"/>
                <w:szCs w:val="21"/>
                <w:lang w:val="en-US" w:eastAsia="zh-CN"/>
              </w:rPr>
            </w:pPr>
            <w:r>
              <w:rPr>
                <w:rFonts w:hint="default" w:ascii="Times New Roman" w:hAnsi="Times New Roman" w:cs="Times New Roman"/>
                <w:snapToGrid w:val="0"/>
                <w:kern w:val="21"/>
                <w:szCs w:val="21"/>
                <w:lang w:val="en-US" w:eastAsia="zh-CN"/>
              </w:rPr>
              <w:t>废气</w:t>
            </w:r>
          </w:p>
        </w:tc>
        <w:tc>
          <w:tcPr>
            <w:tcW w:w="1865" w:type="dxa"/>
            <w:noWrap w:val="0"/>
            <w:vAlign w:val="center"/>
          </w:tcPr>
          <w:p w14:paraId="6FEEBE7D">
            <w:pPr>
              <w:pStyle w:val="42"/>
              <w:spacing w:beforeLines="0" w:afterLines="0" w:line="240" w:lineRule="auto"/>
              <w:rPr>
                <w:rFonts w:hint="default" w:ascii="Times New Roman" w:hAnsi="Times New Roman" w:eastAsia="宋体" w:cs="Times New Roman"/>
                <w:snapToGrid w:val="0"/>
                <w:kern w:val="21"/>
                <w:szCs w:val="21"/>
                <w:highlight w:val="none"/>
                <w:lang w:val="en-US" w:eastAsia="zh-CN"/>
              </w:rPr>
            </w:pPr>
            <w:r>
              <w:rPr>
                <w:rFonts w:hint="default" w:ascii="Times New Roman" w:hAnsi="Times New Roman" w:eastAsia="宋体" w:cs="Times New Roman"/>
                <w:snapToGrid w:val="0"/>
                <w:kern w:val="21"/>
                <w:szCs w:val="21"/>
                <w:highlight w:val="none"/>
                <w:lang w:val="en-US" w:eastAsia="zh-CN"/>
              </w:rPr>
              <w:t>颗粒物</w:t>
            </w:r>
          </w:p>
          <w:p w14:paraId="16354BE4">
            <w:pPr>
              <w:pStyle w:val="42"/>
              <w:spacing w:beforeLines="0" w:afterLines="0" w:line="240" w:lineRule="auto"/>
              <w:rPr>
                <w:rFonts w:hint="default" w:ascii="Times New Roman" w:hAnsi="Times New Roman" w:cs="Times New Roman"/>
                <w:snapToGrid w:val="0"/>
                <w:kern w:val="21"/>
                <w:szCs w:val="21"/>
                <w:highlight w:val="none"/>
                <w:lang w:val="en-US" w:eastAsia="zh-CN"/>
              </w:rPr>
            </w:pPr>
            <w:r>
              <w:rPr>
                <w:rFonts w:hint="default" w:ascii="Times New Roman" w:hAnsi="Times New Roman" w:eastAsia="宋体" w:cs="Times New Roman"/>
                <w:snapToGrid w:val="0"/>
                <w:kern w:val="21"/>
                <w:szCs w:val="21"/>
                <w:highlight w:val="none"/>
                <w:lang w:val="en-US" w:eastAsia="zh-CN"/>
              </w:rPr>
              <w:t>（有组织）</w:t>
            </w:r>
          </w:p>
        </w:tc>
        <w:tc>
          <w:tcPr>
            <w:tcW w:w="1456" w:type="dxa"/>
            <w:noWrap w:val="0"/>
            <w:vAlign w:val="center"/>
          </w:tcPr>
          <w:p w14:paraId="4E246F1C">
            <w:pPr>
              <w:pStyle w:val="42"/>
              <w:spacing w:beforeLines="0" w:afterLines="0" w:line="240" w:lineRule="auto"/>
              <w:rPr>
                <w:rFonts w:hint="default" w:ascii="Times New Roman" w:hAnsi="Times New Roman" w:cs="Times New Roman"/>
                <w:snapToGrid w:val="0"/>
                <w:kern w:val="21"/>
                <w:szCs w:val="21"/>
                <w:highlight w:val="yellow"/>
                <w:lang w:val="en-US" w:eastAsia="zh-CN"/>
              </w:rPr>
            </w:pPr>
          </w:p>
        </w:tc>
        <w:tc>
          <w:tcPr>
            <w:tcW w:w="1241" w:type="dxa"/>
            <w:noWrap w:val="0"/>
            <w:vAlign w:val="center"/>
          </w:tcPr>
          <w:p w14:paraId="01AC24D1">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587402FC">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6126E2C6">
            <w:pPr>
              <w:jc w:val="center"/>
              <w:rPr>
                <w:rFonts w:hint="default" w:ascii="Times New Roman" w:hAnsi="Times New Roman" w:eastAsia="宋体" w:cs="Times New Roman"/>
                <w:lang w:val="en-US" w:eastAsia="zh-CN"/>
              </w:rPr>
            </w:pPr>
            <w:r>
              <w:rPr>
                <w:rFonts w:hint="eastAsia" w:cs="Times New Roman"/>
                <w:snapToGrid w:val="0"/>
                <w:kern w:val="21"/>
                <w:szCs w:val="21"/>
                <w:lang w:val="en-US" w:eastAsia="zh-CN"/>
              </w:rPr>
              <w:t>0.53</w:t>
            </w:r>
            <w:r>
              <w:rPr>
                <w:rFonts w:hint="default" w:ascii="Times New Roman" w:hAnsi="Times New Roman" w:cs="Times New Roman"/>
                <w:snapToGrid w:val="0"/>
                <w:kern w:val="21"/>
                <w:szCs w:val="21"/>
                <w:lang w:val="en-US" w:eastAsia="zh-CN"/>
              </w:rPr>
              <w:t>t/a</w:t>
            </w:r>
          </w:p>
        </w:tc>
        <w:tc>
          <w:tcPr>
            <w:tcW w:w="1714" w:type="dxa"/>
            <w:noWrap w:val="0"/>
            <w:vAlign w:val="center"/>
          </w:tcPr>
          <w:p w14:paraId="7C34660B">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055167DD">
            <w:pPr>
              <w:jc w:val="center"/>
              <w:rPr>
                <w:rFonts w:hint="default" w:ascii="Times New Roman" w:hAnsi="Times New Roman" w:cs="Times New Roman"/>
              </w:rPr>
            </w:pPr>
            <w:r>
              <w:rPr>
                <w:rFonts w:hint="eastAsia" w:cs="Times New Roman"/>
                <w:snapToGrid w:val="0"/>
                <w:kern w:val="21"/>
                <w:szCs w:val="21"/>
                <w:lang w:val="en-US" w:eastAsia="zh-CN"/>
              </w:rPr>
              <w:t>0.53</w:t>
            </w:r>
            <w:r>
              <w:rPr>
                <w:rFonts w:hint="default" w:ascii="Times New Roman" w:hAnsi="Times New Roman" w:cs="Times New Roman"/>
                <w:snapToGrid w:val="0"/>
                <w:kern w:val="21"/>
                <w:szCs w:val="21"/>
                <w:lang w:val="en-US" w:eastAsia="zh-CN"/>
              </w:rPr>
              <w:t>t/a</w:t>
            </w:r>
          </w:p>
        </w:tc>
        <w:tc>
          <w:tcPr>
            <w:tcW w:w="1164" w:type="dxa"/>
            <w:noWrap w:val="0"/>
            <w:vAlign w:val="center"/>
          </w:tcPr>
          <w:p w14:paraId="220CCBEA">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napToGrid w:val="0"/>
                <w:kern w:val="21"/>
                <w:szCs w:val="21"/>
                <w:lang w:val="en-US" w:eastAsia="zh-CN"/>
              </w:rPr>
              <w:t>+</w:t>
            </w:r>
            <w:r>
              <w:rPr>
                <w:rFonts w:hint="eastAsia" w:cs="Times New Roman"/>
                <w:snapToGrid w:val="0"/>
                <w:kern w:val="21"/>
                <w:szCs w:val="21"/>
                <w:lang w:val="en-US" w:eastAsia="zh-CN"/>
              </w:rPr>
              <w:t>0.53</w:t>
            </w:r>
            <w:r>
              <w:rPr>
                <w:rFonts w:hint="default" w:ascii="Times New Roman" w:hAnsi="Times New Roman" w:cs="Times New Roman"/>
                <w:snapToGrid w:val="0"/>
                <w:kern w:val="21"/>
                <w:szCs w:val="21"/>
                <w:lang w:val="en-US" w:eastAsia="zh-CN"/>
              </w:rPr>
              <w:t>t/a</w:t>
            </w:r>
          </w:p>
        </w:tc>
      </w:tr>
      <w:tr w14:paraId="69F9BC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1256" w:type="dxa"/>
            <w:vMerge w:val="continue"/>
            <w:noWrap w:val="0"/>
            <w:vAlign w:val="center"/>
          </w:tcPr>
          <w:p w14:paraId="5F0EB2CA">
            <w:pPr>
              <w:pStyle w:val="42"/>
              <w:spacing w:beforeLines="0" w:afterLines="0" w:line="240" w:lineRule="auto"/>
              <w:rPr>
                <w:rFonts w:hint="default" w:ascii="Times New Roman" w:hAnsi="Times New Roman" w:cs="Times New Roman"/>
                <w:snapToGrid w:val="0"/>
                <w:kern w:val="21"/>
                <w:szCs w:val="21"/>
                <w:lang w:val="en-US" w:eastAsia="zh-CN"/>
              </w:rPr>
            </w:pPr>
          </w:p>
        </w:tc>
        <w:tc>
          <w:tcPr>
            <w:tcW w:w="1865" w:type="dxa"/>
            <w:noWrap w:val="0"/>
            <w:vAlign w:val="center"/>
          </w:tcPr>
          <w:p w14:paraId="79B02550">
            <w:pPr>
              <w:pStyle w:val="42"/>
              <w:spacing w:beforeLines="0" w:afterLines="0" w:line="240" w:lineRule="auto"/>
              <w:rPr>
                <w:rFonts w:hint="default" w:ascii="Times New Roman" w:hAnsi="Times New Roman" w:eastAsia="宋体" w:cs="Times New Roman"/>
                <w:snapToGrid w:val="0"/>
                <w:kern w:val="21"/>
                <w:szCs w:val="21"/>
                <w:highlight w:val="none"/>
                <w:lang w:val="en-US" w:eastAsia="zh-CN"/>
              </w:rPr>
            </w:pPr>
            <w:r>
              <w:rPr>
                <w:rFonts w:hint="default" w:ascii="Times New Roman" w:hAnsi="Times New Roman" w:eastAsia="宋体" w:cs="Times New Roman"/>
                <w:snapToGrid w:val="0"/>
                <w:kern w:val="21"/>
                <w:szCs w:val="21"/>
                <w:highlight w:val="none"/>
                <w:lang w:val="en-US" w:eastAsia="zh-CN"/>
              </w:rPr>
              <w:t>颗粒物</w:t>
            </w:r>
          </w:p>
          <w:p w14:paraId="64078EE7">
            <w:pPr>
              <w:pStyle w:val="42"/>
              <w:spacing w:beforeLines="0" w:afterLines="0" w:line="240" w:lineRule="auto"/>
              <w:rPr>
                <w:rFonts w:hint="default" w:ascii="Times New Roman" w:hAnsi="Times New Roman" w:cs="Times New Roman"/>
                <w:snapToGrid w:val="0"/>
                <w:kern w:val="21"/>
                <w:szCs w:val="21"/>
                <w:highlight w:val="none"/>
                <w:lang w:val="en-US" w:eastAsia="zh-CN"/>
              </w:rPr>
            </w:pPr>
            <w:r>
              <w:rPr>
                <w:rFonts w:hint="default" w:ascii="Times New Roman" w:hAnsi="Times New Roman" w:eastAsia="宋体" w:cs="Times New Roman"/>
                <w:snapToGrid w:val="0"/>
                <w:kern w:val="21"/>
                <w:szCs w:val="21"/>
                <w:highlight w:val="none"/>
                <w:lang w:val="en-US" w:eastAsia="zh-CN"/>
              </w:rPr>
              <w:t>（无组织）</w:t>
            </w:r>
          </w:p>
        </w:tc>
        <w:tc>
          <w:tcPr>
            <w:tcW w:w="1456" w:type="dxa"/>
            <w:noWrap w:val="0"/>
            <w:vAlign w:val="center"/>
          </w:tcPr>
          <w:p w14:paraId="762A556F">
            <w:pPr>
              <w:pStyle w:val="42"/>
              <w:spacing w:beforeLines="0" w:afterLines="0" w:line="240" w:lineRule="auto"/>
              <w:rPr>
                <w:rFonts w:hint="default" w:ascii="Times New Roman" w:hAnsi="Times New Roman" w:cs="Times New Roman"/>
                <w:snapToGrid w:val="0"/>
                <w:kern w:val="21"/>
                <w:szCs w:val="21"/>
                <w:highlight w:val="yellow"/>
                <w:lang w:val="en-US" w:eastAsia="zh-CN"/>
              </w:rPr>
            </w:pPr>
          </w:p>
        </w:tc>
        <w:tc>
          <w:tcPr>
            <w:tcW w:w="1241" w:type="dxa"/>
            <w:noWrap w:val="0"/>
            <w:vAlign w:val="center"/>
          </w:tcPr>
          <w:p w14:paraId="594B22C4">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0FD48CEF">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3DC3278D">
            <w:pPr>
              <w:jc w:val="center"/>
              <w:rPr>
                <w:rFonts w:hint="default" w:ascii="Times New Roman" w:hAnsi="Times New Roman" w:cs="Times New Roman"/>
                <w:kern w:val="0"/>
                <w:lang w:val="en-US" w:eastAsia="zh-CN"/>
              </w:rPr>
            </w:pPr>
            <w:r>
              <w:rPr>
                <w:rFonts w:hint="eastAsia" w:cs="Times New Roman"/>
                <w:snapToGrid w:val="0"/>
                <w:kern w:val="21"/>
                <w:szCs w:val="21"/>
                <w:lang w:val="en-US" w:eastAsia="zh-CN"/>
              </w:rPr>
              <w:t>0.335</w:t>
            </w:r>
            <w:r>
              <w:rPr>
                <w:rFonts w:hint="default" w:ascii="Times New Roman" w:hAnsi="Times New Roman" w:cs="Times New Roman"/>
                <w:snapToGrid w:val="0"/>
                <w:kern w:val="21"/>
                <w:szCs w:val="21"/>
                <w:lang w:val="en-US" w:eastAsia="zh-CN"/>
              </w:rPr>
              <w:t>t/a</w:t>
            </w:r>
          </w:p>
        </w:tc>
        <w:tc>
          <w:tcPr>
            <w:tcW w:w="1714" w:type="dxa"/>
            <w:noWrap w:val="0"/>
            <w:vAlign w:val="center"/>
          </w:tcPr>
          <w:p w14:paraId="760A2B00">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38A060C0">
            <w:pPr>
              <w:jc w:val="center"/>
              <w:rPr>
                <w:rFonts w:hint="default" w:ascii="Times New Roman" w:hAnsi="Times New Roman" w:cs="Times New Roman"/>
                <w:kern w:val="0"/>
              </w:rPr>
            </w:pPr>
            <w:r>
              <w:rPr>
                <w:rFonts w:hint="eastAsia" w:cs="Times New Roman"/>
                <w:snapToGrid w:val="0"/>
                <w:kern w:val="21"/>
                <w:szCs w:val="21"/>
                <w:lang w:val="en-US" w:eastAsia="zh-CN"/>
              </w:rPr>
              <w:t>0.335</w:t>
            </w:r>
            <w:r>
              <w:rPr>
                <w:rFonts w:hint="default" w:ascii="Times New Roman" w:hAnsi="Times New Roman" w:cs="Times New Roman"/>
                <w:snapToGrid w:val="0"/>
                <w:kern w:val="21"/>
                <w:szCs w:val="21"/>
                <w:lang w:val="en-US" w:eastAsia="zh-CN"/>
              </w:rPr>
              <w:t>t/a</w:t>
            </w:r>
          </w:p>
        </w:tc>
        <w:tc>
          <w:tcPr>
            <w:tcW w:w="1164" w:type="dxa"/>
            <w:noWrap w:val="0"/>
            <w:vAlign w:val="center"/>
          </w:tcPr>
          <w:p w14:paraId="06DBCACC">
            <w:pPr>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napToGrid w:val="0"/>
                <w:kern w:val="21"/>
                <w:szCs w:val="21"/>
                <w:lang w:val="en-US" w:eastAsia="zh-CN"/>
              </w:rPr>
              <w:t>+</w:t>
            </w:r>
            <w:r>
              <w:rPr>
                <w:rFonts w:hint="eastAsia" w:cs="Times New Roman"/>
                <w:snapToGrid w:val="0"/>
                <w:kern w:val="21"/>
                <w:szCs w:val="21"/>
                <w:lang w:val="en-US" w:eastAsia="zh-CN"/>
              </w:rPr>
              <w:t>0.335</w:t>
            </w:r>
            <w:r>
              <w:rPr>
                <w:rFonts w:hint="default" w:ascii="Times New Roman" w:hAnsi="Times New Roman" w:cs="Times New Roman"/>
                <w:snapToGrid w:val="0"/>
                <w:kern w:val="21"/>
                <w:szCs w:val="21"/>
                <w:lang w:val="en-US" w:eastAsia="zh-CN"/>
              </w:rPr>
              <w:t>t/a</w:t>
            </w:r>
          </w:p>
        </w:tc>
      </w:tr>
      <w:tr w14:paraId="4C39FF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restart"/>
            <w:noWrap w:val="0"/>
            <w:vAlign w:val="center"/>
          </w:tcPr>
          <w:p w14:paraId="281E84A7">
            <w:pPr>
              <w:pStyle w:val="42"/>
              <w:spacing w:beforeLines="0" w:afterLines="0" w:line="240" w:lineRule="auto"/>
              <w:rPr>
                <w:rFonts w:hint="default" w:ascii="Times New Roman" w:hAnsi="Times New Roman" w:cs="Times New Roman"/>
                <w:snapToGrid w:val="0"/>
                <w:kern w:val="21"/>
                <w:szCs w:val="21"/>
                <w:lang w:val="en-US" w:eastAsia="zh-CN"/>
              </w:rPr>
            </w:pPr>
            <w:r>
              <w:rPr>
                <w:rFonts w:hint="eastAsia" w:ascii="Times New Roman" w:hAnsi="Times New Roman" w:cs="Times New Roman"/>
                <w:snapToGrid w:val="0"/>
                <w:kern w:val="21"/>
                <w:szCs w:val="21"/>
                <w:lang w:val="en-US" w:eastAsia="zh-CN"/>
              </w:rPr>
              <w:t>废水</w:t>
            </w:r>
          </w:p>
        </w:tc>
        <w:tc>
          <w:tcPr>
            <w:tcW w:w="1865" w:type="dxa"/>
            <w:noWrap w:val="0"/>
            <w:vAlign w:val="center"/>
          </w:tcPr>
          <w:p w14:paraId="01CD04AF">
            <w:pPr>
              <w:pStyle w:val="42"/>
              <w:spacing w:beforeLines="0" w:afterLines="0" w:line="240" w:lineRule="auto"/>
              <w:rPr>
                <w:rFonts w:hint="default" w:ascii="Times New Roman" w:hAnsi="Times New Roman" w:cs="Times New Roman"/>
                <w:snapToGrid w:val="0"/>
                <w:kern w:val="21"/>
                <w:szCs w:val="21"/>
                <w:lang w:val="en-US" w:eastAsia="zh-CN"/>
              </w:rPr>
            </w:pPr>
            <w:r>
              <w:rPr>
                <w:rFonts w:hint="default" w:ascii="Times New Roman" w:hAnsi="Times New Roman" w:cs="Times New Roman"/>
                <w:snapToGrid w:val="0"/>
                <w:kern w:val="21"/>
                <w:szCs w:val="21"/>
                <w:lang w:val="en-US" w:eastAsia="zh-CN"/>
              </w:rPr>
              <w:t>COD</w:t>
            </w:r>
          </w:p>
        </w:tc>
        <w:tc>
          <w:tcPr>
            <w:tcW w:w="1456" w:type="dxa"/>
            <w:noWrap w:val="0"/>
            <w:vAlign w:val="center"/>
          </w:tcPr>
          <w:p w14:paraId="19EE3699">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4BCD4247">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658E22D3">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7C855C54">
            <w:pPr>
              <w:pStyle w:val="42"/>
              <w:spacing w:beforeLines="0" w:afterLines="0" w:line="240" w:lineRule="auto"/>
              <w:rPr>
                <w:rFonts w:hint="default" w:ascii="Times New Roman" w:hAnsi="Times New Roman" w:cs="Times New Roman"/>
                <w:snapToGrid w:val="0"/>
                <w:kern w:val="21"/>
                <w:szCs w:val="21"/>
                <w:lang w:val="en-US" w:eastAsia="zh-CN"/>
              </w:rPr>
            </w:pPr>
            <w:r>
              <w:rPr>
                <w:rFonts w:hint="eastAsia" w:ascii="Times New Roman" w:cs="Times New Roman"/>
                <w:snapToGrid w:val="0"/>
                <w:kern w:val="21"/>
                <w:szCs w:val="21"/>
                <w:lang w:val="en-US" w:eastAsia="zh-CN"/>
              </w:rPr>
              <w:t>0</w:t>
            </w:r>
            <w:r>
              <w:rPr>
                <w:rFonts w:hint="default" w:ascii="Times New Roman" w:hAnsi="Times New Roman" w:cs="Times New Roman"/>
                <w:snapToGrid w:val="0"/>
                <w:kern w:val="21"/>
                <w:szCs w:val="21"/>
                <w:lang w:val="en-US" w:eastAsia="zh-CN"/>
              </w:rPr>
              <w:t>t/a</w:t>
            </w:r>
          </w:p>
        </w:tc>
        <w:tc>
          <w:tcPr>
            <w:tcW w:w="1714" w:type="dxa"/>
            <w:noWrap w:val="0"/>
            <w:vAlign w:val="center"/>
          </w:tcPr>
          <w:p w14:paraId="214F390B">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4F065BBE">
            <w:pPr>
              <w:pStyle w:val="42"/>
              <w:spacing w:beforeLines="0" w:afterLines="0" w:line="240" w:lineRule="auto"/>
              <w:rPr>
                <w:rFonts w:hint="default" w:ascii="Times New Roman" w:hAnsi="Times New Roman" w:cs="Times New Roman"/>
                <w:snapToGrid w:val="0"/>
                <w:kern w:val="21"/>
                <w:szCs w:val="21"/>
                <w:lang w:val="en-US" w:eastAsia="zh-CN"/>
              </w:rPr>
            </w:pPr>
            <w:r>
              <w:rPr>
                <w:rFonts w:hint="eastAsia" w:ascii="Times New Roman" w:cs="Times New Roman"/>
                <w:snapToGrid w:val="0"/>
                <w:kern w:val="21"/>
                <w:szCs w:val="21"/>
                <w:lang w:val="en-US" w:eastAsia="zh-CN"/>
              </w:rPr>
              <w:t>0</w:t>
            </w:r>
            <w:r>
              <w:rPr>
                <w:rFonts w:hint="default" w:ascii="Times New Roman" w:hAnsi="Times New Roman" w:cs="Times New Roman"/>
                <w:snapToGrid w:val="0"/>
                <w:kern w:val="21"/>
                <w:szCs w:val="21"/>
                <w:lang w:val="en-US" w:eastAsia="zh-CN"/>
              </w:rPr>
              <w:t>t/a</w:t>
            </w:r>
          </w:p>
        </w:tc>
        <w:tc>
          <w:tcPr>
            <w:tcW w:w="1164" w:type="dxa"/>
            <w:noWrap w:val="0"/>
            <w:vAlign w:val="center"/>
          </w:tcPr>
          <w:p w14:paraId="1D946661">
            <w:pPr>
              <w:pStyle w:val="42"/>
              <w:spacing w:beforeLines="0" w:afterLines="0" w:line="240" w:lineRule="auto"/>
              <w:rPr>
                <w:rFonts w:hint="default" w:ascii="Times New Roman" w:hAnsi="Times New Roman" w:cs="Times New Roman"/>
                <w:snapToGrid w:val="0"/>
                <w:kern w:val="21"/>
                <w:szCs w:val="21"/>
                <w:lang w:val="en-US" w:eastAsia="zh-CN"/>
              </w:rPr>
            </w:pPr>
            <w:r>
              <w:rPr>
                <w:rFonts w:hint="eastAsia" w:ascii="Times New Roman" w:cs="Times New Roman"/>
                <w:snapToGrid w:val="0"/>
                <w:kern w:val="21"/>
                <w:szCs w:val="21"/>
                <w:lang w:val="en-US" w:eastAsia="zh-CN"/>
              </w:rPr>
              <w:t>+0</w:t>
            </w:r>
            <w:r>
              <w:rPr>
                <w:rFonts w:hint="default" w:ascii="Times New Roman" w:hAnsi="Times New Roman" w:cs="Times New Roman"/>
                <w:snapToGrid w:val="0"/>
                <w:kern w:val="21"/>
                <w:szCs w:val="21"/>
                <w:lang w:val="en-US" w:eastAsia="zh-CN"/>
              </w:rPr>
              <w:t>t/a</w:t>
            </w:r>
          </w:p>
        </w:tc>
      </w:tr>
      <w:tr w14:paraId="0BC45B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40FAF68E">
            <w:pPr>
              <w:pStyle w:val="42"/>
              <w:spacing w:beforeLines="0" w:afterLines="0" w:line="240" w:lineRule="auto"/>
              <w:rPr>
                <w:rFonts w:hint="default" w:ascii="Times New Roman" w:hAnsi="Times New Roman" w:cs="Times New Roman"/>
                <w:snapToGrid w:val="0"/>
                <w:kern w:val="21"/>
                <w:szCs w:val="21"/>
                <w:lang w:val="en-US" w:eastAsia="zh-CN"/>
              </w:rPr>
            </w:pPr>
          </w:p>
        </w:tc>
        <w:tc>
          <w:tcPr>
            <w:tcW w:w="1865" w:type="dxa"/>
            <w:noWrap w:val="0"/>
            <w:vAlign w:val="center"/>
          </w:tcPr>
          <w:p w14:paraId="432BB48F">
            <w:pPr>
              <w:pStyle w:val="42"/>
              <w:spacing w:beforeLines="0" w:afterLines="0" w:line="240" w:lineRule="auto"/>
              <w:rPr>
                <w:rFonts w:hint="default" w:ascii="Times New Roman" w:hAnsi="Times New Roman" w:cs="Times New Roman"/>
                <w:snapToGrid w:val="0"/>
                <w:kern w:val="21"/>
                <w:szCs w:val="21"/>
                <w:lang w:val="en-US" w:eastAsia="zh-CN"/>
              </w:rPr>
            </w:pPr>
            <w:r>
              <w:rPr>
                <w:rFonts w:hint="default" w:ascii="Times New Roman" w:hAnsi="Times New Roman" w:cs="Times New Roman"/>
                <w:snapToGrid w:val="0"/>
                <w:kern w:val="21"/>
                <w:szCs w:val="21"/>
                <w:lang w:val="en-US" w:eastAsia="zh-CN"/>
              </w:rPr>
              <w:t>氨氮</w:t>
            </w:r>
          </w:p>
        </w:tc>
        <w:tc>
          <w:tcPr>
            <w:tcW w:w="1456" w:type="dxa"/>
            <w:noWrap w:val="0"/>
            <w:vAlign w:val="center"/>
          </w:tcPr>
          <w:p w14:paraId="4F0C347D">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1E167E1A">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281C3915">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07567A4B">
            <w:pPr>
              <w:pStyle w:val="42"/>
              <w:spacing w:beforeLines="0" w:afterLines="0" w:line="240" w:lineRule="auto"/>
              <w:rPr>
                <w:rFonts w:hint="default" w:ascii="Times New Roman" w:hAnsi="Times New Roman" w:cs="Times New Roman"/>
                <w:snapToGrid w:val="0"/>
                <w:kern w:val="21"/>
                <w:szCs w:val="21"/>
                <w:lang w:val="en-US" w:eastAsia="zh-CN"/>
              </w:rPr>
            </w:pPr>
            <w:r>
              <w:rPr>
                <w:rFonts w:hint="eastAsia" w:ascii="Times New Roman" w:cs="Times New Roman"/>
                <w:snapToGrid w:val="0"/>
                <w:kern w:val="21"/>
                <w:szCs w:val="21"/>
                <w:lang w:val="en-US" w:eastAsia="zh-CN"/>
              </w:rPr>
              <w:t>0</w:t>
            </w:r>
            <w:r>
              <w:rPr>
                <w:rFonts w:hint="default" w:ascii="Times New Roman" w:hAnsi="Times New Roman" w:cs="Times New Roman"/>
                <w:snapToGrid w:val="0"/>
                <w:kern w:val="21"/>
                <w:szCs w:val="21"/>
                <w:lang w:val="en-US" w:eastAsia="zh-CN"/>
              </w:rPr>
              <w:t>t/a</w:t>
            </w:r>
          </w:p>
        </w:tc>
        <w:tc>
          <w:tcPr>
            <w:tcW w:w="1714" w:type="dxa"/>
            <w:noWrap w:val="0"/>
            <w:vAlign w:val="center"/>
          </w:tcPr>
          <w:p w14:paraId="6413111C">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75BE4711">
            <w:pPr>
              <w:pStyle w:val="42"/>
              <w:spacing w:beforeLines="0" w:afterLines="0" w:line="240" w:lineRule="auto"/>
              <w:rPr>
                <w:rFonts w:hint="default" w:ascii="Times New Roman" w:hAnsi="Times New Roman" w:cs="Times New Roman"/>
                <w:snapToGrid w:val="0"/>
                <w:kern w:val="21"/>
                <w:szCs w:val="21"/>
                <w:lang w:val="en-US" w:eastAsia="zh-CN"/>
              </w:rPr>
            </w:pPr>
            <w:r>
              <w:rPr>
                <w:rFonts w:hint="eastAsia" w:ascii="Times New Roman" w:cs="Times New Roman"/>
                <w:snapToGrid w:val="0"/>
                <w:kern w:val="21"/>
                <w:szCs w:val="21"/>
                <w:lang w:val="en-US" w:eastAsia="zh-CN"/>
              </w:rPr>
              <w:t>0</w:t>
            </w:r>
            <w:r>
              <w:rPr>
                <w:rFonts w:hint="default" w:ascii="Times New Roman" w:hAnsi="Times New Roman" w:cs="Times New Roman"/>
                <w:snapToGrid w:val="0"/>
                <w:kern w:val="21"/>
                <w:szCs w:val="21"/>
                <w:lang w:val="en-US" w:eastAsia="zh-CN"/>
              </w:rPr>
              <w:t>t/a</w:t>
            </w:r>
          </w:p>
        </w:tc>
        <w:tc>
          <w:tcPr>
            <w:tcW w:w="1164" w:type="dxa"/>
            <w:noWrap w:val="0"/>
            <w:vAlign w:val="center"/>
          </w:tcPr>
          <w:p w14:paraId="24805649">
            <w:pPr>
              <w:pStyle w:val="42"/>
              <w:spacing w:beforeLines="0" w:afterLines="0" w:line="240" w:lineRule="auto"/>
              <w:rPr>
                <w:rFonts w:hint="default" w:ascii="Times New Roman" w:hAnsi="Times New Roman" w:cs="Times New Roman"/>
                <w:snapToGrid w:val="0"/>
                <w:kern w:val="21"/>
                <w:szCs w:val="21"/>
                <w:lang w:val="en-US" w:eastAsia="zh-CN"/>
              </w:rPr>
            </w:pPr>
            <w:r>
              <w:rPr>
                <w:rFonts w:hint="eastAsia" w:ascii="Times New Roman" w:cs="Times New Roman"/>
                <w:snapToGrid w:val="0"/>
                <w:kern w:val="21"/>
                <w:szCs w:val="21"/>
                <w:lang w:val="en-US" w:eastAsia="zh-CN"/>
              </w:rPr>
              <w:t>+0</w:t>
            </w:r>
            <w:r>
              <w:rPr>
                <w:rFonts w:hint="default" w:ascii="Times New Roman" w:hAnsi="Times New Roman" w:cs="Times New Roman"/>
                <w:snapToGrid w:val="0"/>
                <w:kern w:val="21"/>
                <w:szCs w:val="21"/>
                <w:lang w:val="en-US" w:eastAsia="zh-CN"/>
              </w:rPr>
              <w:t>t/a</w:t>
            </w:r>
          </w:p>
        </w:tc>
      </w:tr>
      <w:tr w14:paraId="6D65D4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restart"/>
            <w:noWrap w:val="0"/>
            <w:vAlign w:val="center"/>
          </w:tcPr>
          <w:p w14:paraId="61F45595">
            <w:pPr>
              <w:pStyle w:val="42"/>
              <w:spacing w:beforeLines="0" w:afterLines="0" w:line="240" w:lineRule="auto"/>
              <w:rPr>
                <w:rFonts w:hint="default" w:ascii="Times New Roman" w:hAnsi="Times New Roman" w:cs="Times New Roman"/>
                <w:snapToGrid w:val="0"/>
                <w:kern w:val="21"/>
                <w:szCs w:val="21"/>
                <w:lang w:val="en-US" w:eastAsia="zh-CN"/>
              </w:rPr>
            </w:pPr>
            <w:r>
              <w:rPr>
                <w:rFonts w:hint="default" w:ascii="Times New Roman" w:hAnsi="Times New Roman" w:cs="Times New Roman"/>
                <w:snapToGrid w:val="0"/>
                <w:kern w:val="21"/>
                <w:szCs w:val="21"/>
                <w:lang w:val="en-US" w:eastAsia="zh-CN"/>
              </w:rPr>
              <w:t>一般工业</w:t>
            </w:r>
          </w:p>
          <w:p w14:paraId="4AB5CFE6">
            <w:pPr>
              <w:pStyle w:val="42"/>
              <w:spacing w:beforeLines="0" w:afterLines="0" w:line="240" w:lineRule="auto"/>
              <w:rPr>
                <w:rFonts w:hint="default" w:ascii="Times New Roman" w:hAnsi="Times New Roman" w:cs="Times New Roman"/>
                <w:snapToGrid w:val="0"/>
                <w:kern w:val="21"/>
                <w:szCs w:val="21"/>
                <w:lang w:val="en-US" w:eastAsia="zh-CN"/>
              </w:rPr>
            </w:pPr>
            <w:r>
              <w:rPr>
                <w:rFonts w:hint="default" w:ascii="Times New Roman" w:hAnsi="Times New Roman" w:cs="Times New Roman"/>
                <w:snapToGrid w:val="0"/>
                <w:kern w:val="21"/>
                <w:szCs w:val="21"/>
                <w:lang w:val="en-US" w:eastAsia="zh-CN"/>
              </w:rPr>
              <w:t>固体废物</w:t>
            </w:r>
          </w:p>
        </w:tc>
        <w:tc>
          <w:tcPr>
            <w:tcW w:w="1865" w:type="dxa"/>
            <w:noWrap w:val="0"/>
            <w:vAlign w:val="center"/>
          </w:tcPr>
          <w:p w14:paraId="0ACB629B">
            <w:pPr>
              <w:adjustRightInd w:val="0"/>
              <w:snapToGrid w:val="0"/>
              <w:spacing w:beforeLines="10"/>
              <w:jc w:val="center"/>
              <w:rPr>
                <w:rFonts w:hint="default" w:ascii="Times New Roman" w:hAnsi="Times New Roman" w:eastAsia="宋体" w:cs="Times New Roman"/>
                <w:color w:val="000000"/>
                <w:kern w:val="2"/>
                <w:sz w:val="21"/>
                <w:szCs w:val="21"/>
                <w:lang w:val="en-US" w:eastAsia="zh-CN" w:bidi="ar-SA"/>
              </w:rPr>
            </w:pPr>
            <w:r>
              <w:rPr>
                <w:rFonts w:hint="eastAsia"/>
                <w:color w:val="000000"/>
                <w:szCs w:val="21"/>
                <w:lang w:val="en-US" w:eastAsia="zh-CN"/>
              </w:rPr>
              <w:t>底泥泥饼</w:t>
            </w:r>
          </w:p>
        </w:tc>
        <w:tc>
          <w:tcPr>
            <w:tcW w:w="1456" w:type="dxa"/>
            <w:noWrap w:val="0"/>
            <w:vAlign w:val="center"/>
          </w:tcPr>
          <w:p w14:paraId="19E6C4A6">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7D39274F">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77B1371D">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7B4DA134">
            <w:pPr>
              <w:tabs>
                <w:tab w:val="left" w:pos="567"/>
              </w:tabs>
              <w:snapToGrid w:val="0"/>
              <w:jc w:val="center"/>
              <w:rPr>
                <w:rFonts w:hint="default" w:ascii="Times New Roman" w:hAnsi="Times New Roman" w:cs="Times New Roman"/>
              </w:rPr>
            </w:pPr>
            <w:r>
              <w:rPr>
                <w:rFonts w:hint="eastAsia" w:cs="Times New Roman"/>
                <w:lang w:val="en-US" w:eastAsia="zh-CN"/>
              </w:rPr>
              <w:t>1</w:t>
            </w:r>
            <w:r>
              <w:rPr>
                <w:rFonts w:hint="eastAsia" w:ascii="Times New Roman" w:hAnsi="Times New Roman" w:cs="Times New Roman"/>
                <w:lang w:val="en-US" w:eastAsia="zh-CN"/>
              </w:rPr>
              <w:t>0</w:t>
            </w:r>
            <w:r>
              <w:rPr>
                <w:rFonts w:hint="default" w:ascii="Times New Roman" w:hAnsi="Times New Roman" w:cs="Times New Roman"/>
              </w:rPr>
              <w:t>t/a</w:t>
            </w:r>
          </w:p>
        </w:tc>
        <w:tc>
          <w:tcPr>
            <w:tcW w:w="1714" w:type="dxa"/>
            <w:noWrap w:val="0"/>
            <w:vAlign w:val="center"/>
          </w:tcPr>
          <w:p w14:paraId="1628F5A2">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2FE159ED">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1</w:t>
            </w:r>
            <w:r>
              <w:rPr>
                <w:rFonts w:hint="eastAsia" w:ascii="Times New Roman" w:hAnsi="Times New Roman" w:cs="Times New Roman"/>
                <w:lang w:val="en-US" w:eastAsia="zh-CN"/>
              </w:rPr>
              <w:t>0</w:t>
            </w:r>
            <w:r>
              <w:rPr>
                <w:rFonts w:hint="default" w:ascii="Times New Roman" w:hAnsi="Times New Roman" w:cs="Times New Roman"/>
              </w:rPr>
              <w:t>t/a</w:t>
            </w:r>
          </w:p>
        </w:tc>
        <w:tc>
          <w:tcPr>
            <w:tcW w:w="1164" w:type="dxa"/>
            <w:noWrap w:val="0"/>
            <w:vAlign w:val="center"/>
          </w:tcPr>
          <w:p w14:paraId="4A234F60">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+1</w:t>
            </w:r>
            <w:r>
              <w:rPr>
                <w:rFonts w:hint="eastAsia" w:ascii="Times New Roman" w:hAnsi="Times New Roman" w:cs="Times New Roman"/>
                <w:lang w:val="en-US" w:eastAsia="zh-CN"/>
              </w:rPr>
              <w:t>0</w:t>
            </w:r>
            <w:r>
              <w:rPr>
                <w:rFonts w:hint="default" w:ascii="Times New Roman" w:hAnsi="Times New Roman" w:cs="Times New Roman"/>
              </w:rPr>
              <w:t>t/a</w:t>
            </w:r>
          </w:p>
        </w:tc>
      </w:tr>
      <w:tr w14:paraId="42AA49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2C93DFBF">
            <w:pPr>
              <w:pStyle w:val="42"/>
              <w:spacing w:beforeLines="0" w:afterLines="0" w:line="240" w:lineRule="auto"/>
              <w:rPr>
                <w:rFonts w:hint="default" w:ascii="Times New Roman" w:hAnsi="Times New Roman" w:cs="Times New Roman"/>
                <w:snapToGrid w:val="0"/>
                <w:kern w:val="21"/>
                <w:szCs w:val="21"/>
                <w:lang w:val="en-US" w:eastAsia="zh-CN"/>
              </w:rPr>
            </w:pPr>
          </w:p>
        </w:tc>
        <w:tc>
          <w:tcPr>
            <w:tcW w:w="1865" w:type="dxa"/>
            <w:noWrap w:val="0"/>
            <w:vAlign w:val="center"/>
          </w:tcPr>
          <w:p w14:paraId="271D9038">
            <w:pPr>
              <w:adjustRightInd w:val="0"/>
              <w:snapToGrid w:val="0"/>
              <w:spacing w:beforeLines="10"/>
              <w:jc w:val="center"/>
              <w:rPr>
                <w:rFonts w:hint="eastAsia"/>
                <w:color w:val="000000"/>
                <w:szCs w:val="21"/>
                <w:lang w:val="en-US" w:eastAsia="zh-CN"/>
              </w:rPr>
            </w:pPr>
            <w:r>
              <w:rPr>
                <w:rFonts w:hint="eastAsia"/>
                <w:color w:val="000000"/>
                <w:szCs w:val="21"/>
                <w:lang w:val="en-US" w:eastAsia="zh-CN"/>
              </w:rPr>
              <w:t>车辆冲洗</w:t>
            </w:r>
          </w:p>
          <w:p w14:paraId="343AD223">
            <w:pPr>
              <w:adjustRightInd w:val="0"/>
              <w:snapToGrid w:val="0"/>
              <w:spacing w:beforeLines="10"/>
              <w:jc w:val="center"/>
              <w:rPr>
                <w:rFonts w:hint="eastAsia"/>
                <w:color w:val="000000"/>
                <w:szCs w:val="21"/>
                <w:lang w:val="en-US" w:eastAsia="zh-CN"/>
              </w:rPr>
            </w:pPr>
            <w:r>
              <w:rPr>
                <w:rFonts w:hint="eastAsia"/>
                <w:color w:val="000000"/>
                <w:szCs w:val="21"/>
                <w:lang w:val="en-US" w:eastAsia="zh-CN"/>
              </w:rPr>
              <w:t>沉淀污泥</w:t>
            </w:r>
          </w:p>
        </w:tc>
        <w:tc>
          <w:tcPr>
            <w:tcW w:w="1456" w:type="dxa"/>
            <w:noWrap w:val="0"/>
            <w:vAlign w:val="center"/>
          </w:tcPr>
          <w:p w14:paraId="40F08FDC">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2E4C847E">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743014A3">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2E944CCD">
            <w:pPr>
              <w:tabs>
                <w:tab w:val="left" w:pos="567"/>
              </w:tabs>
              <w:snapToGrid w:val="0"/>
              <w:jc w:val="center"/>
              <w:rPr>
                <w:rFonts w:hint="eastAsia" w:cs="Times New Roman"/>
                <w:lang w:val="en-US" w:eastAsia="zh-CN"/>
              </w:rPr>
            </w:pPr>
            <w:r>
              <w:rPr>
                <w:rFonts w:hint="eastAsia" w:cs="Times New Roman"/>
                <w:lang w:val="en-US" w:eastAsia="zh-CN"/>
              </w:rPr>
              <w:t>11.2</w:t>
            </w:r>
            <w:r>
              <w:rPr>
                <w:rFonts w:hint="default" w:ascii="Times New Roman" w:hAnsi="Times New Roman" w:cs="Times New Roman"/>
              </w:rPr>
              <w:t>t/a</w:t>
            </w:r>
          </w:p>
        </w:tc>
        <w:tc>
          <w:tcPr>
            <w:tcW w:w="1714" w:type="dxa"/>
            <w:noWrap w:val="0"/>
            <w:vAlign w:val="center"/>
          </w:tcPr>
          <w:p w14:paraId="05165838">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35F946C5">
            <w:pPr>
              <w:tabs>
                <w:tab w:val="left" w:pos="567"/>
              </w:tabs>
              <w:snapToGrid w:val="0"/>
              <w:jc w:val="center"/>
              <w:rPr>
                <w:rFonts w:hint="eastAsia" w:cs="Times New Roman"/>
                <w:lang w:val="en-US" w:eastAsia="zh-CN"/>
              </w:rPr>
            </w:pPr>
            <w:r>
              <w:rPr>
                <w:rFonts w:hint="eastAsia" w:cs="Times New Roman"/>
                <w:lang w:val="en-US" w:eastAsia="zh-CN"/>
              </w:rPr>
              <w:t>11.2</w:t>
            </w:r>
            <w:r>
              <w:rPr>
                <w:rFonts w:hint="default" w:ascii="Times New Roman" w:hAnsi="Times New Roman" w:cs="Times New Roman"/>
              </w:rPr>
              <w:t>t/a</w:t>
            </w:r>
          </w:p>
        </w:tc>
        <w:tc>
          <w:tcPr>
            <w:tcW w:w="1164" w:type="dxa"/>
            <w:noWrap w:val="0"/>
            <w:vAlign w:val="center"/>
          </w:tcPr>
          <w:p w14:paraId="24F2AED3">
            <w:pPr>
              <w:tabs>
                <w:tab w:val="left" w:pos="567"/>
              </w:tabs>
              <w:snapToGrid w:val="0"/>
              <w:jc w:val="center"/>
              <w:rPr>
                <w:rFonts w:hint="eastAsia" w:cs="Times New Roman"/>
                <w:lang w:val="en-US" w:eastAsia="zh-CN"/>
              </w:rPr>
            </w:pPr>
            <w:r>
              <w:rPr>
                <w:rFonts w:hint="eastAsia" w:cs="Times New Roman"/>
                <w:lang w:val="en-US" w:eastAsia="zh-CN"/>
              </w:rPr>
              <w:t>+11.2</w:t>
            </w:r>
            <w:r>
              <w:rPr>
                <w:rFonts w:hint="default" w:ascii="Times New Roman" w:hAnsi="Times New Roman" w:cs="Times New Roman"/>
              </w:rPr>
              <w:t>t/a</w:t>
            </w:r>
          </w:p>
        </w:tc>
      </w:tr>
      <w:tr w14:paraId="4DEBF3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18FC9655">
            <w:pPr>
              <w:pStyle w:val="42"/>
              <w:spacing w:beforeLines="0" w:afterLines="0" w:line="240" w:lineRule="auto"/>
              <w:rPr>
                <w:rFonts w:hint="default" w:ascii="Times New Roman" w:hAnsi="Times New Roman" w:cs="Times New Roman"/>
                <w:snapToGrid w:val="0"/>
                <w:kern w:val="21"/>
                <w:szCs w:val="21"/>
                <w:lang w:val="en-US" w:eastAsia="zh-CN"/>
              </w:rPr>
            </w:pPr>
          </w:p>
        </w:tc>
        <w:tc>
          <w:tcPr>
            <w:tcW w:w="1865" w:type="dxa"/>
            <w:noWrap w:val="0"/>
            <w:vAlign w:val="center"/>
          </w:tcPr>
          <w:p w14:paraId="6A1F6348">
            <w:pPr>
              <w:adjustRightInd w:val="0"/>
              <w:snapToGrid w:val="0"/>
              <w:spacing w:beforeLines="10"/>
              <w:jc w:val="center"/>
              <w:rPr>
                <w:rFonts w:hint="eastAsia"/>
                <w:color w:val="000000"/>
                <w:szCs w:val="21"/>
                <w:lang w:val="en-US" w:eastAsia="zh-CN"/>
              </w:rPr>
            </w:pPr>
            <w:r>
              <w:rPr>
                <w:rFonts w:hint="eastAsia" w:cs="Times New Roman"/>
                <w:bCs/>
                <w:color w:val="000000"/>
                <w:kern w:val="2"/>
                <w:sz w:val="21"/>
                <w:szCs w:val="21"/>
                <w:lang w:val="en-US" w:eastAsia="zh-CN" w:bidi="ar-SA"/>
              </w:rPr>
              <w:t>絮凝剂废包装袋</w:t>
            </w:r>
          </w:p>
        </w:tc>
        <w:tc>
          <w:tcPr>
            <w:tcW w:w="1456" w:type="dxa"/>
            <w:noWrap w:val="0"/>
            <w:vAlign w:val="center"/>
          </w:tcPr>
          <w:p w14:paraId="64021552">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06A68E90">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5AD2417C">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064F409A">
            <w:pPr>
              <w:tabs>
                <w:tab w:val="left" w:pos="567"/>
              </w:tabs>
              <w:snapToGrid w:val="0"/>
              <w:jc w:val="center"/>
              <w:rPr>
                <w:rFonts w:hint="eastAsia" w:cs="Times New Roman"/>
                <w:lang w:val="en-US" w:eastAsia="zh-CN"/>
              </w:rPr>
            </w:pPr>
            <w:r>
              <w:rPr>
                <w:rFonts w:hint="eastAsia" w:cs="Times New Roman"/>
                <w:lang w:val="en-US" w:eastAsia="zh-CN"/>
              </w:rPr>
              <w:t>100个</w:t>
            </w:r>
            <w:r>
              <w:rPr>
                <w:rFonts w:hint="default" w:ascii="Times New Roman" w:hAnsi="Times New Roman" w:cs="Times New Roman"/>
              </w:rPr>
              <w:t>/a</w:t>
            </w:r>
          </w:p>
        </w:tc>
        <w:tc>
          <w:tcPr>
            <w:tcW w:w="1714" w:type="dxa"/>
            <w:noWrap w:val="0"/>
            <w:vAlign w:val="center"/>
          </w:tcPr>
          <w:p w14:paraId="0928862C">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4D5A7E56">
            <w:pPr>
              <w:tabs>
                <w:tab w:val="left" w:pos="567"/>
              </w:tabs>
              <w:snapToGrid w:val="0"/>
              <w:jc w:val="center"/>
              <w:rPr>
                <w:rFonts w:hint="eastAsia" w:cs="Times New Roman"/>
                <w:lang w:val="en-US" w:eastAsia="zh-CN"/>
              </w:rPr>
            </w:pPr>
            <w:r>
              <w:rPr>
                <w:rFonts w:hint="eastAsia" w:cs="Times New Roman"/>
                <w:lang w:val="en-US" w:eastAsia="zh-CN"/>
              </w:rPr>
              <w:t>100个</w:t>
            </w:r>
            <w:r>
              <w:rPr>
                <w:rFonts w:hint="default" w:ascii="Times New Roman" w:hAnsi="Times New Roman" w:cs="Times New Roman"/>
              </w:rPr>
              <w:t>/a</w:t>
            </w:r>
          </w:p>
        </w:tc>
        <w:tc>
          <w:tcPr>
            <w:tcW w:w="1164" w:type="dxa"/>
            <w:noWrap w:val="0"/>
            <w:vAlign w:val="center"/>
          </w:tcPr>
          <w:p w14:paraId="083B325C">
            <w:pPr>
              <w:tabs>
                <w:tab w:val="left" w:pos="567"/>
              </w:tabs>
              <w:snapToGrid w:val="0"/>
              <w:jc w:val="center"/>
              <w:rPr>
                <w:rFonts w:hint="eastAsia" w:cs="Times New Roman"/>
                <w:lang w:val="en-US" w:eastAsia="zh-CN"/>
              </w:rPr>
            </w:pPr>
            <w:r>
              <w:rPr>
                <w:rFonts w:hint="eastAsia" w:cs="Times New Roman"/>
                <w:lang w:val="en-US" w:eastAsia="zh-CN"/>
              </w:rPr>
              <w:t>+100个</w:t>
            </w:r>
            <w:r>
              <w:rPr>
                <w:rFonts w:hint="default" w:ascii="Times New Roman" w:hAnsi="Times New Roman" w:cs="Times New Roman"/>
              </w:rPr>
              <w:t>/a</w:t>
            </w:r>
          </w:p>
        </w:tc>
      </w:tr>
      <w:tr w14:paraId="35058B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188D2E52">
            <w:pPr>
              <w:pStyle w:val="42"/>
              <w:spacing w:beforeLines="0" w:afterLines="0" w:line="240" w:lineRule="auto"/>
              <w:rPr>
                <w:rFonts w:hint="default" w:ascii="Times New Roman" w:hAnsi="Times New Roman" w:cs="Times New Roman"/>
                <w:snapToGrid w:val="0"/>
                <w:kern w:val="21"/>
                <w:szCs w:val="21"/>
                <w:lang w:val="en-US" w:eastAsia="zh-CN"/>
              </w:rPr>
            </w:pPr>
          </w:p>
        </w:tc>
        <w:tc>
          <w:tcPr>
            <w:tcW w:w="1865" w:type="dxa"/>
            <w:noWrap w:val="0"/>
            <w:vAlign w:val="center"/>
          </w:tcPr>
          <w:p w14:paraId="277BAAF5">
            <w:pPr>
              <w:adjustRightInd w:val="0"/>
              <w:snapToGrid w:val="0"/>
              <w:spacing w:beforeLines="10"/>
              <w:jc w:val="center"/>
              <w:rPr>
                <w:rFonts w:hint="eastAsia"/>
                <w:bCs/>
                <w:color w:val="000000"/>
                <w:szCs w:val="21"/>
                <w:lang w:val="zh-CN"/>
              </w:rPr>
            </w:pPr>
            <w:r>
              <w:rPr>
                <w:rFonts w:hint="eastAsia"/>
                <w:bCs/>
                <w:color w:val="000000"/>
                <w:szCs w:val="21"/>
                <w:lang w:val="zh-CN"/>
              </w:rPr>
              <w:t>袋式除尘器</w:t>
            </w:r>
          </w:p>
          <w:p w14:paraId="4C8A89B0">
            <w:pPr>
              <w:adjustRightInd w:val="0"/>
              <w:snapToGrid w:val="0"/>
              <w:spacing w:beforeLines="10"/>
              <w:jc w:val="center"/>
              <w:rPr>
                <w:rFonts w:hint="eastAsia" w:ascii="Times New Roman" w:hAnsi="Times New Roman" w:eastAsia="宋体" w:cs="Times New Roman"/>
                <w:bCs/>
                <w:color w:val="000000"/>
                <w:kern w:val="2"/>
                <w:sz w:val="21"/>
                <w:szCs w:val="21"/>
                <w:lang w:val="en-US" w:eastAsia="zh-CN" w:bidi="ar-SA"/>
              </w:rPr>
            </w:pPr>
            <w:r>
              <w:rPr>
                <w:rFonts w:hint="eastAsia"/>
                <w:bCs/>
                <w:color w:val="000000"/>
                <w:szCs w:val="21"/>
                <w:lang w:val="en-US" w:eastAsia="zh-CN"/>
              </w:rPr>
              <w:t>颗粒物</w:t>
            </w:r>
          </w:p>
        </w:tc>
        <w:tc>
          <w:tcPr>
            <w:tcW w:w="1456" w:type="dxa"/>
            <w:noWrap w:val="0"/>
            <w:vAlign w:val="center"/>
          </w:tcPr>
          <w:p w14:paraId="644426B1">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6ACC57DE">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0696EE9D">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shd w:val="clear" w:color="auto" w:fill="auto"/>
            <w:noWrap w:val="0"/>
            <w:vAlign w:val="center"/>
          </w:tcPr>
          <w:p w14:paraId="7B064C5C">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78.12</w:t>
            </w:r>
            <w:r>
              <w:rPr>
                <w:rFonts w:hint="default" w:ascii="Times New Roman" w:hAnsi="Times New Roman" w:cs="Times New Roman"/>
              </w:rPr>
              <w:t>t/a</w:t>
            </w:r>
          </w:p>
        </w:tc>
        <w:tc>
          <w:tcPr>
            <w:tcW w:w="1714" w:type="dxa"/>
            <w:shd w:val="clear" w:color="auto" w:fill="auto"/>
            <w:noWrap w:val="0"/>
            <w:vAlign w:val="center"/>
          </w:tcPr>
          <w:p w14:paraId="2A241173">
            <w:pPr>
              <w:pStyle w:val="42"/>
              <w:spacing w:beforeLines="0" w:afterLines="0" w:line="240" w:lineRule="auto"/>
              <w:rPr>
                <w:rFonts w:hint="default" w:ascii="Times New Roman" w:hAnsi="Times New Roman" w:eastAsia="宋体" w:cs="Times New Roman"/>
                <w:snapToGrid w:val="0"/>
                <w:kern w:val="21"/>
                <w:sz w:val="21"/>
                <w:szCs w:val="21"/>
                <w:lang w:val="en-US" w:eastAsia="zh-CN" w:bidi="ar-SA"/>
              </w:rPr>
            </w:pPr>
          </w:p>
        </w:tc>
        <w:tc>
          <w:tcPr>
            <w:tcW w:w="1907" w:type="dxa"/>
            <w:shd w:val="clear" w:color="auto" w:fill="auto"/>
            <w:noWrap w:val="0"/>
            <w:vAlign w:val="center"/>
          </w:tcPr>
          <w:p w14:paraId="62853484">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78.12</w:t>
            </w:r>
            <w:r>
              <w:rPr>
                <w:rFonts w:hint="default" w:ascii="Times New Roman" w:hAnsi="Times New Roman" w:cs="Times New Roman"/>
              </w:rPr>
              <w:t>t/a</w:t>
            </w:r>
          </w:p>
        </w:tc>
        <w:tc>
          <w:tcPr>
            <w:tcW w:w="1164" w:type="dxa"/>
            <w:shd w:val="clear" w:color="auto" w:fill="auto"/>
            <w:noWrap w:val="0"/>
            <w:vAlign w:val="center"/>
          </w:tcPr>
          <w:p w14:paraId="678C4A06">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+78.12</w:t>
            </w:r>
            <w:r>
              <w:rPr>
                <w:rFonts w:hint="default" w:ascii="Times New Roman" w:hAnsi="Times New Roman" w:cs="Times New Roman"/>
              </w:rPr>
              <w:t>t/a</w:t>
            </w:r>
          </w:p>
        </w:tc>
      </w:tr>
      <w:tr w14:paraId="60DD94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256" w:type="dxa"/>
            <w:vMerge w:val="continue"/>
            <w:noWrap w:val="0"/>
            <w:vAlign w:val="center"/>
          </w:tcPr>
          <w:p w14:paraId="21E31B6C">
            <w:pPr>
              <w:pStyle w:val="42"/>
              <w:spacing w:beforeLines="0" w:afterLines="0" w:line="240" w:lineRule="auto"/>
              <w:rPr>
                <w:rFonts w:hint="default" w:ascii="Times New Roman" w:hAnsi="Times New Roman" w:cs="Times New Roman"/>
                <w:snapToGrid w:val="0"/>
                <w:kern w:val="21"/>
                <w:szCs w:val="21"/>
                <w:lang w:val="en-US" w:eastAsia="zh-CN"/>
              </w:rPr>
            </w:pPr>
          </w:p>
        </w:tc>
        <w:tc>
          <w:tcPr>
            <w:tcW w:w="1865" w:type="dxa"/>
            <w:noWrap w:val="0"/>
            <w:vAlign w:val="center"/>
          </w:tcPr>
          <w:p w14:paraId="0B486283">
            <w:pPr>
              <w:adjustRightInd w:val="0"/>
              <w:snapToGrid w:val="0"/>
              <w:spacing w:beforeLines="10"/>
              <w:jc w:val="center"/>
              <w:rPr>
                <w:rFonts w:hint="default" w:ascii="Times New Roman" w:hAnsi="Times New Roman" w:eastAsia="宋体" w:cs="Times New Roman"/>
                <w:bCs/>
                <w:color w:val="000000"/>
                <w:kern w:val="2"/>
                <w:sz w:val="21"/>
                <w:szCs w:val="21"/>
                <w:lang w:val="en-US" w:eastAsia="zh-CN" w:bidi="ar-SA"/>
              </w:rPr>
            </w:pPr>
            <w:r>
              <w:rPr>
                <w:bCs/>
                <w:color w:val="000000"/>
                <w:szCs w:val="21"/>
                <w:lang w:val="zh-CN"/>
              </w:rPr>
              <w:t>职工</w:t>
            </w:r>
            <w:r>
              <w:rPr>
                <w:rFonts w:hint="eastAsia"/>
                <w:bCs/>
                <w:color w:val="000000"/>
                <w:szCs w:val="21"/>
                <w:lang w:val="en-US" w:eastAsia="zh-CN"/>
              </w:rPr>
              <w:t>生活垃圾</w:t>
            </w:r>
          </w:p>
        </w:tc>
        <w:tc>
          <w:tcPr>
            <w:tcW w:w="1456" w:type="dxa"/>
            <w:noWrap w:val="0"/>
            <w:vAlign w:val="center"/>
          </w:tcPr>
          <w:p w14:paraId="3C1D11E9">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74AE4948">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1F6B10E0">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7D8115AE">
            <w:pPr>
              <w:tabs>
                <w:tab w:val="left" w:pos="567"/>
              </w:tabs>
              <w:snapToGrid w:val="0"/>
              <w:jc w:val="center"/>
              <w:rPr>
                <w:rFonts w:hint="default" w:ascii="Times New Roman" w:hAnsi="Times New Roman" w:cs="Times New Roman"/>
              </w:rPr>
            </w:pPr>
            <w:r>
              <w:rPr>
                <w:rFonts w:hint="eastAsia" w:cs="Times New Roman"/>
                <w:lang w:val="en-US" w:eastAsia="zh-CN"/>
              </w:rPr>
              <w:t>2.25</w:t>
            </w:r>
            <w:r>
              <w:rPr>
                <w:rFonts w:hint="default" w:ascii="Times New Roman" w:hAnsi="Times New Roman" w:cs="Times New Roman"/>
              </w:rPr>
              <w:t>t/a</w:t>
            </w:r>
          </w:p>
        </w:tc>
        <w:tc>
          <w:tcPr>
            <w:tcW w:w="1714" w:type="dxa"/>
            <w:noWrap w:val="0"/>
            <w:vAlign w:val="center"/>
          </w:tcPr>
          <w:p w14:paraId="58EAD342">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2494DE28">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2.25</w:t>
            </w:r>
            <w:r>
              <w:rPr>
                <w:rFonts w:hint="default" w:ascii="Times New Roman" w:hAnsi="Times New Roman" w:cs="Times New Roman"/>
              </w:rPr>
              <w:t>t/a</w:t>
            </w:r>
          </w:p>
        </w:tc>
        <w:tc>
          <w:tcPr>
            <w:tcW w:w="1164" w:type="dxa"/>
            <w:noWrap w:val="0"/>
            <w:vAlign w:val="center"/>
          </w:tcPr>
          <w:p w14:paraId="574C1751">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+2.25</w:t>
            </w:r>
            <w:r>
              <w:rPr>
                <w:rFonts w:hint="default" w:ascii="Times New Roman" w:hAnsi="Times New Roman" w:cs="Times New Roman"/>
              </w:rPr>
              <w:t>t/a</w:t>
            </w:r>
          </w:p>
        </w:tc>
      </w:tr>
      <w:tr w14:paraId="165D5B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26D89E91">
            <w:pPr>
              <w:pStyle w:val="42"/>
              <w:spacing w:beforeLines="0" w:afterLines="0" w:line="240" w:lineRule="auto"/>
              <w:rPr>
                <w:rFonts w:hint="default" w:ascii="Times New Roman" w:hAnsi="Times New Roman" w:cs="Times New Roman"/>
                <w:snapToGrid w:val="0"/>
                <w:kern w:val="21"/>
                <w:szCs w:val="21"/>
                <w:lang w:val="en-US" w:eastAsia="zh-CN"/>
              </w:rPr>
            </w:pPr>
          </w:p>
        </w:tc>
        <w:tc>
          <w:tcPr>
            <w:tcW w:w="1865" w:type="dxa"/>
            <w:noWrap w:val="0"/>
            <w:vAlign w:val="center"/>
          </w:tcPr>
          <w:p w14:paraId="2076A231">
            <w:pPr>
              <w:adjustRightInd w:val="0"/>
              <w:snapToGrid w:val="0"/>
              <w:spacing w:beforeLines="10"/>
              <w:jc w:val="center"/>
              <w:rPr>
                <w:rFonts w:hint="default" w:ascii="Times New Roman" w:hAnsi="Times New Roman" w:eastAsia="宋体" w:cs="Times New Roman"/>
                <w:bCs/>
                <w:color w:val="000000"/>
                <w:kern w:val="2"/>
                <w:sz w:val="21"/>
                <w:szCs w:val="21"/>
                <w:lang w:val="en-US" w:eastAsia="zh-CN" w:bidi="ar-SA"/>
              </w:rPr>
            </w:pPr>
            <w:r>
              <w:rPr>
                <w:rFonts w:hint="eastAsia" w:cs="Times New Roman"/>
                <w:bCs/>
                <w:color w:val="000000"/>
                <w:kern w:val="2"/>
                <w:sz w:val="21"/>
                <w:szCs w:val="21"/>
                <w:lang w:val="en-US" w:eastAsia="zh-CN" w:bidi="ar-SA"/>
              </w:rPr>
              <w:t>滤袋</w:t>
            </w:r>
          </w:p>
        </w:tc>
        <w:tc>
          <w:tcPr>
            <w:tcW w:w="1456" w:type="dxa"/>
            <w:noWrap w:val="0"/>
            <w:vAlign w:val="center"/>
          </w:tcPr>
          <w:p w14:paraId="2101F543">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4AE05BF0">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70D89D4B">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7A05526D">
            <w:pPr>
              <w:tabs>
                <w:tab w:val="left" w:pos="567"/>
              </w:tabs>
              <w:snapToGrid w:val="0"/>
              <w:jc w:val="center"/>
              <w:rPr>
                <w:rFonts w:hint="default" w:ascii="Times New Roman" w:hAnsi="Times New Roman" w:cs="Times New Roman"/>
              </w:rPr>
            </w:pPr>
            <w:r>
              <w:rPr>
                <w:rFonts w:hint="eastAsia" w:cs="Times New Roman"/>
                <w:lang w:val="en-US" w:eastAsia="zh-CN"/>
              </w:rPr>
              <w:t>4个</w:t>
            </w:r>
            <w:r>
              <w:rPr>
                <w:rFonts w:hint="default" w:ascii="Times New Roman" w:hAnsi="Times New Roman" w:cs="Times New Roman"/>
              </w:rPr>
              <w:t>/a</w:t>
            </w:r>
          </w:p>
        </w:tc>
        <w:tc>
          <w:tcPr>
            <w:tcW w:w="1714" w:type="dxa"/>
            <w:noWrap w:val="0"/>
            <w:vAlign w:val="center"/>
          </w:tcPr>
          <w:p w14:paraId="19868C30">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7AF522DC">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0.05</w:t>
            </w:r>
            <w:r>
              <w:rPr>
                <w:rFonts w:hint="default" w:ascii="Times New Roman" w:hAnsi="Times New Roman" w:cs="Times New Roman"/>
              </w:rPr>
              <w:t>t/a</w:t>
            </w:r>
          </w:p>
        </w:tc>
        <w:tc>
          <w:tcPr>
            <w:tcW w:w="1164" w:type="dxa"/>
            <w:noWrap w:val="0"/>
            <w:vAlign w:val="center"/>
          </w:tcPr>
          <w:p w14:paraId="0BA9E7EB">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+0.05</w:t>
            </w:r>
            <w:r>
              <w:rPr>
                <w:rFonts w:hint="default" w:ascii="Times New Roman" w:hAnsi="Times New Roman" w:cs="Times New Roman"/>
              </w:rPr>
              <w:t>t/a</w:t>
            </w:r>
          </w:p>
        </w:tc>
      </w:tr>
      <w:tr w14:paraId="04689F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1256" w:type="dxa"/>
            <w:vMerge w:val="restart"/>
            <w:noWrap w:val="0"/>
            <w:vAlign w:val="center"/>
          </w:tcPr>
          <w:p w14:paraId="183FE5A5">
            <w:pPr>
              <w:pStyle w:val="42"/>
              <w:spacing w:beforeLines="0" w:afterLines="0" w:line="240" w:lineRule="auto"/>
              <w:rPr>
                <w:rFonts w:hint="default" w:ascii="Times New Roman" w:hAnsi="Times New Roman" w:cs="Times New Roman"/>
                <w:snapToGrid w:val="0"/>
                <w:kern w:val="21"/>
                <w:szCs w:val="21"/>
                <w:lang w:val="en-US" w:eastAsia="zh-CN"/>
              </w:rPr>
            </w:pPr>
            <w:r>
              <w:rPr>
                <w:rFonts w:hint="default" w:ascii="Times New Roman" w:hAnsi="Times New Roman" w:cs="Times New Roman"/>
                <w:snapToGrid w:val="0"/>
                <w:kern w:val="21"/>
                <w:szCs w:val="21"/>
                <w:lang w:val="en-US" w:eastAsia="zh-CN"/>
              </w:rPr>
              <w:t>危险废物</w:t>
            </w:r>
          </w:p>
        </w:tc>
        <w:tc>
          <w:tcPr>
            <w:tcW w:w="1865" w:type="dxa"/>
            <w:noWrap w:val="0"/>
            <w:vAlign w:val="center"/>
          </w:tcPr>
          <w:p w14:paraId="59FD513F">
            <w:pPr>
              <w:pStyle w:val="42"/>
              <w:spacing w:beforeLines="0" w:afterLines="0" w:line="240" w:lineRule="auto"/>
              <w:rPr>
                <w:rFonts w:hint="default" w:ascii="Times New Roman" w:hAnsi="Times New Roman" w:cs="Times New Roman"/>
                <w:snapToGrid w:val="0"/>
                <w:kern w:val="21"/>
                <w:szCs w:val="21"/>
                <w:lang w:val="en-US" w:eastAsia="zh-CN"/>
              </w:rPr>
            </w:pPr>
            <w:r>
              <w:rPr>
                <w:rFonts w:hint="default" w:ascii="Times New Roman" w:hAnsi="Times New Roman" w:cs="Times New Roman"/>
                <w:snapToGrid w:val="0"/>
                <w:kern w:val="21"/>
                <w:szCs w:val="21"/>
                <w:lang w:val="en-US" w:eastAsia="zh-CN"/>
              </w:rPr>
              <w:t>废润滑油</w:t>
            </w:r>
          </w:p>
        </w:tc>
        <w:tc>
          <w:tcPr>
            <w:tcW w:w="1456" w:type="dxa"/>
            <w:noWrap w:val="0"/>
            <w:vAlign w:val="center"/>
          </w:tcPr>
          <w:p w14:paraId="2471C6FF">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4543BDC2">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1C1FDA9F">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53E281EE">
            <w:pPr>
              <w:tabs>
                <w:tab w:val="left" w:pos="567"/>
              </w:tabs>
              <w:snapToGrid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0.</w:t>
            </w:r>
            <w:r>
              <w:rPr>
                <w:rFonts w:hint="eastAsia" w:cs="Times New Roman"/>
                <w:highlight w:val="none"/>
                <w:lang w:val="en-US" w:eastAsia="zh-CN"/>
              </w:rPr>
              <w:t>02</w:t>
            </w:r>
            <w:r>
              <w:rPr>
                <w:rFonts w:hint="default" w:ascii="Times New Roman" w:hAnsi="Times New Roman" w:cs="Times New Roman"/>
                <w:highlight w:val="none"/>
              </w:rPr>
              <w:t>t/a</w:t>
            </w:r>
          </w:p>
        </w:tc>
        <w:tc>
          <w:tcPr>
            <w:tcW w:w="1714" w:type="dxa"/>
            <w:noWrap w:val="0"/>
            <w:vAlign w:val="center"/>
          </w:tcPr>
          <w:p w14:paraId="58865C4F">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2C484B3E">
            <w:pPr>
              <w:tabs>
                <w:tab w:val="left" w:pos="567"/>
              </w:tabs>
              <w:snapToGrid w:val="0"/>
              <w:jc w:val="center"/>
              <w:rPr>
                <w:rFonts w:hint="default" w:ascii="Times New Roman" w:hAnsi="Times New Roman" w:cs="Times New Roman"/>
              </w:rPr>
            </w:pPr>
            <w:r>
              <w:rPr>
                <w:rFonts w:hint="eastAsia" w:ascii="Times New Roman" w:hAnsi="Times New Roman" w:cs="Times New Roman"/>
                <w:highlight w:val="none"/>
                <w:lang w:val="en-US" w:eastAsia="zh-CN"/>
              </w:rPr>
              <w:t>0.</w:t>
            </w:r>
            <w:r>
              <w:rPr>
                <w:rFonts w:hint="eastAsia" w:cs="Times New Roman"/>
                <w:highlight w:val="none"/>
                <w:lang w:val="en-US" w:eastAsia="zh-CN"/>
              </w:rPr>
              <w:t>02</w:t>
            </w:r>
            <w:r>
              <w:rPr>
                <w:rFonts w:hint="default" w:ascii="Times New Roman" w:hAnsi="Times New Roman" w:cs="Times New Roman"/>
                <w:highlight w:val="none"/>
              </w:rPr>
              <w:t>t/a</w:t>
            </w:r>
          </w:p>
        </w:tc>
        <w:tc>
          <w:tcPr>
            <w:tcW w:w="1164" w:type="dxa"/>
            <w:noWrap w:val="0"/>
            <w:vAlign w:val="center"/>
          </w:tcPr>
          <w:p w14:paraId="1D98C623">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w:t>
            </w:r>
            <w:r>
              <w:rPr>
                <w:rFonts w:hint="eastAsia" w:ascii="Times New Roman" w:hAnsi="Times New Roman" w:cs="Times New Roman"/>
                <w:highlight w:val="none"/>
                <w:lang w:val="en-US" w:eastAsia="zh-CN"/>
              </w:rPr>
              <w:t>0.</w:t>
            </w:r>
            <w:r>
              <w:rPr>
                <w:rFonts w:hint="eastAsia" w:cs="Times New Roman"/>
                <w:highlight w:val="none"/>
                <w:lang w:val="en-US" w:eastAsia="zh-CN"/>
              </w:rPr>
              <w:t>02</w:t>
            </w:r>
            <w:r>
              <w:rPr>
                <w:rFonts w:hint="default" w:ascii="Times New Roman" w:hAnsi="Times New Roman" w:cs="Times New Roman"/>
                <w:highlight w:val="none"/>
              </w:rPr>
              <w:t>t/a</w:t>
            </w:r>
          </w:p>
        </w:tc>
      </w:tr>
      <w:tr w14:paraId="490A6A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1256" w:type="dxa"/>
            <w:vMerge w:val="continue"/>
            <w:noWrap w:val="0"/>
            <w:vAlign w:val="center"/>
          </w:tcPr>
          <w:p w14:paraId="4708A825">
            <w:pPr>
              <w:pStyle w:val="42"/>
              <w:spacing w:beforeLines="0" w:afterLines="0" w:line="240" w:lineRule="auto"/>
              <w:rPr>
                <w:rFonts w:hint="default" w:ascii="Times New Roman" w:hAnsi="Times New Roman" w:cs="Times New Roman"/>
                <w:snapToGrid w:val="0"/>
                <w:kern w:val="21"/>
                <w:szCs w:val="21"/>
                <w:lang w:val="en-US" w:eastAsia="zh-CN"/>
              </w:rPr>
            </w:pPr>
          </w:p>
        </w:tc>
        <w:tc>
          <w:tcPr>
            <w:tcW w:w="1865" w:type="dxa"/>
            <w:noWrap w:val="0"/>
            <w:vAlign w:val="center"/>
          </w:tcPr>
          <w:p w14:paraId="78F21793">
            <w:pPr>
              <w:pStyle w:val="42"/>
              <w:spacing w:beforeLines="0" w:afterLines="0" w:line="240" w:lineRule="auto"/>
              <w:rPr>
                <w:rFonts w:hint="default" w:ascii="Times New Roman" w:hAnsi="Times New Roman" w:cs="Times New Roman"/>
                <w:snapToGrid w:val="0"/>
                <w:kern w:val="21"/>
                <w:szCs w:val="21"/>
                <w:lang w:val="en-US" w:eastAsia="zh-CN"/>
              </w:rPr>
            </w:pPr>
            <w:r>
              <w:rPr>
                <w:rFonts w:hint="default" w:ascii="Times New Roman" w:hAnsi="Times New Roman" w:cs="Times New Roman"/>
                <w:snapToGrid w:val="0"/>
                <w:kern w:val="21"/>
                <w:szCs w:val="21"/>
                <w:highlight w:val="none"/>
                <w:lang w:val="en-US" w:eastAsia="zh-CN"/>
              </w:rPr>
              <w:t>废润滑油桶</w:t>
            </w:r>
          </w:p>
        </w:tc>
        <w:tc>
          <w:tcPr>
            <w:tcW w:w="1456" w:type="dxa"/>
            <w:noWrap w:val="0"/>
            <w:vAlign w:val="center"/>
          </w:tcPr>
          <w:p w14:paraId="02D1038D">
            <w:pPr>
              <w:pStyle w:val="42"/>
              <w:spacing w:beforeLines="0" w:afterLines="0" w:line="240" w:lineRule="auto"/>
              <w:rPr>
                <w:rFonts w:hint="default" w:ascii="Times New Roman" w:hAnsi="Times New Roman" w:cs="Times New Roman"/>
                <w:snapToGrid w:val="0"/>
                <w:kern w:val="21"/>
                <w:szCs w:val="21"/>
                <w:lang w:val="en-US" w:eastAsia="zh-CN"/>
              </w:rPr>
            </w:pPr>
          </w:p>
        </w:tc>
        <w:tc>
          <w:tcPr>
            <w:tcW w:w="1241" w:type="dxa"/>
            <w:noWrap w:val="0"/>
            <w:vAlign w:val="center"/>
          </w:tcPr>
          <w:p w14:paraId="2AE48E21">
            <w:pPr>
              <w:pStyle w:val="42"/>
              <w:spacing w:beforeLines="0" w:afterLines="0" w:line="240" w:lineRule="auto"/>
              <w:rPr>
                <w:rFonts w:hint="default" w:ascii="Times New Roman" w:hAnsi="Times New Roman" w:cs="Times New Roman"/>
                <w:snapToGrid w:val="0"/>
                <w:kern w:val="21"/>
                <w:szCs w:val="21"/>
                <w:lang w:val="en-US" w:eastAsia="zh-CN"/>
              </w:rPr>
            </w:pPr>
          </w:p>
        </w:tc>
        <w:tc>
          <w:tcPr>
            <w:tcW w:w="1655" w:type="dxa"/>
            <w:noWrap w:val="0"/>
            <w:vAlign w:val="center"/>
          </w:tcPr>
          <w:p w14:paraId="28AB5A53">
            <w:pPr>
              <w:pStyle w:val="42"/>
              <w:spacing w:beforeLines="0" w:afterLines="0" w:line="240" w:lineRule="auto"/>
              <w:rPr>
                <w:rFonts w:hint="default" w:ascii="Times New Roman" w:hAnsi="Times New Roman" w:cs="Times New Roman"/>
                <w:snapToGrid w:val="0"/>
                <w:kern w:val="21"/>
                <w:szCs w:val="21"/>
                <w:lang w:val="en-US" w:eastAsia="zh-CN"/>
              </w:rPr>
            </w:pPr>
          </w:p>
        </w:tc>
        <w:tc>
          <w:tcPr>
            <w:tcW w:w="1517" w:type="dxa"/>
            <w:noWrap w:val="0"/>
            <w:vAlign w:val="center"/>
          </w:tcPr>
          <w:p w14:paraId="1B41D9B3">
            <w:pPr>
              <w:tabs>
                <w:tab w:val="left" w:pos="567"/>
              </w:tabs>
              <w:snapToGrid w:val="0"/>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0.0</w:t>
            </w:r>
            <w:r>
              <w:rPr>
                <w:rFonts w:hint="eastAsia" w:cs="Times New Roman"/>
                <w:highlight w:val="none"/>
                <w:lang w:val="en-US" w:eastAsia="zh-CN"/>
              </w:rPr>
              <w:t>2</w:t>
            </w:r>
            <w:r>
              <w:rPr>
                <w:rFonts w:hint="default" w:ascii="Times New Roman" w:hAnsi="Times New Roman" w:cs="Times New Roman"/>
                <w:highlight w:val="none"/>
              </w:rPr>
              <w:t>t/a</w:t>
            </w:r>
          </w:p>
        </w:tc>
        <w:tc>
          <w:tcPr>
            <w:tcW w:w="1714" w:type="dxa"/>
            <w:noWrap w:val="0"/>
            <w:vAlign w:val="center"/>
          </w:tcPr>
          <w:p w14:paraId="7796259E">
            <w:pPr>
              <w:pStyle w:val="42"/>
              <w:spacing w:beforeLines="0" w:afterLines="0" w:line="240" w:lineRule="auto"/>
              <w:rPr>
                <w:rFonts w:hint="default" w:ascii="Times New Roman" w:hAnsi="Times New Roman" w:cs="Times New Roman"/>
                <w:snapToGrid w:val="0"/>
                <w:kern w:val="21"/>
                <w:szCs w:val="21"/>
                <w:lang w:val="en-US" w:eastAsia="zh-CN"/>
              </w:rPr>
            </w:pPr>
          </w:p>
        </w:tc>
        <w:tc>
          <w:tcPr>
            <w:tcW w:w="1907" w:type="dxa"/>
            <w:noWrap w:val="0"/>
            <w:vAlign w:val="center"/>
          </w:tcPr>
          <w:p w14:paraId="3F62FB59">
            <w:pPr>
              <w:tabs>
                <w:tab w:val="left" w:pos="567"/>
              </w:tabs>
              <w:snapToGrid w:val="0"/>
              <w:jc w:val="center"/>
              <w:rPr>
                <w:rFonts w:hint="default" w:ascii="Times New Roman" w:hAnsi="Times New Roman" w:cs="Times New Roman"/>
              </w:rPr>
            </w:pPr>
            <w:r>
              <w:rPr>
                <w:rFonts w:hint="default" w:ascii="Times New Roman" w:hAnsi="Times New Roman" w:cs="Times New Roman"/>
                <w:highlight w:val="none"/>
                <w:lang w:val="en-US" w:eastAsia="zh-CN"/>
              </w:rPr>
              <w:t>0.0</w:t>
            </w:r>
            <w:r>
              <w:rPr>
                <w:rFonts w:hint="eastAsia" w:cs="Times New Roman"/>
                <w:highlight w:val="none"/>
                <w:lang w:val="en-US" w:eastAsia="zh-CN"/>
              </w:rPr>
              <w:t>2</w:t>
            </w:r>
            <w:r>
              <w:rPr>
                <w:rFonts w:hint="default" w:ascii="Times New Roman" w:hAnsi="Times New Roman" w:cs="Times New Roman"/>
                <w:highlight w:val="none"/>
              </w:rPr>
              <w:t>t/a</w:t>
            </w:r>
          </w:p>
        </w:tc>
        <w:tc>
          <w:tcPr>
            <w:tcW w:w="1164" w:type="dxa"/>
            <w:noWrap w:val="0"/>
            <w:vAlign w:val="center"/>
          </w:tcPr>
          <w:p w14:paraId="63D53937">
            <w:pPr>
              <w:tabs>
                <w:tab w:val="left" w:pos="567"/>
              </w:tabs>
              <w:snapToGrid w:val="0"/>
              <w:jc w:val="center"/>
              <w:rPr>
                <w:rFonts w:hint="default" w:ascii="Times New Roman" w:hAnsi="Times New Roman" w:eastAsia="宋体" w:cs="Times New Roman"/>
                <w:kern w:val="2"/>
                <w:sz w:val="21"/>
                <w:szCs w:val="21"/>
                <w:lang w:val="en-US" w:eastAsia="zh-CN" w:bidi="ar-SA"/>
              </w:rPr>
            </w:pPr>
            <w:r>
              <w:rPr>
                <w:rFonts w:hint="eastAsia" w:cs="Times New Roman"/>
                <w:lang w:val="en-US" w:eastAsia="zh-CN"/>
              </w:rPr>
              <w:t>+</w:t>
            </w:r>
            <w:r>
              <w:rPr>
                <w:rFonts w:hint="default" w:ascii="Times New Roman" w:hAnsi="Times New Roman" w:cs="Times New Roman"/>
                <w:highlight w:val="none"/>
                <w:lang w:val="en-US" w:eastAsia="zh-CN"/>
              </w:rPr>
              <w:t>0.0</w:t>
            </w:r>
            <w:r>
              <w:rPr>
                <w:rFonts w:hint="eastAsia" w:cs="Times New Roman"/>
                <w:highlight w:val="none"/>
                <w:lang w:val="en-US" w:eastAsia="zh-CN"/>
              </w:rPr>
              <w:t>2</w:t>
            </w:r>
            <w:r>
              <w:rPr>
                <w:rFonts w:hint="default" w:ascii="Times New Roman" w:hAnsi="Times New Roman" w:cs="Times New Roman"/>
                <w:highlight w:val="none"/>
              </w:rPr>
              <w:t>t/a</w:t>
            </w:r>
          </w:p>
        </w:tc>
      </w:tr>
    </w:tbl>
    <w:p w14:paraId="30599032">
      <w:pPr>
        <w:pStyle w:val="42"/>
        <w:spacing w:before="192" w:beforeLines="80" w:after="24"/>
        <w:jc w:val="left"/>
        <w:rPr>
          <w:rFonts w:hint="eastAsia" w:hAnsi="宋体"/>
          <w:snapToGrid w:val="0"/>
          <w:spacing w:val="-6"/>
          <w:kern w:val="21"/>
          <w:szCs w:val="21"/>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14:paraId="5D0BF4C8">
      <w:pPr>
        <w:sectPr>
          <w:footerReference r:id="rId5"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4716470">
      <w:pPr>
        <w:rPr>
          <w:rFonts w:hint="default" w:ascii="Times New Roman" w:hAnsi="Times New Roman" w:cs="Times New Roman"/>
        </w:rPr>
      </w:pPr>
      <w:r>
        <w:rPr>
          <w:rFonts w:hint="default" w:ascii="Times New Roman" w:hAnsi="Times New Roman" w:cs="Times New Roman"/>
          <w:sz w:val="21"/>
        </w:rPr>
        <w:drawing>
          <wp:anchor distT="0" distB="0" distL="114300" distR="114300" simplePos="0" relativeHeight="251669504" behindDoc="0" locked="0" layoutInCell="1" allowOverlap="1">
            <wp:simplePos x="0" y="0"/>
            <wp:positionH relativeFrom="column">
              <wp:posOffset>8537575</wp:posOffset>
            </wp:positionH>
            <wp:positionV relativeFrom="paragraph">
              <wp:posOffset>-12065</wp:posOffset>
            </wp:positionV>
            <wp:extent cx="742315" cy="742315"/>
            <wp:effectExtent l="15875" t="15875" r="19050" b="19050"/>
            <wp:wrapNone/>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5"/>
                    <a:stretch>
                      <a:fillRect/>
                    </a:stretch>
                  </pic:blipFill>
                  <pic:spPr>
                    <a:xfrm>
                      <a:off x="0" y="0"/>
                      <a:ext cx="742315" cy="742315"/>
                    </a:xfrm>
                    <a:prstGeom prst="rect">
                      <a:avLst/>
                    </a:prstGeom>
                    <a:noFill/>
                    <a:ln w="1587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cs="Times New Roman"/>
        </w:rPr>
        <w:drawing>
          <wp:anchor distT="0" distB="0" distL="114300" distR="114300" simplePos="0" relativeHeight="251667456" behindDoc="1" locked="0" layoutInCell="1" allowOverlap="1">
            <wp:simplePos x="0" y="0"/>
            <wp:positionH relativeFrom="column">
              <wp:posOffset>106045</wp:posOffset>
            </wp:positionH>
            <wp:positionV relativeFrom="paragraph">
              <wp:posOffset>-15875</wp:posOffset>
            </wp:positionV>
            <wp:extent cx="9177655" cy="5710555"/>
            <wp:effectExtent l="12700" t="12700" r="14605" b="22225"/>
            <wp:wrapNone/>
            <wp:docPr id="1" name="图片 1" descr="C:\Users\Administrator\Documents\WeChat Files\wxid_7u0b87ep9z8122\FileStorage\Temp\1657857342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ocuments\WeChat Files\wxid_7u0b87ep9z8122\FileStorage\Temp\1657857342922.png"/>
                    <pic:cNvPicPr>
                      <a:picLocks noChangeAspect="1"/>
                    </pic:cNvPicPr>
                  </pic:nvPicPr>
                  <pic:blipFill>
                    <a:blip r:embed="rId26"/>
                    <a:stretch>
                      <a:fillRect/>
                    </a:stretch>
                  </pic:blipFill>
                  <pic:spPr>
                    <a:xfrm>
                      <a:off x="0" y="0"/>
                      <a:ext cx="9177655" cy="5710555"/>
                    </a:xfrm>
                    <a:prstGeom prst="rect">
                      <a:avLst/>
                    </a:prstGeom>
                    <a:noFill/>
                    <a:ln w="12700" cap="flat" cmpd="sng">
                      <a:solidFill>
                        <a:srgbClr val="000000"/>
                      </a:solidFill>
                      <a:prstDash val="solid"/>
                      <a:miter/>
                      <a:headEnd type="none" w="med" len="med"/>
                      <a:tailEnd type="none" w="med" len="med"/>
                    </a:ln>
                  </pic:spPr>
                </pic:pic>
              </a:graphicData>
            </a:graphic>
          </wp:anchor>
        </w:drawing>
      </w:r>
    </w:p>
    <w:p w14:paraId="52FF3CD1">
      <w:pPr>
        <w:rPr>
          <w:rFonts w:hint="default" w:ascii="Times New Roman" w:hAnsi="Times New Roman" w:cs="Times New Roman"/>
        </w:rPr>
      </w:pPr>
    </w:p>
    <w:p w14:paraId="0B6665AC">
      <w:pPr>
        <w:rPr>
          <w:rFonts w:hint="default" w:ascii="Times New Roman" w:hAnsi="Times New Roman" w:cs="Times New Roman"/>
        </w:rPr>
      </w:pPr>
    </w:p>
    <w:p w14:paraId="625C0AD8">
      <w:pPr>
        <w:rPr>
          <w:rFonts w:hint="default" w:ascii="Times New Roman" w:hAnsi="Times New Roman" w:cs="Times New Roman"/>
        </w:rPr>
      </w:pPr>
    </w:p>
    <w:p w14:paraId="6105D0E3">
      <w:pPr>
        <w:rPr>
          <w:rFonts w:hint="default" w:ascii="Times New Roman" w:hAnsi="Times New Roman" w:cs="Times New Roman"/>
        </w:rPr>
      </w:pPr>
    </w:p>
    <w:p w14:paraId="4E30CE48">
      <w:pPr>
        <w:rPr>
          <w:rFonts w:hint="default" w:ascii="Times New Roman" w:hAnsi="Times New Roman" w:cs="Times New Roman"/>
        </w:rPr>
      </w:pPr>
    </w:p>
    <w:p w14:paraId="68452F06">
      <w:pPr>
        <w:rPr>
          <w:rFonts w:hint="default" w:ascii="Times New Roman" w:hAnsi="Times New Roman" w:cs="Times New Roman"/>
        </w:rPr>
      </w:pPr>
    </w:p>
    <w:p w14:paraId="29DE2CFC">
      <w:pPr>
        <w:rPr>
          <w:rFonts w:hint="default" w:ascii="Times New Roman" w:hAnsi="Times New Roman" w:cs="Times New Roman"/>
        </w:rPr>
      </w:pPr>
    </w:p>
    <w:p w14:paraId="59F8335E">
      <w:pPr>
        <w:rPr>
          <w:rFonts w:hint="default" w:ascii="Times New Roman" w:hAnsi="Times New Roman" w:cs="Times New Roman"/>
        </w:rPr>
      </w:pPr>
    </w:p>
    <w:p w14:paraId="7FA7FC58">
      <w:pPr>
        <w:rPr>
          <w:rFonts w:hint="default" w:ascii="Times New Roman" w:hAnsi="Times New Roman" w:cs="Times New Roman"/>
        </w:rPr>
      </w:pPr>
    </w:p>
    <w:p w14:paraId="50CC176E">
      <w:pPr>
        <w:rPr>
          <w:rFonts w:hint="default" w:ascii="Times New Roman" w:hAnsi="Times New Roman" w:cs="Times New Roman"/>
        </w:rPr>
      </w:pPr>
    </w:p>
    <w:p w14:paraId="42C9254B">
      <w:pPr>
        <w:rPr>
          <w:rFonts w:hint="default" w:ascii="Times New Roman" w:hAnsi="Times New Roman" w:cs="Times New Roman"/>
        </w:rPr>
      </w:pPr>
    </w:p>
    <w:p w14:paraId="29BA8B71">
      <w:pPr>
        <w:rPr>
          <w:rFonts w:hint="default" w:ascii="Times New Roman" w:hAnsi="Times New Roman" w:cs="Times New Roman"/>
        </w:rPr>
      </w:pPr>
    </w:p>
    <w:p w14:paraId="4D465E83">
      <w:pPr>
        <w:rPr>
          <w:rFonts w:hint="default" w:ascii="Times New Roman" w:hAnsi="Times New Roman" w:cs="Times New Roman"/>
        </w:rPr>
      </w:pPr>
    </w:p>
    <w:p w14:paraId="73D659DB">
      <w:pPr>
        <w:rPr>
          <w:rFonts w:hint="default" w:ascii="Times New Roman" w:hAnsi="Times New Roman" w:cs="Times New Roman"/>
        </w:rPr>
      </w:pPr>
    </w:p>
    <w:p w14:paraId="3FEADBD1">
      <w:pPr>
        <w:rPr>
          <w:rFonts w:hint="default" w:ascii="Times New Roman" w:hAnsi="Times New Roman" w:cs="Times New Roman"/>
        </w:rPr>
      </w:pPr>
    </w:p>
    <w:p w14:paraId="74492C7F">
      <w:pPr>
        <w:rPr>
          <w:rFonts w:hint="default" w:ascii="Times New Roman" w:hAnsi="Times New Roman" w:cs="Times New Roman"/>
        </w:rPr>
      </w:pPr>
    </w:p>
    <w:p w14:paraId="01691B0D">
      <w:pPr>
        <w:rPr>
          <w:rFonts w:hint="default" w:ascii="Times New Roman" w:hAnsi="Times New Roman" w:cs="Times New Roman"/>
        </w:rPr>
      </w:pPr>
    </w:p>
    <w:p w14:paraId="08B350A2">
      <w:pPr>
        <w:rPr>
          <w:rFonts w:hint="default" w:ascii="Times New Roman" w:hAnsi="Times New Roman" w:cs="Times New Roman"/>
        </w:rPr>
      </w:pPr>
    </w:p>
    <w:p w14:paraId="6D57E5CC">
      <w:pPr>
        <w:rPr>
          <w:rFonts w:hint="default" w:ascii="Times New Roman" w:hAnsi="Times New Roman" w:cs="Times New Roman"/>
        </w:rPr>
      </w:pPr>
      <w:r>
        <w:rPr>
          <w:rFonts w:hint="default" w:ascii="Times New Roman" w:hAnsi="Times New Roman" w:cs="Times New Roman"/>
          <w:sz w:val="21"/>
        </w:rPr>
        <mc:AlternateContent>
          <mc:Choice Requires="wps">
            <w:drawing>
              <wp:anchor distT="0" distB="0" distL="114300" distR="114300" simplePos="0" relativeHeight="251683840" behindDoc="0" locked="0" layoutInCell="1" allowOverlap="1">
                <wp:simplePos x="0" y="0"/>
                <wp:positionH relativeFrom="column">
                  <wp:posOffset>6264910</wp:posOffset>
                </wp:positionH>
                <wp:positionV relativeFrom="paragraph">
                  <wp:posOffset>14605</wp:posOffset>
                </wp:positionV>
                <wp:extent cx="106680" cy="91440"/>
                <wp:effectExtent l="21590" t="18415" r="24130" b="27305"/>
                <wp:wrapNone/>
                <wp:docPr id="2" name="五角星 2"/>
                <wp:cNvGraphicFramePr/>
                <a:graphic xmlns:a="http://schemas.openxmlformats.org/drawingml/2006/main">
                  <a:graphicData uri="http://schemas.microsoft.com/office/word/2010/wordprocessingShape">
                    <wps:wsp>
                      <wps:cNvSpPr/>
                      <wps:spPr>
                        <a:xfrm>
                          <a:off x="7034530" y="4708525"/>
                          <a:ext cx="106680" cy="9144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93.3pt;margin-top:1.15pt;height:7.2pt;width:8.4pt;z-index:251683840;v-text-anchor:middle;mso-width-relative:page;mso-height-relative:page;" fillcolor="#FF0000" filled="t" stroked="t" coordsize="106680,91440" o:gfxdata="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aoPpI9kAAAAJAQAADwAAAAAAAAABACAA&#10;AAAiAAAAZHJzL2Rvd25yZXYueG1sUEsBAhQAFAAAAAgAh07iQAxXV3B+AgAAAgUAAA4AAAAAAAAA&#10;AQAgAAAAKAEAAGRycy9lMm9Eb2MueG1sUEsFBgAAAAAGAAYAWQEAABgGAAAAAA==&#10;" path="m0,34926l40748,34927,53340,0,65931,34927,106679,34926,73713,56512,86305,91439,53340,69853,20374,91439,32966,56512xe">
                <v:path o:connectlocs="53340,0;0,34926;20374,91439;86305,91439;106679,34926" o:connectangles="247,164,82,82,0"/>
                <v:fill on="t" focussize="0,0"/>
                <v:stroke weight="1pt" color="#FF0000 [2404]" miterlimit="8" joinstyle="miter"/>
                <v:imagedata o:title=""/>
                <o:lock v:ext="edit" aspectratio="f"/>
              </v:shape>
            </w:pict>
          </mc:Fallback>
        </mc:AlternateContent>
      </w:r>
    </w:p>
    <w:p w14:paraId="37243DF9">
      <w:pPr>
        <w:rPr>
          <w:rFonts w:hint="default" w:ascii="Times New Roman" w:hAnsi="Times New Roman" w:cs="Times New Roman"/>
        </w:rPr>
      </w:pPr>
    </w:p>
    <w:p w14:paraId="5611E4ED">
      <w:pPr>
        <w:rPr>
          <w:rFonts w:hint="default" w:ascii="Times New Roman" w:hAnsi="Times New Roman" w:cs="Times New Roman"/>
        </w:rPr>
      </w:pPr>
      <w:r>
        <w:rPr>
          <w:rFonts w:hint="default" w:ascii="Times New Roman" w:hAnsi="Times New Roman" w:cs="Times New Roman"/>
          <w:sz w:val="21"/>
        </w:rPr>
        <mc:AlternateContent>
          <mc:Choice Requires="wps">
            <w:drawing>
              <wp:anchor distT="0" distB="0" distL="114300" distR="114300" simplePos="0" relativeHeight="251684864" behindDoc="0" locked="0" layoutInCell="1" allowOverlap="1">
                <wp:simplePos x="0" y="0"/>
                <wp:positionH relativeFrom="column">
                  <wp:posOffset>6226810</wp:posOffset>
                </wp:positionH>
                <wp:positionV relativeFrom="paragraph">
                  <wp:posOffset>45085</wp:posOffset>
                </wp:positionV>
                <wp:extent cx="1173480" cy="274955"/>
                <wp:effectExtent l="6350" t="438150" r="8890" b="18415"/>
                <wp:wrapNone/>
                <wp:docPr id="4" name="矩形标注 4"/>
                <wp:cNvGraphicFramePr/>
                <a:graphic xmlns:a="http://schemas.openxmlformats.org/drawingml/2006/main">
                  <a:graphicData uri="http://schemas.microsoft.com/office/word/2010/wordprocessingShape">
                    <wps:wsp>
                      <wps:cNvSpPr/>
                      <wps:spPr>
                        <a:xfrm>
                          <a:off x="7065010" y="4838065"/>
                          <a:ext cx="1173480" cy="274955"/>
                        </a:xfrm>
                        <a:prstGeom prst="wedgeRectCallout">
                          <a:avLst>
                            <a:gd name="adj1" fmla="val -43722"/>
                            <a:gd name="adj2" fmla="val -20127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94E7203">
                            <w:pPr>
                              <w:jc w:val="center"/>
                              <w:rPr>
                                <w:rFonts w:hint="default" w:eastAsiaTheme="minorEastAsia"/>
                                <w:color w:val="FF0000"/>
                                <w:lang w:val="en-US" w:eastAsia="zh-CN"/>
                              </w:rPr>
                            </w:pPr>
                            <w:r>
                              <w:rPr>
                                <w:rFonts w:hint="eastAsia"/>
                                <w:color w:val="FF0000"/>
                                <w:lang w:val="en-US" w:eastAsia="zh-CN"/>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90.3pt;margin-top:3.55pt;height:21.65pt;width:92.4pt;z-index:251684864;v-text-anchor:middle;mso-width-relative:page;mso-height-relative:page;" fillcolor="#FFFFFF [3212]" filled="t" stroked="t" coordsize="21600,21600" o:gfxdata="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AHGp49gAAAAJAQAADwAAAAAAAAABACAA&#10;AAAiAAAAZHJzL2Rvd25yZXYueG1sUEsBAhQAFAAAAAgAh07iQAz+uAu4AgAAcQUAAA4AAAAAAAAA&#10;AQAgAAAAJwEAAGRycy9lMm9Eb2MueG1sUEsFBgAAAAAGAAYAWQEAAFEGAAAAAA==&#10;" adj="1356,-32674">
                <v:fill on="t" focussize="0,0"/>
                <v:stroke weight="1pt" color="#FF0000 [2404]" miterlimit="8" joinstyle="miter"/>
                <v:imagedata o:title=""/>
                <o:lock v:ext="edit" aspectratio="f"/>
                <v:textbox>
                  <w:txbxContent>
                    <w:p w14:paraId="394E7203">
                      <w:pPr>
                        <w:jc w:val="center"/>
                        <w:rPr>
                          <w:rFonts w:hint="default" w:eastAsiaTheme="minorEastAsia"/>
                          <w:color w:val="FF0000"/>
                          <w:lang w:val="en-US" w:eastAsia="zh-CN"/>
                        </w:rPr>
                      </w:pPr>
                      <w:r>
                        <w:rPr>
                          <w:rFonts w:hint="eastAsia"/>
                          <w:color w:val="FF0000"/>
                          <w:lang w:val="en-US" w:eastAsia="zh-CN"/>
                        </w:rPr>
                        <w:t>本项目所在位置</w:t>
                      </w:r>
                    </w:p>
                  </w:txbxContent>
                </v:textbox>
              </v:shape>
            </w:pict>
          </mc:Fallback>
        </mc:AlternateContent>
      </w:r>
    </w:p>
    <w:p w14:paraId="55CA8A9A">
      <w:pPr>
        <w:rPr>
          <w:rFonts w:hint="default" w:ascii="Times New Roman" w:hAnsi="Times New Roman" w:cs="Times New Roman"/>
        </w:rPr>
      </w:pPr>
    </w:p>
    <w:p w14:paraId="0D00DDF2">
      <w:pPr>
        <w:rPr>
          <w:rFonts w:hint="default" w:ascii="Times New Roman" w:hAnsi="Times New Roman" w:cs="Times New Roman"/>
        </w:rPr>
      </w:pPr>
    </w:p>
    <w:p w14:paraId="166E56CA">
      <w:pPr>
        <w:rPr>
          <w:rFonts w:hint="default" w:ascii="Times New Roman" w:hAnsi="Times New Roman" w:cs="Times New Roman"/>
        </w:rPr>
      </w:pPr>
    </w:p>
    <w:p w14:paraId="45E4552B">
      <w:pPr>
        <w:rPr>
          <w:rFonts w:hint="default" w:ascii="Times New Roman" w:hAnsi="Times New Roman" w:cs="Times New Roman"/>
        </w:rPr>
      </w:pPr>
      <w:r>
        <w:rPr>
          <w:rFonts w:hint="default" w:ascii="Times New Roman" w:hAnsi="Times New Roman" w:cs="Times New Roman"/>
        </w:rPr>
        <w:drawing>
          <wp:anchor distT="0" distB="0" distL="114300" distR="114300" simplePos="0" relativeHeight="251668480" behindDoc="0" locked="0" layoutInCell="1" allowOverlap="1">
            <wp:simplePos x="0" y="0"/>
            <wp:positionH relativeFrom="column">
              <wp:posOffset>7282815</wp:posOffset>
            </wp:positionH>
            <wp:positionV relativeFrom="paragraph">
              <wp:posOffset>188595</wp:posOffset>
            </wp:positionV>
            <wp:extent cx="1990725" cy="523875"/>
            <wp:effectExtent l="0" t="0" r="5715" b="9525"/>
            <wp:wrapNone/>
            <wp:docPr id="5" name="图片 5" descr="C:\Users\Administrator\Documents\WeChat Files\wxid_7u0b87ep9z8122\FileStorage\Temp\1657857620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ocuments\WeChat Files\wxid_7u0b87ep9z8122\FileStorage\Temp\1657857620465.png"/>
                    <pic:cNvPicPr>
                      <a:picLocks noChangeAspect="1"/>
                    </pic:cNvPicPr>
                  </pic:nvPicPr>
                  <pic:blipFill>
                    <a:blip r:embed="rId27"/>
                    <a:stretch>
                      <a:fillRect/>
                    </a:stretch>
                  </pic:blipFill>
                  <pic:spPr>
                    <a:xfrm>
                      <a:off x="0" y="0"/>
                      <a:ext cx="1990725" cy="523875"/>
                    </a:xfrm>
                    <a:prstGeom prst="rect">
                      <a:avLst/>
                    </a:prstGeom>
                    <a:noFill/>
                    <a:ln>
                      <a:noFill/>
                    </a:ln>
                  </pic:spPr>
                </pic:pic>
              </a:graphicData>
            </a:graphic>
          </wp:anchor>
        </w:drawing>
      </w:r>
    </w:p>
    <w:p w14:paraId="42306C41">
      <w:pPr>
        <w:rPr>
          <w:rFonts w:hint="default" w:ascii="Times New Roman" w:hAnsi="Times New Roman" w:cs="Times New Roman"/>
        </w:rPr>
      </w:pPr>
    </w:p>
    <w:p w14:paraId="0E568927">
      <w:pPr>
        <w:rPr>
          <w:rFonts w:hint="default" w:ascii="Times New Roman" w:hAnsi="Times New Roman" w:cs="Times New Roman"/>
        </w:rPr>
      </w:pPr>
    </w:p>
    <w:p w14:paraId="1DD16907">
      <w:pPr>
        <w:rPr>
          <w:rFonts w:hint="default" w:ascii="Times New Roman" w:hAnsi="Times New Roman" w:cs="Times New Roman"/>
        </w:rPr>
      </w:pPr>
      <w:r>
        <w:rPr>
          <w:rFonts w:hint="default" w:ascii="Times New Roman" w:hAnsi="Times New Roman" w:cs="Times New Roman"/>
          <w:sz w:val="21"/>
        </w:rPr>
        <mc:AlternateContent>
          <mc:Choice Requires="wps">
            <w:drawing>
              <wp:anchor distT="0" distB="0" distL="114300" distR="114300" simplePos="0" relativeHeight="251670528" behindDoc="0" locked="0" layoutInCell="1" allowOverlap="1">
                <wp:simplePos x="0" y="0"/>
                <wp:positionH relativeFrom="column">
                  <wp:posOffset>3261995</wp:posOffset>
                </wp:positionH>
                <wp:positionV relativeFrom="paragraph">
                  <wp:posOffset>27940</wp:posOffset>
                </wp:positionV>
                <wp:extent cx="2820035" cy="404495"/>
                <wp:effectExtent l="0" t="0" r="0" b="0"/>
                <wp:wrapNone/>
                <wp:docPr id="224" name="文本框 224"/>
                <wp:cNvGraphicFramePr/>
                <a:graphic xmlns:a="http://schemas.openxmlformats.org/drawingml/2006/main">
                  <a:graphicData uri="http://schemas.microsoft.com/office/word/2010/wordprocessingShape">
                    <wps:wsp>
                      <wps:cNvSpPr txBox="1"/>
                      <wps:spPr>
                        <a:xfrm>
                          <a:off x="3978275" y="6536690"/>
                          <a:ext cx="2820035" cy="404495"/>
                        </a:xfrm>
                        <a:prstGeom prst="rect">
                          <a:avLst/>
                        </a:prstGeom>
                        <a:noFill/>
                        <a:ln w="6350">
                          <a:noFill/>
                        </a:ln>
                        <a:effectLst/>
                      </wps:spPr>
                      <wps:txbx>
                        <w:txbxContent>
                          <w:p w14:paraId="6B2435A3">
                            <w:pPr>
                              <w:tabs>
                                <w:tab w:val="left" w:pos="4875"/>
                              </w:tabs>
                              <w:jc w:val="center"/>
                              <w:rPr>
                                <w:rFonts w:hint="eastAsia" w:ascii="黑体" w:hAnsi="黑体" w:eastAsia="黑体"/>
                                <w:sz w:val="28"/>
                                <w:szCs w:val="28"/>
                              </w:rPr>
                            </w:pPr>
                            <w:r>
                              <w:rPr>
                                <w:rFonts w:hint="eastAsia" w:ascii="黑体" w:hAnsi="黑体" w:eastAsia="黑体"/>
                                <w:sz w:val="28"/>
                                <w:szCs w:val="28"/>
                              </w:rPr>
                              <w:t>附图一</w:t>
                            </w:r>
                            <w:r>
                              <w:rPr>
                                <w:rFonts w:hint="eastAsia" w:ascii="黑体" w:hAnsi="黑体" w:eastAsia="黑体"/>
                                <w:sz w:val="28"/>
                                <w:szCs w:val="28"/>
                                <w:lang w:eastAsia="zh-CN"/>
                              </w:rPr>
                              <w:t>：</w:t>
                            </w:r>
                            <w:r>
                              <w:rPr>
                                <w:rFonts w:hint="eastAsia" w:ascii="黑体" w:hAnsi="黑体" w:eastAsia="黑体"/>
                                <w:sz w:val="28"/>
                                <w:szCs w:val="28"/>
                                <w:lang w:val="en-US" w:eastAsia="zh-CN"/>
                              </w:rPr>
                              <w:t>本</w:t>
                            </w:r>
                            <w:r>
                              <w:rPr>
                                <w:rFonts w:hint="eastAsia" w:ascii="黑体" w:hAnsi="黑体" w:eastAsia="黑体"/>
                                <w:sz w:val="28"/>
                                <w:szCs w:val="28"/>
                              </w:rPr>
                              <w:t>项目地理位置图</w:t>
                            </w:r>
                          </w:p>
                          <w:p w14:paraId="033A2A6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85pt;margin-top:2.2pt;height:31.85pt;width:222.05pt;z-index:251670528;mso-width-relative:page;mso-height-relative:page;" filled="f" stroked="f" coordsize="21600,21600" o:gfxdata="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wHQuNoAAAAIAQAA&#10;DwAAAAAAAAABACAAAAAiAAAAZHJzL2Rvd25yZXYueG1sUEsBAhQAFAAAAAgAh07iQEjFHIlQAgAA&#10;hAQAAA4AAAAAAAAAAQAgAAAAKQEAAGRycy9lMm9Eb2MueG1sUEsFBgAAAAAGAAYAWQEAAOsFAAAA&#10;AA==&#10;">
                <v:fill on="f" focussize="0,0"/>
                <v:stroke on="f" weight="0.5pt"/>
                <v:imagedata o:title=""/>
                <o:lock v:ext="edit" aspectratio="f"/>
                <v:textbox>
                  <w:txbxContent>
                    <w:p w14:paraId="6B2435A3">
                      <w:pPr>
                        <w:tabs>
                          <w:tab w:val="left" w:pos="4875"/>
                        </w:tabs>
                        <w:jc w:val="center"/>
                        <w:rPr>
                          <w:rFonts w:hint="eastAsia" w:ascii="黑体" w:hAnsi="黑体" w:eastAsia="黑体"/>
                          <w:sz w:val="28"/>
                          <w:szCs w:val="28"/>
                        </w:rPr>
                      </w:pPr>
                      <w:r>
                        <w:rPr>
                          <w:rFonts w:hint="eastAsia" w:ascii="黑体" w:hAnsi="黑体" w:eastAsia="黑体"/>
                          <w:sz w:val="28"/>
                          <w:szCs w:val="28"/>
                        </w:rPr>
                        <w:t>附图一</w:t>
                      </w:r>
                      <w:r>
                        <w:rPr>
                          <w:rFonts w:hint="eastAsia" w:ascii="黑体" w:hAnsi="黑体" w:eastAsia="黑体"/>
                          <w:sz w:val="28"/>
                          <w:szCs w:val="28"/>
                          <w:lang w:eastAsia="zh-CN"/>
                        </w:rPr>
                        <w:t>：</w:t>
                      </w:r>
                      <w:r>
                        <w:rPr>
                          <w:rFonts w:hint="eastAsia" w:ascii="黑体" w:hAnsi="黑体" w:eastAsia="黑体"/>
                          <w:sz w:val="28"/>
                          <w:szCs w:val="28"/>
                          <w:lang w:val="en-US" w:eastAsia="zh-CN"/>
                        </w:rPr>
                        <w:t>本</w:t>
                      </w:r>
                      <w:r>
                        <w:rPr>
                          <w:rFonts w:hint="eastAsia" w:ascii="黑体" w:hAnsi="黑体" w:eastAsia="黑体"/>
                          <w:sz w:val="28"/>
                          <w:szCs w:val="28"/>
                        </w:rPr>
                        <w:t>项目地理位置图</w:t>
                      </w:r>
                    </w:p>
                    <w:p w14:paraId="033A2A66"/>
                  </w:txbxContent>
                </v:textbox>
              </v:shape>
            </w:pict>
          </mc:Fallback>
        </mc:AlternateContent>
      </w:r>
    </w:p>
    <w:p w14:paraId="369DFD03">
      <w:pPr>
        <w:rPr>
          <w:rFonts w:hint="default" w:ascii="Times New Roman" w:hAnsi="Times New Roman" w:cs="Times New Roman"/>
        </w:rPr>
      </w:pPr>
      <w:r>
        <w:rPr>
          <w:sz w:val="21"/>
        </w:rPr>
        <mc:AlternateContent>
          <mc:Choice Requires="wps">
            <w:drawing>
              <wp:anchor distT="0" distB="0" distL="114300" distR="114300" simplePos="0" relativeHeight="251691008" behindDoc="0" locked="0" layoutInCell="1" allowOverlap="1">
                <wp:simplePos x="0" y="0"/>
                <wp:positionH relativeFrom="column">
                  <wp:posOffset>5114290</wp:posOffset>
                </wp:positionH>
                <wp:positionV relativeFrom="paragraph">
                  <wp:posOffset>3361055</wp:posOffset>
                </wp:positionV>
                <wp:extent cx="436245" cy="232410"/>
                <wp:effectExtent l="4445" t="4445" r="16510" b="6985"/>
                <wp:wrapNone/>
                <wp:docPr id="52" name="文本框 52"/>
                <wp:cNvGraphicFramePr/>
                <a:graphic xmlns:a="http://schemas.openxmlformats.org/drawingml/2006/main">
                  <a:graphicData uri="http://schemas.microsoft.com/office/word/2010/wordprocessingShape">
                    <wps:wsp>
                      <wps:cNvSpPr txBox="1"/>
                      <wps:spPr>
                        <a:xfrm>
                          <a:off x="5461000" y="2004695"/>
                          <a:ext cx="436245" cy="2324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B032A4D">
                            <w:pPr>
                              <w:keepNext w:val="0"/>
                              <w:keepLines w:val="0"/>
                              <w:pageBreakBefore w:val="0"/>
                              <w:widowControl w:val="0"/>
                              <w:kinsoku/>
                              <w:wordWrap/>
                              <w:overflowPunct/>
                              <w:topLinePunct w:val="0"/>
                              <w:bidi w:val="0"/>
                              <w:adjustRightInd/>
                              <w:snapToGrid w:val="0"/>
                              <w:textAlignment w:val="auto"/>
                              <w:rPr>
                                <w:rFonts w:hint="default" w:eastAsia="宋体"/>
                                <w:lang w:val="en-US" w:eastAsia="zh-CN"/>
                              </w:rPr>
                            </w:pPr>
                            <w:r>
                              <w:rPr>
                                <w:rFonts w:hint="eastAsia"/>
                                <w:lang w:val="en-US" w:eastAsia="zh-CN"/>
                              </w:rPr>
                              <w:t>55m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7pt;margin-top:264.65pt;height:18.3pt;width:34.35pt;z-index:251691008;mso-width-relative:page;mso-height-relative:page;" fillcolor="#FFFFFF [3201]" filled="t" stroked="t" coordsize="21600,21600" o:gfxdata="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NqPAvNkAAAALAQAADwAAAAAAAAABACAAAAAiAAAAZHJzL2Rvd25yZXYueG1sUEsB&#10;AhQAFAAAAAgAh07iQAt6LzBmAgAAxAQAAA4AAAAAAAAAAQAgAAAAKAEAAGRycy9lMm9Eb2MueG1s&#10;UEsFBgAAAAAGAAYAWQEAAAAGAAAAAA==&#10;">
                <v:fill on="t" focussize="0,0"/>
                <v:stroke weight="0.5pt" color="#000000 [3204]" joinstyle="round"/>
                <v:imagedata o:title=""/>
                <o:lock v:ext="edit" aspectratio="f"/>
                <v:textbox>
                  <w:txbxContent>
                    <w:p w14:paraId="5B032A4D">
                      <w:pPr>
                        <w:keepNext w:val="0"/>
                        <w:keepLines w:val="0"/>
                        <w:pageBreakBefore w:val="0"/>
                        <w:widowControl w:val="0"/>
                        <w:kinsoku/>
                        <w:wordWrap/>
                        <w:overflowPunct/>
                        <w:topLinePunct w:val="0"/>
                        <w:bidi w:val="0"/>
                        <w:adjustRightInd/>
                        <w:snapToGrid w:val="0"/>
                        <w:textAlignment w:val="auto"/>
                        <w:rPr>
                          <w:rFonts w:hint="default" w:eastAsia="宋体"/>
                          <w:lang w:val="en-US" w:eastAsia="zh-CN"/>
                        </w:rPr>
                      </w:pPr>
                      <w:r>
                        <w:rPr>
                          <w:rFonts w:hint="eastAsia"/>
                          <w:lang w:val="en-US" w:eastAsia="zh-CN"/>
                        </w:rPr>
                        <w:t>55m</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5128260</wp:posOffset>
                </wp:positionH>
                <wp:positionV relativeFrom="paragraph">
                  <wp:posOffset>3034030</wp:posOffset>
                </wp:positionV>
                <wp:extent cx="138430" cy="214630"/>
                <wp:effectExtent l="10160" t="9525" r="19050" b="19685"/>
                <wp:wrapNone/>
                <wp:docPr id="53" name="任意多边形 53"/>
                <wp:cNvGraphicFramePr/>
                <a:graphic xmlns:a="http://schemas.openxmlformats.org/drawingml/2006/main">
                  <a:graphicData uri="http://schemas.microsoft.com/office/word/2010/wordprocessingShape">
                    <wps:wsp>
                      <wps:cNvSpPr/>
                      <wps:spPr>
                        <a:xfrm>
                          <a:off x="5814060" y="3948430"/>
                          <a:ext cx="138430" cy="214630"/>
                        </a:xfrm>
                        <a:custGeom>
                          <a:avLst/>
                          <a:gdLst>
                            <a:gd name="connisteX0" fmla="*/ 0 w 138430"/>
                            <a:gd name="connsiteY0" fmla="*/ 0 h 214630"/>
                            <a:gd name="connisteX1" fmla="*/ 125095 w 138430"/>
                            <a:gd name="connsiteY1" fmla="*/ 0 h 214630"/>
                            <a:gd name="connisteX2" fmla="*/ 138430 w 138430"/>
                            <a:gd name="connsiteY2" fmla="*/ 214630 h 214630"/>
                            <a:gd name="connisteX3" fmla="*/ 6985 w 138430"/>
                            <a:gd name="connsiteY3" fmla="*/ 207645 h 214630"/>
                            <a:gd name="connisteX4" fmla="*/ 0 w 138430"/>
                            <a:gd name="connsiteY4" fmla="*/ 0 h 2146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38430" h="214630">
                              <a:moveTo>
                                <a:pt x="0" y="0"/>
                              </a:moveTo>
                              <a:lnTo>
                                <a:pt x="125095" y="0"/>
                              </a:lnTo>
                              <a:lnTo>
                                <a:pt x="138430" y="214630"/>
                              </a:lnTo>
                              <a:lnTo>
                                <a:pt x="6985" y="207645"/>
                              </a:lnTo>
                              <a:lnTo>
                                <a:pt x="0" y="0"/>
                              </a:lnTo>
                              <a:close/>
                            </a:path>
                          </a:pathLst>
                        </a:cu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03.8pt;margin-top:238.9pt;height:16.9pt;width:10.9pt;z-index:251692032;mso-width-relative:page;mso-height-relative:page;" filled="f" stroked="t" coordsize="138430,214630" o:gfxdata="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XTauTdgAAAALAQAADwAAAAAAAAABACAAAAAiAAAAZHJzL2Rvd25yZXYueG1sUEsB&#10;AhQAFAAAAAgAh07iQDpOGkgSAwAANggAAA4AAAAAAAAAAQAgAAAAJwEAAGRycy9lMm9Eb2MueG1s&#10;UEsFBgAAAAAGAAYAWQEAAKsGAAAAAA==&#10;" path="m0,0l125095,0,138430,214630,6985,207645,0,0xe">
                <v:path o:connectlocs="0,0;125095,0;138430,214630;6985,207645;0,0" o:connectangles="0,0,0,0,0"/>
                <v:fill on="f" focussize="0,0"/>
                <v:stroke weight="1.5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4713605</wp:posOffset>
                </wp:positionH>
                <wp:positionV relativeFrom="paragraph">
                  <wp:posOffset>2766695</wp:posOffset>
                </wp:positionV>
                <wp:extent cx="436245" cy="263525"/>
                <wp:effectExtent l="5080" t="8255" r="635" b="2540"/>
                <wp:wrapNone/>
                <wp:docPr id="51" name="直接箭头连接符 51"/>
                <wp:cNvGraphicFramePr/>
                <a:graphic xmlns:a="http://schemas.openxmlformats.org/drawingml/2006/main">
                  <a:graphicData uri="http://schemas.microsoft.com/office/word/2010/wordprocessingShape">
                    <wps:wsp>
                      <wps:cNvCnPr/>
                      <wps:spPr>
                        <a:xfrm>
                          <a:off x="5412740" y="3688080"/>
                          <a:ext cx="436245" cy="263525"/>
                        </a:xfrm>
                        <a:prstGeom prst="straightConnector1">
                          <a:avLst/>
                        </a:prstGeom>
                        <a:ln w="1905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71.15pt;margin-top:217.85pt;height:20.75pt;width:34.35pt;z-index:251689984;mso-width-relative:page;mso-height-relative:page;" filled="f" stroked="t" coordsize="21600,21600" o:gfxdata="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Kl6OHTaAAAACwEA&#10;AA8AAAAAAAAAAQAgAAAAIgAAAGRycy9kb3ducmV2LnhtbFBLAQIUABQAAAAIAIdO4kA6dVFSGAIA&#10;APEDAAAOAAAAAAAAAAEAIAAAACkBAABkcnMvZTJvRG9jLnhtbFBLBQYAAAAABgAGAFkBAACzBQAA&#10;AAA=&#10;">
                <v:fill on="f" focussize="0,0"/>
                <v:stroke weight="1.5pt" color="#FFFF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5315585</wp:posOffset>
                </wp:positionH>
                <wp:positionV relativeFrom="paragraph">
                  <wp:posOffset>3016250</wp:posOffset>
                </wp:positionV>
                <wp:extent cx="311785" cy="297180"/>
                <wp:effectExtent l="10160" t="10160" r="13335" b="12700"/>
                <wp:wrapNone/>
                <wp:docPr id="50" name="任意多边形 50"/>
                <wp:cNvGraphicFramePr/>
                <a:graphic xmlns:a="http://schemas.openxmlformats.org/drawingml/2006/main">
                  <a:graphicData uri="http://schemas.microsoft.com/office/word/2010/wordprocessingShape">
                    <wps:wsp>
                      <wps:cNvSpPr/>
                      <wps:spPr>
                        <a:xfrm>
                          <a:off x="6001385" y="3930650"/>
                          <a:ext cx="311785" cy="297180"/>
                        </a:xfrm>
                        <a:custGeom>
                          <a:avLst/>
                          <a:gdLst>
                            <a:gd name="connisteX0" fmla="*/ 0 w 311785"/>
                            <a:gd name="connsiteY0" fmla="*/ 13335 h 297180"/>
                            <a:gd name="connisteX1" fmla="*/ 20955 w 311785"/>
                            <a:gd name="connsiteY1" fmla="*/ 297180 h 297180"/>
                            <a:gd name="connisteX2" fmla="*/ 311785 w 311785"/>
                            <a:gd name="connsiteY2" fmla="*/ 270510 h 297180"/>
                            <a:gd name="connisteX3" fmla="*/ 290830 w 311785"/>
                            <a:gd name="connsiteY3" fmla="*/ 0 h 297180"/>
                            <a:gd name="connisteX4" fmla="*/ 0 w 311785"/>
                            <a:gd name="connsiteY4" fmla="*/ 13335 h 2971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11785" h="297180">
                              <a:moveTo>
                                <a:pt x="0" y="13335"/>
                              </a:moveTo>
                              <a:lnTo>
                                <a:pt x="20955" y="297180"/>
                              </a:lnTo>
                              <a:lnTo>
                                <a:pt x="311785" y="270510"/>
                              </a:lnTo>
                              <a:lnTo>
                                <a:pt x="290830" y="0"/>
                              </a:lnTo>
                              <a:lnTo>
                                <a:pt x="0" y="13335"/>
                              </a:lnTo>
                              <a:close/>
                            </a:path>
                          </a:pathLst>
                        </a:cu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18.55pt;margin-top:237.5pt;height:23.4pt;width:24.55pt;z-index:251688960;mso-width-relative:page;mso-height-relative:page;" filled="f" stroked="t" coordsize="311785,297180" o:gfxdata="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" path="m0,13335l20955,297180,311785,270510,290830,0,0,13335xe">
                <v:path o:connectlocs="0,13335;20955,297180;311785,270510;290830,0;0,13335" o:connectangles="0,0,0,0,0"/>
                <v:fill on="f" focussize="0,0"/>
                <v:stroke weight="1.5pt" color="#FFFF00 [2404]" miterlimit="8" joinstyle="miter"/>
                <v:imagedata o:title=""/>
                <o:lock v:ext="edit" aspectratio="f"/>
              </v:shape>
            </w:pict>
          </mc:Fallback>
        </mc:AlternateContent>
      </w:r>
      <w:r>
        <w:rPr>
          <w:rFonts w:hint="default" w:ascii="Times New Roman" w:hAnsi="Times New Roman" w:cs="Times New Roman"/>
          <w:sz w:val="21"/>
        </w:rPr>
        <w:drawing>
          <wp:anchor distT="0" distB="0" distL="114300" distR="114300" simplePos="0" relativeHeight="251673600" behindDoc="0" locked="0" layoutInCell="1" allowOverlap="1">
            <wp:simplePos x="0" y="0"/>
            <wp:positionH relativeFrom="column">
              <wp:posOffset>8811260</wp:posOffset>
            </wp:positionH>
            <wp:positionV relativeFrom="paragraph">
              <wp:posOffset>41275</wp:posOffset>
            </wp:positionV>
            <wp:extent cx="651510" cy="651510"/>
            <wp:effectExtent l="15875" t="15875" r="18415" b="18415"/>
            <wp:wrapNone/>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5"/>
                    <a:stretch>
                      <a:fillRect/>
                    </a:stretch>
                  </pic:blipFill>
                  <pic:spPr>
                    <a:xfrm>
                      <a:off x="0" y="0"/>
                      <a:ext cx="651510" cy="651510"/>
                    </a:xfrm>
                    <a:prstGeom prst="rect">
                      <a:avLst/>
                    </a:prstGeom>
                    <a:noFill/>
                    <a:ln w="1587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cs="Times New Roman"/>
          <w:sz w:val="21"/>
        </w:rPr>
        <mc:AlternateContent>
          <mc:Choice Requires="wps">
            <w:drawing>
              <wp:anchor distT="0" distB="0" distL="114300" distR="114300" simplePos="0" relativeHeight="251672576" behindDoc="0" locked="0" layoutInCell="1" allowOverlap="1">
                <wp:simplePos x="0" y="0"/>
                <wp:positionH relativeFrom="column">
                  <wp:posOffset>3300095</wp:posOffset>
                </wp:positionH>
                <wp:positionV relativeFrom="paragraph">
                  <wp:posOffset>5234305</wp:posOffset>
                </wp:positionV>
                <wp:extent cx="2820035" cy="5334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2820035" cy="533400"/>
                        </a:xfrm>
                        <a:prstGeom prst="rect">
                          <a:avLst/>
                        </a:prstGeom>
                        <a:noFill/>
                        <a:ln w="6350">
                          <a:noFill/>
                        </a:ln>
                        <a:effectLst/>
                      </wps:spPr>
                      <wps:txbx>
                        <w:txbxContent>
                          <w:p w14:paraId="69C87F3C">
                            <w:pPr>
                              <w:tabs>
                                <w:tab w:val="left" w:pos="4875"/>
                              </w:tabs>
                              <w:jc w:val="center"/>
                              <w:rPr>
                                <w:rFonts w:hint="default" w:ascii="黑体" w:hAnsi="黑体" w:eastAsia="黑体"/>
                                <w:sz w:val="28"/>
                                <w:szCs w:val="28"/>
                                <w:lang w:val="en-US" w:eastAsia="zh-CN"/>
                              </w:rPr>
                            </w:pPr>
                            <w:r>
                              <w:rPr>
                                <w:rFonts w:hint="eastAsia" w:ascii="黑体" w:hAnsi="黑体" w:eastAsia="黑体"/>
                                <w:sz w:val="28"/>
                                <w:szCs w:val="28"/>
                              </w:rPr>
                              <w:t>附图</w:t>
                            </w:r>
                            <w:r>
                              <w:rPr>
                                <w:rFonts w:hint="eastAsia" w:ascii="黑体" w:hAnsi="黑体" w:eastAsia="黑体"/>
                                <w:sz w:val="28"/>
                                <w:szCs w:val="28"/>
                                <w:lang w:val="en-US" w:eastAsia="zh-CN"/>
                              </w:rPr>
                              <w:t>二</w:t>
                            </w:r>
                            <w:r>
                              <w:rPr>
                                <w:rFonts w:hint="eastAsia" w:ascii="黑体" w:hAnsi="黑体" w:eastAsia="黑体"/>
                                <w:sz w:val="28"/>
                                <w:szCs w:val="28"/>
                                <w:lang w:eastAsia="zh-CN"/>
                              </w:rPr>
                              <w:t>：</w:t>
                            </w:r>
                            <w:r>
                              <w:rPr>
                                <w:rFonts w:hint="eastAsia" w:ascii="黑体" w:hAnsi="黑体" w:eastAsia="黑体"/>
                                <w:sz w:val="28"/>
                                <w:szCs w:val="28"/>
                                <w:lang w:val="en-US" w:eastAsia="zh-CN"/>
                              </w:rPr>
                              <w:t>本</w:t>
                            </w:r>
                            <w:r>
                              <w:rPr>
                                <w:rFonts w:hint="eastAsia" w:ascii="黑体" w:hAnsi="黑体" w:eastAsia="黑体"/>
                                <w:sz w:val="28"/>
                                <w:szCs w:val="28"/>
                              </w:rPr>
                              <w:t>项目</w:t>
                            </w:r>
                            <w:r>
                              <w:rPr>
                                <w:rFonts w:hint="eastAsia" w:ascii="黑体" w:hAnsi="黑体" w:eastAsia="黑体"/>
                                <w:sz w:val="28"/>
                                <w:szCs w:val="28"/>
                                <w:lang w:val="en-US" w:eastAsia="zh-CN"/>
                              </w:rPr>
                              <w:t>周边环境示意图</w:t>
                            </w:r>
                          </w:p>
                          <w:p w14:paraId="69C8E8D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85pt;margin-top:412.15pt;height:42pt;width:222.05pt;z-index:251672576;mso-width-relative:page;mso-height-relative:page;" filled="f" stroked="f" coordsize="21600,21600" o:gfxdata="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TuGlV3AAAAAsBAAAPAAAAAAAAAAEAIAAA&#10;ACIAAABkcnMvZG93bnJldi54bWxQSwECFAAUAAAACACHTuJADBuSlUECAAB0BAAADgAAAAAAAAAB&#10;ACAAAAArAQAAZHJzL2Uyb0RvYy54bWxQSwUGAAAAAAYABgBZAQAA3gUAAAAA&#10;">
                <v:fill on="f" focussize="0,0"/>
                <v:stroke on="f" weight="0.5pt"/>
                <v:imagedata o:title=""/>
                <o:lock v:ext="edit" aspectratio="f"/>
                <v:textbox>
                  <w:txbxContent>
                    <w:p w14:paraId="69C87F3C">
                      <w:pPr>
                        <w:tabs>
                          <w:tab w:val="left" w:pos="4875"/>
                        </w:tabs>
                        <w:jc w:val="center"/>
                        <w:rPr>
                          <w:rFonts w:hint="default" w:ascii="黑体" w:hAnsi="黑体" w:eastAsia="黑体"/>
                          <w:sz w:val="28"/>
                          <w:szCs w:val="28"/>
                          <w:lang w:val="en-US" w:eastAsia="zh-CN"/>
                        </w:rPr>
                      </w:pPr>
                      <w:r>
                        <w:rPr>
                          <w:rFonts w:hint="eastAsia" w:ascii="黑体" w:hAnsi="黑体" w:eastAsia="黑体"/>
                          <w:sz w:val="28"/>
                          <w:szCs w:val="28"/>
                        </w:rPr>
                        <w:t>附图</w:t>
                      </w:r>
                      <w:r>
                        <w:rPr>
                          <w:rFonts w:hint="eastAsia" w:ascii="黑体" w:hAnsi="黑体" w:eastAsia="黑体"/>
                          <w:sz w:val="28"/>
                          <w:szCs w:val="28"/>
                          <w:lang w:val="en-US" w:eastAsia="zh-CN"/>
                        </w:rPr>
                        <w:t>二</w:t>
                      </w:r>
                      <w:r>
                        <w:rPr>
                          <w:rFonts w:hint="eastAsia" w:ascii="黑体" w:hAnsi="黑体" w:eastAsia="黑体"/>
                          <w:sz w:val="28"/>
                          <w:szCs w:val="28"/>
                          <w:lang w:eastAsia="zh-CN"/>
                        </w:rPr>
                        <w:t>：</w:t>
                      </w:r>
                      <w:r>
                        <w:rPr>
                          <w:rFonts w:hint="eastAsia" w:ascii="黑体" w:hAnsi="黑体" w:eastAsia="黑体"/>
                          <w:sz w:val="28"/>
                          <w:szCs w:val="28"/>
                          <w:lang w:val="en-US" w:eastAsia="zh-CN"/>
                        </w:rPr>
                        <w:t>本</w:t>
                      </w:r>
                      <w:r>
                        <w:rPr>
                          <w:rFonts w:hint="eastAsia" w:ascii="黑体" w:hAnsi="黑体" w:eastAsia="黑体"/>
                          <w:sz w:val="28"/>
                          <w:szCs w:val="28"/>
                        </w:rPr>
                        <w:t>项目</w:t>
                      </w:r>
                      <w:r>
                        <w:rPr>
                          <w:rFonts w:hint="eastAsia" w:ascii="黑体" w:hAnsi="黑体" w:eastAsia="黑体"/>
                          <w:sz w:val="28"/>
                          <w:szCs w:val="28"/>
                          <w:lang w:val="en-US" w:eastAsia="zh-CN"/>
                        </w:rPr>
                        <w:t>周边环境示意图</w:t>
                      </w:r>
                    </w:p>
                    <w:p w14:paraId="69C8E8D9"/>
                  </w:txbxContent>
                </v:textbox>
              </v:shape>
            </w:pict>
          </mc:Fallback>
        </mc:AlternateContent>
      </w:r>
      <w:r>
        <w:rPr>
          <w:rFonts w:hint="default" w:ascii="Times New Roman" w:hAnsi="Times New Roman" w:cs="Times New Roman"/>
        </w:rPr>
        <w:drawing>
          <wp:inline distT="0" distB="0" distL="114300" distR="114300">
            <wp:extent cx="9486265" cy="5290185"/>
            <wp:effectExtent l="0" t="0" r="8255" b="1333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8"/>
                    <a:stretch>
                      <a:fillRect/>
                    </a:stretch>
                  </pic:blipFill>
                  <pic:spPr>
                    <a:xfrm>
                      <a:off x="0" y="0"/>
                      <a:ext cx="9486265" cy="5290185"/>
                    </a:xfrm>
                    <a:prstGeom prst="rect">
                      <a:avLst/>
                    </a:prstGeom>
                    <a:noFill/>
                    <a:ln>
                      <a:noFill/>
                    </a:ln>
                  </pic:spPr>
                </pic:pic>
              </a:graphicData>
            </a:graphic>
          </wp:inline>
        </w:drawing>
      </w:r>
    </w:p>
    <w:p w14:paraId="35AF9EC1">
      <w:pPr>
        <w:rPr>
          <w:rFonts w:hint="default" w:ascii="Times New Roman" w:hAnsi="Times New Roman" w:cs="Times New Roman"/>
        </w:rPr>
      </w:pPr>
    </w:p>
    <w:p w14:paraId="4144B9FB">
      <w:pPr>
        <w:rPr>
          <w:rFonts w:hint="default" w:ascii="Times New Roman" w:hAnsi="Times New Roman" w:cs="Times New Roman"/>
        </w:rPr>
      </w:pPr>
    </w:p>
    <w:p w14:paraId="44767C05">
      <w:pPr>
        <w:rPr>
          <w:rFonts w:hint="default" w:ascii="Times New Roman" w:hAnsi="Times New Roman" w:cs="Times New Roman"/>
          <w:sz w:val="24"/>
        </w:rPr>
        <w:sectPr>
          <w:pgSz w:w="16838" w:h="11906" w:orient="landscape"/>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sz w:val="24"/>
        </w:rPr>
        <mc:AlternateContent>
          <mc:Choice Requires="wps">
            <w:drawing>
              <wp:anchor distT="0" distB="0" distL="114300" distR="114300" simplePos="0" relativeHeight="251671552" behindDoc="0" locked="0" layoutInCell="1" allowOverlap="1">
                <wp:simplePos x="0" y="0"/>
                <wp:positionH relativeFrom="column">
                  <wp:posOffset>3025775</wp:posOffset>
                </wp:positionH>
                <wp:positionV relativeFrom="paragraph">
                  <wp:posOffset>5674995</wp:posOffset>
                </wp:positionV>
                <wp:extent cx="3916680" cy="434340"/>
                <wp:effectExtent l="0" t="0" r="0" b="0"/>
                <wp:wrapNone/>
                <wp:docPr id="15" name="文本框 15"/>
                <wp:cNvGraphicFramePr/>
                <a:graphic xmlns:a="http://schemas.openxmlformats.org/drawingml/2006/main">
                  <a:graphicData uri="http://schemas.microsoft.com/office/word/2010/wordprocessingShape">
                    <wps:wsp>
                      <wps:cNvSpPr txBox="1"/>
                      <wps:spPr>
                        <a:xfrm>
                          <a:off x="3726815" y="6612255"/>
                          <a:ext cx="3916680" cy="434340"/>
                        </a:xfrm>
                        <a:prstGeom prst="rect">
                          <a:avLst/>
                        </a:prstGeom>
                        <a:noFill/>
                        <a:ln w="6350">
                          <a:noFill/>
                        </a:ln>
                        <a:effectLst/>
                      </wps:spPr>
                      <wps:txbx>
                        <w:txbxContent>
                          <w:p w14:paraId="3321D353">
                            <w:pPr>
                              <w:rPr>
                                <w:rFonts w:hint="default" w:eastAsia="宋体"/>
                                <w:b/>
                                <w:bCs/>
                                <w:sz w:val="28"/>
                                <w:szCs w:val="28"/>
                                <w:lang w:val="en-US" w:eastAsia="zh-CN"/>
                              </w:rPr>
                            </w:pPr>
                            <w:r>
                              <w:rPr>
                                <w:rFonts w:hint="eastAsia"/>
                                <w:b/>
                                <w:bCs/>
                                <w:sz w:val="28"/>
                                <w:szCs w:val="28"/>
                                <w:lang w:val="en-US" w:eastAsia="zh-CN"/>
                              </w:rPr>
                              <w:t>附图三：</w:t>
                            </w:r>
                            <w:r>
                              <w:rPr>
                                <w:rFonts w:hint="eastAsia" w:ascii="宋体" w:hAnsi="宋体" w:eastAsia="宋体" w:cs="宋体"/>
                                <w:b/>
                                <w:bCs/>
                                <w:sz w:val="28"/>
                                <w:szCs w:val="28"/>
                              </w:rPr>
                              <w:t>项目</w:t>
                            </w:r>
                            <w:r>
                              <w:rPr>
                                <w:rFonts w:hint="eastAsia" w:ascii="宋体" w:hAnsi="宋体" w:eastAsia="宋体" w:cs="宋体"/>
                                <w:b/>
                                <w:bCs/>
                                <w:sz w:val="28"/>
                                <w:szCs w:val="28"/>
                                <w:lang w:val="en-US" w:eastAsia="zh-CN"/>
                              </w:rPr>
                              <w:t>在</w:t>
                            </w:r>
                            <w:r>
                              <w:rPr>
                                <w:rFonts w:hint="eastAsia" w:ascii="宋体" w:hAnsi="宋体" w:eastAsia="宋体" w:cs="宋体"/>
                                <w:b/>
                                <w:bCs/>
                                <w:sz w:val="28"/>
                                <w:szCs w:val="28"/>
                              </w:rPr>
                              <w:t>生态环境管控单元位置关系图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25pt;margin-top:446.85pt;height:34.2pt;width:308.4pt;z-index:251671552;mso-width-relative:page;mso-height-relative:page;" filled="f" stroked="f" coordsize="21600,21600" o:gfxdata="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uNSl3dAAAADAEA&#10;AA8AAAAAAAAAAQAgAAAAIgAAAGRycy9kb3ducmV2LnhtbFBLAQIUABQAAAAIAIdO4kCBeP31TgIA&#10;AIIEAAAOAAAAAAAAAAEAIAAAACwBAABkcnMvZTJvRG9jLnhtbFBLBQYAAAAABgAGAFkBAADsBQAA&#10;AAA=&#10;">
                <v:fill on="f" focussize="0,0"/>
                <v:stroke on="f" weight="0.5pt"/>
                <v:imagedata o:title=""/>
                <o:lock v:ext="edit" aspectratio="f"/>
                <v:textbox>
                  <w:txbxContent>
                    <w:p w14:paraId="3321D353">
                      <w:pPr>
                        <w:rPr>
                          <w:rFonts w:hint="default" w:eastAsia="宋体"/>
                          <w:b/>
                          <w:bCs/>
                          <w:sz w:val="28"/>
                          <w:szCs w:val="28"/>
                          <w:lang w:val="en-US" w:eastAsia="zh-CN"/>
                        </w:rPr>
                      </w:pPr>
                      <w:r>
                        <w:rPr>
                          <w:rFonts w:hint="eastAsia"/>
                          <w:b/>
                          <w:bCs/>
                          <w:sz w:val="28"/>
                          <w:szCs w:val="28"/>
                          <w:lang w:val="en-US" w:eastAsia="zh-CN"/>
                        </w:rPr>
                        <w:t>附图三：</w:t>
                      </w:r>
                      <w:r>
                        <w:rPr>
                          <w:rFonts w:hint="eastAsia" w:ascii="宋体" w:hAnsi="宋体" w:eastAsia="宋体" w:cs="宋体"/>
                          <w:b/>
                          <w:bCs/>
                          <w:sz w:val="28"/>
                          <w:szCs w:val="28"/>
                        </w:rPr>
                        <w:t>项目</w:t>
                      </w:r>
                      <w:r>
                        <w:rPr>
                          <w:rFonts w:hint="eastAsia" w:ascii="宋体" w:hAnsi="宋体" w:eastAsia="宋体" w:cs="宋体"/>
                          <w:b/>
                          <w:bCs/>
                          <w:sz w:val="28"/>
                          <w:szCs w:val="28"/>
                          <w:lang w:val="en-US" w:eastAsia="zh-CN"/>
                        </w:rPr>
                        <w:t>在</w:t>
                      </w:r>
                      <w:r>
                        <w:rPr>
                          <w:rFonts w:hint="eastAsia" w:ascii="宋体" w:hAnsi="宋体" w:eastAsia="宋体" w:cs="宋体"/>
                          <w:b/>
                          <w:bCs/>
                          <w:sz w:val="28"/>
                          <w:szCs w:val="28"/>
                        </w:rPr>
                        <w:t>生态环境管控单元位置关系图</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4624" behindDoc="0" locked="0" layoutInCell="1" allowOverlap="1">
                <wp:simplePos x="0" y="0"/>
                <wp:positionH relativeFrom="column">
                  <wp:posOffset>1440815</wp:posOffset>
                </wp:positionH>
                <wp:positionV relativeFrom="paragraph">
                  <wp:posOffset>1476375</wp:posOffset>
                </wp:positionV>
                <wp:extent cx="4601845" cy="3954145"/>
                <wp:effectExtent l="0" t="0" r="0" b="0"/>
                <wp:wrapNone/>
                <wp:docPr id="9" name="文本框 9"/>
                <wp:cNvGraphicFramePr/>
                <a:graphic xmlns:a="http://schemas.openxmlformats.org/drawingml/2006/main">
                  <a:graphicData uri="http://schemas.microsoft.com/office/word/2010/wordprocessingShape">
                    <wps:wsp>
                      <wps:cNvSpPr txBox="1"/>
                      <wps:spPr>
                        <a:xfrm>
                          <a:off x="1715135" y="2802255"/>
                          <a:ext cx="4601845" cy="3954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8FB85E">
                            <w:pPr>
                              <w:rPr>
                                <w:rFonts w:hint="eastAsia" w:eastAsiaTheme="minorEastAsia"/>
                                <w:lang w:eastAsia="zh-CN"/>
                              </w:rPr>
                            </w:pPr>
                            <w:r>
                              <w:rPr>
                                <w:rFonts w:hint="eastAsia" w:eastAsiaTheme="minorEastAsia"/>
                                <w:lang w:eastAsia="zh-CN"/>
                              </w:rPr>
                              <w:drawing>
                                <wp:inline distT="0" distB="0" distL="114300" distR="114300">
                                  <wp:extent cx="3656965" cy="3832860"/>
                                  <wp:effectExtent l="0" t="0" r="635" b="7620"/>
                                  <wp:docPr id="10" name="图片 10" descr="e388d11cb6e2d40955dc8178459b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388d11cb6e2d40955dc8178459b50a"/>
                                          <pic:cNvPicPr>
                                            <a:picLocks noChangeAspect="1"/>
                                          </pic:cNvPicPr>
                                        </pic:nvPicPr>
                                        <pic:blipFill>
                                          <a:blip r:embed="rId29"/>
                                          <a:srcRect r="2110"/>
                                          <a:stretch>
                                            <a:fillRect/>
                                          </a:stretch>
                                        </pic:blipFill>
                                        <pic:spPr>
                                          <a:xfrm>
                                            <a:off x="0" y="0"/>
                                            <a:ext cx="3656965" cy="38328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45pt;margin-top:116.25pt;height:311.35pt;width:362.35pt;z-index:251674624;mso-width-relative:page;mso-height-relative:page;" filled="f" stroked="f" coordsize="21600,21600" o:gfxdata="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xgmk3cAAAACwEAAA8AAAAA&#10;AAAAAQAgAAAAIgAAAGRycy9kb3ducmV2LnhtbFBLAQIUABQAAAAIAIdO4kA6x2B3SQIAAHMEAAAO&#10;AAAAAAAAAAEAIAAAACsBAABkcnMvZTJvRG9jLnhtbFBLBQYAAAAABgAGAFkBAADmBQAAAAA=&#10;">
                <v:fill on="f" focussize="0,0"/>
                <v:stroke on="f" weight="0.5pt"/>
                <v:imagedata o:title=""/>
                <o:lock v:ext="edit" aspectratio="f"/>
                <v:textbox>
                  <w:txbxContent>
                    <w:p w14:paraId="1C8FB85E">
                      <w:pPr>
                        <w:rPr>
                          <w:rFonts w:hint="eastAsia" w:eastAsiaTheme="minorEastAsia"/>
                          <w:lang w:eastAsia="zh-CN"/>
                        </w:rPr>
                      </w:pPr>
                      <w:r>
                        <w:rPr>
                          <w:rFonts w:hint="eastAsia" w:eastAsiaTheme="minorEastAsia"/>
                          <w:lang w:eastAsia="zh-CN"/>
                        </w:rPr>
                        <w:drawing>
                          <wp:inline distT="0" distB="0" distL="114300" distR="114300">
                            <wp:extent cx="3656965" cy="3832860"/>
                            <wp:effectExtent l="0" t="0" r="635" b="7620"/>
                            <wp:docPr id="10" name="图片 10" descr="e388d11cb6e2d40955dc8178459b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388d11cb6e2d40955dc8178459b50a"/>
                                    <pic:cNvPicPr>
                                      <a:picLocks noChangeAspect="1"/>
                                    </pic:cNvPicPr>
                                  </pic:nvPicPr>
                                  <pic:blipFill>
                                    <a:blip r:embed="rId29"/>
                                    <a:srcRect r="2110"/>
                                    <a:stretch>
                                      <a:fillRect/>
                                    </a:stretch>
                                  </pic:blipFill>
                                  <pic:spPr>
                                    <a:xfrm>
                                      <a:off x="0" y="0"/>
                                      <a:ext cx="3656965" cy="3832860"/>
                                    </a:xfrm>
                                    <a:prstGeom prst="rect">
                                      <a:avLst/>
                                    </a:prstGeom>
                                  </pic:spPr>
                                </pic:pic>
                              </a:graphicData>
                            </a:graphic>
                          </wp:inline>
                        </w:drawing>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76672" behindDoc="0" locked="0" layoutInCell="1" allowOverlap="1">
                <wp:simplePos x="0" y="0"/>
                <wp:positionH relativeFrom="column">
                  <wp:posOffset>6881495</wp:posOffset>
                </wp:positionH>
                <wp:positionV relativeFrom="paragraph">
                  <wp:posOffset>2907030</wp:posOffset>
                </wp:positionV>
                <wp:extent cx="807720" cy="596265"/>
                <wp:effectExtent l="0" t="0" r="0" b="0"/>
                <wp:wrapNone/>
                <wp:docPr id="12" name="文本框 12"/>
                <wp:cNvGraphicFramePr/>
                <a:graphic xmlns:a="http://schemas.openxmlformats.org/drawingml/2006/main">
                  <a:graphicData uri="http://schemas.microsoft.com/office/word/2010/wordprocessingShape">
                    <wps:wsp>
                      <wps:cNvSpPr txBox="1"/>
                      <wps:spPr>
                        <a:xfrm rot="21300000">
                          <a:off x="0" y="0"/>
                          <a:ext cx="807720" cy="596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04EB75">
                            <w:pPr>
                              <w:jc w:val="center"/>
                              <w:rPr>
                                <w:rFonts w:hint="eastAsia"/>
                                <w:sz w:val="21"/>
                                <w:szCs w:val="21"/>
                                <w:highlight w:val="yellow"/>
                                <w:lang w:val="en-US" w:eastAsia="zh-CN"/>
                              </w:rPr>
                            </w:pPr>
                            <w:r>
                              <w:rPr>
                                <w:rFonts w:hint="eastAsia"/>
                                <w:sz w:val="21"/>
                                <w:szCs w:val="21"/>
                                <w:highlight w:val="yellow"/>
                                <w:lang w:val="en-US" w:eastAsia="zh-CN"/>
                              </w:rPr>
                              <w:t>本项目所</w:t>
                            </w:r>
                          </w:p>
                          <w:p w14:paraId="3FD990D9">
                            <w:pPr>
                              <w:jc w:val="center"/>
                              <w:rPr>
                                <w:rFonts w:hint="default" w:eastAsiaTheme="minorEastAsia"/>
                                <w:sz w:val="21"/>
                                <w:szCs w:val="21"/>
                                <w:highlight w:val="yellow"/>
                                <w:lang w:val="en-US" w:eastAsia="zh-CN"/>
                              </w:rPr>
                            </w:pPr>
                            <w:r>
                              <w:rPr>
                                <w:rFonts w:hint="eastAsia"/>
                                <w:sz w:val="21"/>
                                <w:szCs w:val="21"/>
                                <w:highlight w:val="yellow"/>
                                <w:lang w:val="en-US" w:eastAsia="zh-CN"/>
                              </w:rPr>
                              <w:t>在位置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1.85pt;margin-top:228.9pt;height:46.95pt;width:63.6pt;rotation:-327680f;z-index:251676672;mso-width-relative:page;mso-height-relative:page;" filled="f" stroked="f" coordsize="21600,21600" o:gfxdata="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UqXZU9wAAAANAQAADwAAAAAAAAABACAA&#10;AAAiAAAAZHJzL2Rvd25yZXYueG1sUEsBAhQAFAAAAAgAh07iQEMVKPhCAgAAdgQAAA4AAAAAAAAA&#10;AQAgAAAAKwEAAGRycy9lMm9Eb2MueG1sUEsFBgAAAAAGAAYAWQEAAN8FAAAAAA==&#10;">
                <v:fill on="f" focussize="0,0"/>
                <v:stroke on="f" weight="0.5pt"/>
                <v:imagedata o:title=""/>
                <o:lock v:ext="edit" aspectratio="f"/>
                <v:textbox>
                  <w:txbxContent>
                    <w:p w14:paraId="3304EB75">
                      <w:pPr>
                        <w:jc w:val="center"/>
                        <w:rPr>
                          <w:rFonts w:hint="eastAsia"/>
                          <w:sz w:val="21"/>
                          <w:szCs w:val="21"/>
                          <w:highlight w:val="yellow"/>
                          <w:lang w:val="en-US" w:eastAsia="zh-CN"/>
                        </w:rPr>
                      </w:pPr>
                      <w:r>
                        <w:rPr>
                          <w:rFonts w:hint="eastAsia"/>
                          <w:sz w:val="21"/>
                          <w:szCs w:val="21"/>
                          <w:highlight w:val="yellow"/>
                          <w:lang w:val="en-US" w:eastAsia="zh-CN"/>
                        </w:rPr>
                        <w:t>本项目所</w:t>
                      </w:r>
                    </w:p>
                    <w:p w14:paraId="3FD990D9">
                      <w:pPr>
                        <w:jc w:val="center"/>
                        <w:rPr>
                          <w:rFonts w:hint="default" w:eastAsiaTheme="minorEastAsia"/>
                          <w:sz w:val="21"/>
                          <w:szCs w:val="21"/>
                          <w:highlight w:val="yellow"/>
                          <w:lang w:val="en-US" w:eastAsia="zh-CN"/>
                        </w:rPr>
                      </w:pPr>
                      <w:r>
                        <w:rPr>
                          <w:rFonts w:hint="eastAsia"/>
                          <w:sz w:val="21"/>
                          <w:szCs w:val="21"/>
                          <w:highlight w:val="yellow"/>
                          <w:lang w:val="en-US" w:eastAsia="zh-CN"/>
                        </w:rPr>
                        <w:t>在位置</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75648" behindDoc="0" locked="0" layoutInCell="1" allowOverlap="1">
                <wp:simplePos x="0" y="0"/>
                <wp:positionH relativeFrom="column">
                  <wp:posOffset>7026910</wp:posOffset>
                </wp:positionH>
                <wp:positionV relativeFrom="paragraph">
                  <wp:posOffset>2780030</wp:posOffset>
                </wp:positionV>
                <wp:extent cx="512445" cy="670560"/>
                <wp:effectExtent l="33020" t="27305" r="33655" b="33655"/>
                <wp:wrapNone/>
                <wp:docPr id="11" name="矩形 11"/>
                <wp:cNvGraphicFramePr/>
                <a:graphic xmlns:a="http://schemas.openxmlformats.org/drawingml/2006/main">
                  <a:graphicData uri="http://schemas.microsoft.com/office/word/2010/wordprocessingShape">
                    <wps:wsp>
                      <wps:cNvSpPr/>
                      <wps:spPr>
                        <a:xfrm rot="21360000">
                          <a:off x="0" y="0"/>
                          <a:ext cx="512445" cy="670560"/>
                        </a:xfrm>
                        <a:prstGeom prst="rect">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3.3pt;margin-top:218.9pt;height:52.8pt;width:40.35pt;rotation:-262144f;z-index:251675648;v-text-anchor:middle;mso-width-relative:page;mso-height-relative:page;" filled="f" stroked="t" coordsize="21600,21600" o:gfxdata="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H/J6pt0AAAANAQAADwAAAAAAAAABACAAAAAiAAAA&#10;ZHJzL2Rvd25yZXYueG1sUEsBAhQAFAAAAAgAh07iQEPaqNZ0AgAA2wQAAA4AAAAAAAAAAQAgAAAA&#10;LAEAAGRycy9lMm9Eb2MueG1sUEsFBgAAAAAGAAYAWQEAABIGAAAAAA==&#10;">
                <v:fill on="f" focussize="0,0"/>
                <v:stroke weight="1.5pt" color="#FFFF00 [2404]" miterlimit="8" joinstyle="miter"/>
                <v:imagedata o:title=""/>
                <o:lock v:ext="edit" aspectratio="f"/>
              </v:rect>
            </w:pict>
          </mc:Fallback>
        </mc:AlternateContent>
      </w:r>
      <w:r>
        <w:rPr>
          <w:rFonts w:hint="default" w:ascii="Times New Roman" w:hAnsi="Times New Roman" w:cs="Times New Roman"/>
          <w:sz w:val="24"/>
        </w:rPr>
        <w:drawing>
          <wp:inline distT="0" distB="0" distL="114300" distR="114300">
            <wp:extent cx="9317990" cy="5682615"/>
            <wp:effectExtent l="0" t="0" r="8890" b="1905"/>
            <wp:docPr id="13" name="图片 13" descr="3ca3ad67ff38ddcc918f8f4b4c6c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ca3ad67ff38ddcc918f8f4b4c6c921"/>
                    <pic:cNvPicPr>
                      <a:picLocks noChangeAspect="1"/>
                    </pic:cNvPicPr>
                  </pic:nvPicPr>
                  <pic:blipFill>
                    <a:blip r:embed="rId30"/>
                    <a:srcRect b="831"/>
                    <a:stretch>
                      <a:fillRect/>
                    </a:stretch>
                  </pic:blipFill>
                  <pic:spPr>
                    <a:xfrm>
                      <a:off x="0" y="0"/>
                      <a:ext cx="9317990" cy="5682615"/>
                    </a:xfrm>
                    <a:prstGeom prst="rect">
                      <a:avLst/>
                    </a:prstGeom>
                  </pic:spPr>
                </pic:pic>
              </a:graphicData>
            </a:graphic>
          </wp:inline>
        </w:drawing>
      </w:r>
    </w:p>
    <w:p w14:paraId="20BBBC08">
      <w:pPr>
        <w:jc w:val="center"/>
        <w:rPr>
          <w:rFonts w:hint="default" w:ascii="Times New Roman" w:hAnsi="Times New Roman" w:eastAsia="宋体" w:cs="Times New Roman"/>
          <w:lang w:eastAsia="zh-CN"/>
        </w:rPr>
        <w:sectPr>
          <w:pgSz w:w="16838" w:h="11906" w:orient="landscape"/>
          <w:pgMar w:top="1080" w:right="1440" w:bottom="108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sz w:val="24"/>
        </w:rPr>
        <mc:AlternateContent>
          <mc:Choice Requires="wps">
            <w:drawing>
              <wp:anchor distT="0" distB="0" distL="114300" distR="114300" simplePos="0" relativeHeight="251677696" behindDoc="0" locked="0" layoutInCell="1" allowOverlap="1">
                <wp:simplePos x="0" y="0"/>
                <wp:positionH relativeFrom="column">
                  <wp:posOffset>2684780</wp:posOffset>
                </wp:positionH>
                <wp:positionV relativeFrom="paragraph">
                  <wp:posOffset>6214745</wp:posOffset>
                </wp:positionV>
                <wp:extent cx="3916680" cy="43434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3916680" cy="434340"/>
                        </a:xfrm>
                        <a:prstGeom prst="rect">
                          <a:avLst/>
                        </a:prstGeom>
                        <a:noFill/>
                        <a:ln w="6350">
                          <a:noFill/>
                        </a:ln>
                        <a:effectLst/>
                      </wps:spPr>
                      <wps:txbx>
                        <w:txbxContent>
                          <w:p w14:paraId="769DB657">
                            <w:pPr>
                              <w:rPr>
                                <w:rFonts w:hint="default" w:eastAsiaTheme="minorEastAsia"/>
                                <w:b/>
                                <w:bCs/>
                                <w:sz w:val="28"/>
                                <w:szCs w:val="28"/>
                                <w:lang w:val="en-US" w:eastAsia="zh-CN"/>
                              </w:rPr>
                            </w:pPr>
                            <w:r>
                              <w:rPr>
                                <w:rFonts w:hint="eastAsia"/>
                                <w:b/>
                                <w:bCs/>
                                <w:sz w:val="28"/>
                                <w:szCs w:val="28"/>
                                <w:lang w:val="en-US" w:eastAsia="zh-CN"/>
                              </w:rPr>
                              <w:t>附图四：</w:t>
                            </w:r>
                            <w:r>
                              <w:rPr>
                                <w:rFonts w:hint="eastAsia" w:ascii="宋体" w:hAnsi="宋体" w:eastAsia="宋体" w:cs="宋体"/>
                                <w:b/>
                                <w:bCs/>
                                <w:sz w:val="28"/>
                                <w:szCs w:val="28"/>
                                <w:lang w:val="en-US" w:eastAsia="zh-CN"/>
                              </w:rPr>
                              <w:t>本项目厂区平面布局图</w:t>
                            </w:r>
                            <w:r>
                              <w:rPr>
                                <w:rFonts w:hint="eastAsia" w:ascii="宋体" w:hAnsi="宋体" w:cs="宋体"/>
                                <w:b/>
                                <w:bCs/>
                                <w:sz w:val="28"/>
                                <w:szCs w:val="28"/>
                                <w:lang w:val="en-US" w:eastAsia="zh-CN"/>
                              </w:rPr>
                              <w:t>（1：1000）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4pt;margin-top:489.35pt;height:34.2pt;width:308.4pt;z-index:251677696;mso-width-relative:page;mso-height-relative:page;" filled="f" stroked="f" coordsize="21600,21600" o:gfxdata="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Cqgz7dAAAADQEAAA8AAAAAAAAAAQAg&#10;AAAAIgAAAGRycy9kb3ducmV2LnhtbFBLAQIUABQAAAAIAIdO4kAA9+GuQgIAAHYEAAAOAAAAAAAA&#10;AAEAIAAAACwBAABkcnMvZTJvRG9jLnhtbFBLBQYAAAAABgAGAFkBAADgBQAAAAA=&#10;">
                <v:fill on="f" focussize="0,0"/>
                <v:stroke on="f" weight="0.5pt"/>
                <v:imagedata o:title=""/>
                <o:lock v:ext="edit" aspectratio="f"/>
                <v:textbox>
                  <w:txbxContent>
                    <w:p w14:paraId="769DB657">
                      <w:pPr>
                        <w:rPr>
                          <w:rFonts w:hint="default" w:eastAsiaTheme="minorEastAsia"/>
                          <w:b/>
                          <w:bCs/>
                          <w:sz w:val="28"/>
                          <w:szCs w:val="28"/>
                          <w:lang w:val="en-US" w:eastAsia="zh-CN"/>
                        </w:rPr>
                      </w:pPr>
                      <w:r>
                        <w:rPr>
                          <w:rFonts w:hint="eastAsia"/>
                          <w:b/>
                          <w:bCs/>
                          <w:sz w:val="28"/>
                          <w:szCs w:val="28"/>
                          <w:lang w:val="en-US" w:eastAsia="zh-CN"/>
                        </w:rPr>
                        <w:t>附图四：</w:t>
                      </w:r>
                      <w:r>
                        <w:rPr>
                          <w:rFonts w:hint="eastAsia" w:ascii="宋体" w:hAnsi="宋体" w:eastAsia="宋体" w:cs="宋体"/>
                          <w:b/>
                          <w:bCs/>
                          <w:sz w:val="28"/>
                          <w:szCs w:val="28"/>
                          <w:lang w:val="en-US" w:eastAsia="zh-CN"/>
                        </w:rPr>
                        <w:t>本项目厂区平面布局图</w:t>
                      </w:r>
                      <w:r>
                        <w:rPr>
                          <w:rFonts w:hint="eastAsia" w:ascii="宋体" w:hAnsi="宋体" w:cs="宋体"/>
                          <w:b/>
                          <w:bCs/>
                          <w:sz w:val="28"/>
                          <w:szCs w:val="28"/>
                          <w:lang w:val="en-US" w:eastAsia="zh-CN"/>
                        </w:rPr>
                        <w:t>（1：1000）</w:t>
                      </w:r>
                    </w:p>
                  </w:txbxContent>
                </v:textbox>
              </v:shape>
            </w:pict>
          </mc:Fallback>
        </mc:AlternateContent>
      </w:r>
      <w:r>
        <w:drawing>
          <wp:inline distT="0" distB="0" distL="114300" distR="114300">
            <wp:extent cx="8905240" cy="6334125"/>
            <wp:effectExtent l="0" t="0" r="10160" b="571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31"/>
                    <a:stretch>
                      <a:fillRect/>
                    </a:stretch>
                  </pic:blipFill>
                  <pic:spPr>
                    <a:xfrm>
                      <a:off x="0" y="0"/>
                      <a:ext cx="8905240" cy="6334125"/>
                    </a:xfrm>
                    <a:prstGeom prst="rect">
                      <a:avLst/>
                    </a:prstGeom>
                    <a:noFill/>
                    <a:ln>
                      <a:noFill/>
                    </a:ln>
                  </pic:spPr>
                </pic:pic>
              </a:graphicData>
            </a:graphic>
          </wp:inline>
        </w:drawing>
      </w:r>
      <w:r>
        <w:rPr>
          <w:rFonts w:hint="default" w:ascii="Times New Roman" w:hAnsi="Times New Roman" w:cs="Times New Roman"/>
          <w:sz w:val="24"/>
        </w:rPr>
        <mc:AlternateContent>
          <mc:Choice Requires="wps">
            <w:drawing>
              <wp:anchor distT="0" distB="0" distL="114300" distR="114300" simplePos="0" relativeHeight="251686912" behindDoc="0" locked="0" layoutInCell="1" allowOverlap="1">
                <wp:simplePos x="0" y="0"/>
                <wp:positionH relativeFrom="column">
                  <wp:posOffset>8847455</wp:posOffset>
                </wp:positionH>
                <wp:positionV relativeFrom="paragraph">
                  <wp:posOffset>-290195</wp:posOffset>
                </wp:positionV>
                <wp:extent cx="449580" cy="518160"/>
                <wp:effectExtent l="0" t="0" r="0" b="0"/>
                <wp:wrapNone/>
                <wp:docPr id="17" name="文本框 17"/>
                <wp:cNvGraphicFramePr/>
                <a:graphic xmlns:a="http://schemas.openxmlformats.org/drawingml/2006/main">
                  <a:graphicData uri="http://schemas.microsoft.com/office/word/2010/wordprocessingShape">
                    <wps:wsp>
                      <wps:cNvSpPr txBox="1"/>
                      <wps:spPr>
                        <a:xfrm>
                          <a:off x="6817360" y="664210"/>
                          <a:ext cx="449580" cy="518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CAA46A">
                            <w:pPr>
                              <w:rPr>
                                <w:rFonts w:hint="default" w:ascii="Times New Roman" w:hAnsi="Times New Roman" w:cs="Times New Roman" w:eastAsiaTheme="minorEastAsia"/>
                                <w:b/>
                                <w:bCs/>
                                <w:sz w:val="44"/>
                                <w:szCs w:val="44"/>
                                <w:lang w:val="en-US" w:eastAsia="zh-CN"/>
                              </w:rPr>
                            </w:pPr>
                            <w:r>
                              <w:rPr>
                                <w:rFonts w:hint="default" w:ascii="Times New Roman" w:hAnsi="Times New Roman" w:cs="Times New Roman"/>
                                <w:b/>
                                <w:bCs/>
                                <w:sz w:val="44"/>
                                <w:szCs w:val="44"/>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6.65pt;margin-top:-22.85pt;height:40.8pt;width:35.4pt;z-index:251686912;mso-width-relative:page;mso-height-relative:page;" filled="f" stroked="f" coordsize="21600,21600" o:gfxdata="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6sgXi90AAAAMAQAADwAAAAAAAAAB&#10;ACAAAAAiAAAAZHJzL2Rvd25yZXYueG1sUEsBAhQAFAAAAAgAh07iQPDFmWpEAgAAcgQAAA4AAAAA&#10;AAAAAQAgAAAALAEAAGRycy9lMm9Eb2MueG1sUEsFBgAAAAAGAAYAWQEAAOIFAAAAAA==&#10;">
                <v:fill on="f" focussize="0,0"/>
                <v:stroke on="f" weight="0.5pt"/>
                <v:imagedata o:title=""/>
                <o:lock v:ext="edit" aspectratio="f"/>
                <v:textbox>
                  <w:txbxContent>
                    <w:p w14:paraId="58CAA46A">
                      <w:pPr>
                        <w:rPr>
                          <w:rFonts w:hint="default" w:ascii="Times New Roman" w:hAnsi="Times New Roman" w:cs="Times New Roman" w:eastAsiaTheme="minorEastAsia"/>
                          <w:b/>
                          <w:bCs/>
                          <w:sz w:val="44"/>
                          <w:szCs w:val="44"/>
                          <w:lang w:val="en-US" w:eastAsia="zh-CN"/>
                        </w:rPr>
                      </w:pPr>
                      <w:r>
                        <w:rPr>
                          <w:rFonts w:hint="default" w:ascii="Times New Roman" w:hAnsi="Times New Roman" w:cs="Times New Roman"/>
                          <w:b/>
                          <w:bCs/>
                          <w:sz w:val="44"/>
                          <w:szCs w:val="44"/>
                          <w:lang w:val="en-US" w:eastAsia="zh-CN"/>
                        </w:rPr>
                        <w:t>N</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5888" behindDoc="0" locked="0" layoutInCell="1" allowOverlap="1">
                <wp:simplePos x="0" y="0"/>
                <wp:positionH relativeFrom="column">
                  <wp:posOffset>8969375</wp:posOffset>
                </wp:positionH>
                <wp:positionV relativeFrom="paragraph">
                  <wp:posOffset>76200</wp:posOffset>
                </wp:positionV>
                <wp:extent cx="152400" cy="609600"/>
                <wp:effectExtent l="15240" t="8890" r="15240" b="6350"/>
                <wp:wrapNone/>
                <wp:docPr id="14" name="上箭头 14"/>
                <wp:cNvGraphicFramePr/>
                <a:graphic xmlns:a="http://schemas.openxmlformats.org/drawingml/2006/main">
                  <a:graphicData uri="http://schemas.microsoft.com/office/word/2010/wordprocessingShape">
                    <wps:wsp>
                      <wps:cNvSpPr/>
                      <wps:spPr>
                        <a:xfrm>
                          <a:off x="6878320" y="1258570"/>
                          <a:ext cx="152400" cy="609600"/>
                        </a:xfrm>
                        <a:prstGeom prst="upArrow">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706.25pt;margin-top:6pt;height:48pt;width:12pt;z-index:251685888;v-text-anchor:middle;mso-width-relative:page;mso-height-relative:page;" fillcolor="#000000 [3213]" filled="t" stroked="t" coordsize="21600,21600" o:gfxdata="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t09kJ2wAAAAwBAAAPAAAAAAAAAAEAIAAA&#10;ACIAAABkcnMvZG93bnJldi54bWxQSwECFAAUAAAACACHTuJAFxuOpHsCAAAHBQAADgAAAAAAAAAB&#10;ACAAAAAqAQAAZHJzL2Uyb0RvYy54bWxQSwUGAAAAAAYABgBZAQAAFwYAAAAA&#10;" adj="2700,5400">
                <v:fill on="t" focussize="0,0"/>
                <v:stroke weight="1pt" color="#000000 [3213]" miterlimit="8" joinstyle="miter"/>
                <v:imagedata o:title=""/>
                <o:lock v:ext="edit" aspectratio="f"/>
              </v:shape>
            </w:pict>
          </mc:Fallback>
        </mc:AlternateContent>
      </w:r>
    </w:p>
    <w:p w14:paraId="56C30A4D">
      <w:pPr>
        <w:jc w:val="center"/>
        <w:rPr>
          <w:rFonts w:hint="default" w:ascii="Times New Roman" w:hAnsi="Times New Roman" w:cs="Times New Roman"/>
          <w:lang w:val="en-US" w:eastAsia="zh-CN"/>
        </w:rPr>
      </w:pPr>
      <w:r>
        <w:rPr>
          <w:rFonts w:hint="default" w:ascii="Times New Roman" w:hAnsi="Times New Roman" w:cs="Times New Roman"/>
          <w:sz w:val="21"/>
        </w:rPr>
        <mc:AlternateContent>
          <mc:Choice Requires="wps">
            <w:drawing>
              <wp:anchor distT="0" distB="0" distL="114300" distR="114300" simplePos="0" relativeHeight="251681792" behindDoc="0" locked="0" layoutInCell="1" allowOverlap="1">
                <wp:simplePos x="0" y="0"/>
                <wp:positionH relativeFrom="column">
                  <wp:posOffset>6046470</wp:posOffset>
                </wp:positionH>
                <wp:positionV relativeFrom="paragraph">
                  <wp:posOffset>3102610</wp:posOffset>
                </wp:positionV>
                <wp:extent cx="2164715" cy="35052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164715" cy="350520"/>
                        </a:xfrm>
                        <a:prstGeom prst="rect">
                          <a:avLst/>
                        </a:prstGeom>
                        <a:noFill/>
                        <a:ln w="6350">
                          <a:noFill/>
                        </a:ln>
                        <a:effectLst/>
                      </wps:spPr>
                      <wps:txbx>
                        <w:txbxContent>
                          <w:p w14:paraId="703CB060">
                            <w:pPr>
                              <w:rPr>
                                <w:rFonts w:hint="default" w:eastAsia="宋体"/>
                                <w:sz w:val="24"/>
                                <w:szCs w:val="24"/>
                                <w:lang w:val="en-US" w:eastAsia="zh-CN"/>
                              </w:rPr>
                            </w:pPr>
                            <w:r>
                              <w:rPr>
                                <w:rFonts w:hint="eastAsia"/>
                                <w:sz w:val="24"/>
                                <w:szCs w:val="24"/>
                                <w:lang w:val="en-US" w:eastAsia="zh-CN"/>
                              </w:rPr>
                              <w:t>项目厂房北侧环境情况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6.1pt;margin-top:244.3pt;height:27.6pt;width:170.45pt;z-index:251681792;mso-width-relative:page;mso-height-relative:page;" filled="f" stroked="f" coordsize="21600,21600" o:gfxdata="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zF0390AAAAMAQAADwAAAAAAAAABACAA&#10;AAAiAAAAZHJzL2Rvd25yZXYueG1sUEsBAhQAFAAAAAgAh07iQLcxQvlBAgAAdgQAAA4AAAAAAAAA&#10;AQAgAAAALAEAAGRycy9lMm9Eb2MueG1sUEsFBgAAAAAGAAYAWQEAAN8FAAAAAA==&#10;">
                <v:fill on="f" focussize="0,0"/>
                <v:stroke on="f" weight="0.5pt"/>
                <v:imagedata o:title=""/>
                <o:lock v:ext="edit" aspectratio="f"/>
                <v:textbox>
                  <w:txbxContent>
                    <w:p w14:paraId="703CB060">
                      <w:pPr>
                        <w:rPr>
                          <w:rFonts w:hint="default" w:eastAsia="宋体"/>
                          <w:sz w:val="24"/>
                          <w:szCs w:val="24"/>
                          <w:lang w:val="en-US" w:eastAsia="zh-CN"/>
                        </w:rPr>
                      </w:pPr>
                      <w:r>
                        <w:rPr>
                          <w:rFonts w:hint="eastAsia"/>
                          <w:sz w:val="24"/>
                          <w:szCs w:val="24"/>
                          <w:lang w:val="en-US" w:eastAsia="zh-CN"/>
                        </w:rPr>
                        <w:t>项目厂房北侧环境情况</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78720" behindDoc="0" locked="0" layoutInCell="1" allowOverlap="1">
                <wp:simplePos x="0" y="0"/>
                <wp:positionH relativeFrom="column">
                  <wp:posOffset>1794510</wp:posOffset>
                </wp:positionH>
                <wp:positionV relativeFrom="paragraph">
                  <wp:posOffset>3117850</wp:posOffset>
                </wp:positionV>
                <wp:extent cx="2164715" cy="35052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2164715" cy="350520"/>
                        </a:xfrm>
                        <a:prstGeom prst="rect">
                          <a:avLst/>
                        </a:prstGeom>
                        <a:noFill/>
                        <a:ln w="6350">
                          <a:noFill/>
                        </a:ln>
                        <a:effectLst/>
                      </wps:spPr>
                      <wps:txbx>
                        <w:txbxContent>
                          <w:p w14:paraId="13F53C8D">
                            <w:pPr>
                              <w:rPr>
                                <w:rFonts w:hint="default" w:eastAsia="宋体"/>
                                <w:sz w:val="24"/>
                                <w:szCs w:val="24"/>
                                <w:lang w:val="en-US" w:eastAsia="zh-CN"/>
                              </w:rPr>
                            </w:pPr>
                            <w:r>
                              <w:rPr>
                                <w:rFonts w:hint="eastAsia"/>
                                <w:sz w:val="24"/>
                                <w:szCs w:val="24"/>
                                <w:lang w:val="en-US" w:eastAsia="zh-CN"/>
                              </w:rPr>
                              <w:t>项目厂房南侧环境情况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1.3pt;margin-top:245.5pt;height:27.6pt;width:170.45pt;z-index:251678720;mso-width-relative:page;mso-height-relative:page;" filled="f" stroked="f" coordsize="21600,21600" o:gfxdata="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ABZCAzcAAAACwEAAA8AAAAAAAAAAQAg&#10;AAAAIgAAAGRycy9kb3ducmV2LnhtbFBLAQIUABQAAAAIAIdO4kBEAptCQwIAAHYEAAAOAAAAAAAA&#10;AAEAIAAAACsBAABkcnMvZTJvRG9jLnhtbFBLBQYAAAAABgAGAFkBAADgBQAAAAA=&#10;">
                <v:fill on="f" focussize="0,0"/>
                <v:stroke on="f" weight="0.5pt"/>
                <v:imagedata o:title=""/>
                <o:lock v:ext="edit" aspectratio="f"/>
                <v:textbox>
                  <w:txbxContent>
                    <w:p w14:paraId="13F53C8D">
                      <w:pPr>
                        <w:rPr>
                          <w:rFonts w:hint="default" w:eastAsia="宋体"/>
                          <w:sz w:val="24"/>
                          <w:szCs w:val="24"/>
                          <w:lang w:val="en-US" w:eastAsia="zh-CN"/>
                        </w:rPr>
                      </w:pPr>
                      <w:r>
                        <w:rPr>
                          <w:rFonts w:hint="eastAsia"/>
                          <w:sz w:val="24"/>
                          <w:szCs w:val="24"/>
                          <w:lang w:val="en-US" w:eastAsia="zh-CN"/>
                        </w:rPr>
                        <w:t>项目厂房南侧环境情况</w:t>
                      </w:r>
                    </w:p>
                  </w:txbxContent>
                </v:textbox>
              </v:shape>
            </w:pict>
          </mc:Fallback>
        </mc:AlternateContent>
      </w:r>
      <w:r>
        <w:rPr>
          <w:rFonts w:hint="default" w:ascii="Times New Roman" w:hAnsi="Times New Roman" w:cs="Times New Roman"/>
          <w:lang w:val="en-US" w:eastAsia="zh-CN"/>
        </w:rPr>
        <w:drawing>
          <wp:inline distT="0" distB="0" distL="114300" distR="114300">
            <wp:extent cx="4189095" cy="3143250"/>
            <wp:effectExtent l="0" t="0" r="1905" b="11430"/>
            <wp:docPr id="22" name="图片 22" descr="51f1c4f43f300939b8c5506a62d9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51f1c4f43f300939b8c5506a62d9871"/>
                    <pic:cNvPicPr>
                      <a:picLocks noChangeAspect="1"/>
                    </pic:cNvPicPr>
                  </pic:nvPicPr>
                  <pic:blipFill>
                    <a:blip r:embed="rId32"/>
                    <a:stretch>
                      <a:fillRect/>
                    </a:stretch>
                  </pic:blipFill>
                  <pic:spPr>
                    <a:xfrm>
                      <a:off x="0" y="0"/>
                      <a:ext cx="4189095" cy="3143250"/>
                    </a:xfrm>
                    <a:prstGeom prst="rect">
                      <a:avLst/>
                    </a:prstGeom>
                  </pic:spPr>
                </pic:pic>
              </a:graphicData>
            </a:graphic>
          </wp:inline>
        </w:drawing>
      </w:r>
      <w:r>
        <w:rPr>
          <w:rFonts w:hint="default" w:ascii="Times New Roman" w:hAnsi="Times New Roman" w:cs="Times New Roman"/>
          <w:lang w:val="en-US" w:eastAsia="zh-CN"/>
        </w:rPr>
        <w:t xml:space="preserve">   </w:t>
      </w:r>
      <w:r>
        <w:rPr>
          <w:rFonts w:hint="default" w:ascii="Times New Roman" w:hAnsi="Times New Roman" w:cs="Times New Roman"/>
          <w:lang w:val="en-US" w:eastAsia="zh-CN"/>
        </w:rPr>
        <w:drawing>
          <wp:inline distT="0" distB="0" distL="114300" distR="114300">
            <wp:extent cx="4198620" cy="3152775"/>
            <wp:effectExtent l="0" t="0" r="7620" b="1905"/>
            <wp:docPr id="23" name="图片 23" descr="4c4722822201a87cabb3c5f7db297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4c4722822201a87cabb3c5f7db2976b"/>
                    <pic:cNvPicPr>
                      <a:picLocks noChangeAspect="1"/>
                    </pic:cNvPicPr>
                  </pic:nvPicPr>
                  <pic:blipFill>
                    <a:blip r:embed="rId33"/>
                    <a:stretch>
                      <a:fillRect/>
                    </a:stretch>
                  </pic:blipFill>
                  <pic:spPr>
                    <a:xfrm>
                      <a:off x="0" y="0"/>
                      <a:ext cx="4198620" cy="3152775"/>
                    </a:xfrm>
                    <a:prstGeom prst="rect">
                      <a:avLst/>
                    </a:prstGeom>
                  </pic:spPr>
                </pic:pic>
              </a:graphicData>
            </a:graphic>
          </wp:inline>
        </w:drawing>
      </w:r>
    </w:p>
    <w:p w14:paraId="6A6242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lang w:val="en-US" w:eastAsia="zh-CN"/>
        </w:rPr>
      </w:pPr>
    </w:p>
    <w:p w14:paraId="761E5A56">
      <w:pPr>
        <w:jc w:val="center"/>
        <w:rPr>
          <w:rFonts w:hint="default" w:ascii="Times New Roman" w:hAnsi="Times New Roman" w:cs="Times New Roman"/>
          <w:lang w:val="en-US" w:eastAsia="zh-CN"/>
        </w:rPr>
      </w:pPr>
      <w:r>
        <w:rPr>
          <w:rFonts w:hint="default" w:ascii="Times New Roman" w:hAnsi="Times New Roman" w:cs="Times New Roman"/>
          <w:sz w:val="24"/>
        </w:rPr>
        <mc:AlternateContent>
          <mc:Choice Requires="wps">
            <w:drawing>
              <wp:anchor distT="0" distB="0" distL="114300" distR="114300" simplePos="0" relativeHeight="251682816" behindDoc="0" locked="0" layoutInCell="1" allowOverlap="1">
                <wp:simplePos x="0" y="0"/>
                <wp:positionH relativeFrom="column">
                  <wp:posOffset>3433445</wp:posOffset>
                </wp:positionH>
                <wp:positionV relativeFrom="paragraph">
                  <wp:posOffset>3190875</wp:posOffset>
                </wp:positionV>
                <wp:extent cx="3383915" cy="43434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3383915" cy="434340"/>
                        </a:xfrm>
                        <a:prstGeom prst="rect">
                          <a:avLst/>
                        </a:prstGeom>
                        <a:noFill/>
                        <a:ln w="6350">
                          <a:noFill/>
                        </a:ln>
                        <a:effectLst/>
                      </wps:spPr>
                      <wps:txbx>
                        <w:txbxContent>
                          <w:p w14:paraId="745656A0">
                            <w:pPr>
                              <w:rPr>
                                <w:rFonts w:hint="default" w:eastAsiaTheme="minorEastAsia"/>
                                <w:b/>
                                <w:bCs/>
                                <w:sz w:val="28"/>
                                <w:szCs w:val="28"/>
                                <w:lang w:val="en-US" w:eastAsia="zh-CN"/>
                              </w:rPr>
                            </w:pPr>
                            <w:r>
                              <w:rPr>
                                <w:rFonts w:hint="eastAsia"/>
                                <w:b/>
                                <w:bCs/>
                                <w:sz w:val="28"/>
                                <w:szCs w:val="28"/>
                                <w:lang w:val="en-US" w:eastAsia="zh-CN"/>
                              </w:rPr>
                              <w:t>附图五：</w:t>
                            </w:r>
                            <w:r>
                              <w:rPr>
                                <w:rFonts w:hint="eastAsia" w:ascii="宋体" w:hAnsi="宋体" w:eastAsia="宋体" w:cs="宋体"/>
                                <w:b/>
                                <w:bCs/>
                                <w:sz w:val="28"/>
                                <w:szCs w:val="28"/>
                                <w:lang w:val="en-US" w:eastAsia="zh-CN"/>
                              </w:rPr>
                              <w:t>本项目厂区周边环境现状图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35pt;margin-top:251.25pt;height:34.2pt;width:266.45pt;z-index:251682816;mso-width-relative:page;mso-height-relative:page;" filled="f" stroked="f" coordsize="21600,21600" o:gfxdata="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8OLhL3AAAAAwBAAAPAAAAAAAAAAEA&#10;IAAAACIAAABkcnMvZG93bnJldi54bWxQSwECFAAUAAAACACHTuJAQmyvFkQCAAB2BAAADgAAAAAA&#10;AAABACAAAAArAQAAZHJzL2Uyb0RvYy54bWxQSwUGAAAAAAYABgBZAQAA4QUAAAAA&#10;">
                <v:fill on="f" focussize="0,0"/>
                <v:stroke on="f" weight="0.5pt"/>
                <v:imagedata o:title=""/>
                <o:lock v:ext="edit" aspectratio="f"/>
                <v:textbox>
                  <w:txbxContent>
                    <w:p w14:paraId="745656A0">
                      <w:pPr>
                        <w:rPr>
                          <w:rFonts w:hint="default" w:eastAsiaTheme="minorEastAsia"/>
                          <w:b/>
                          <w:bCs/>
                          <w:sz w:val="28"/>
                          <w:szCs w:val="28"/>
                          <w:lang w:val="en-US" w:eastAsia="zh-CN"/>
                        </w:rPr>
                      </w:pPr>
                      <w:r>
                        <w:rPr>
                          <w:rFonts w:hint="eastAsia"/>
                          <w:b/>
                          <w:bCs/>
                          <w:sz w:val="28"/>
                          <w:szCs w:val="28"/>
                          <w:lang w:val="en-US" w:eastAsia="zh-CN"/>
                        </w:rPr>
                        <w:t>附图五：</w:t>
                      </w:r>
                      <w:r>
                        <w:rPr>
                          <w:rFonts w:hint="eastAsia" w:ascii="宋体" w:hAnsi="宋体" w:eastAsia="宋体" w:cs="宋体"/>
                          <w:b/>
                          <w:bCs/>
                          <w:sz w:val="28"/>
                          <w:szCs w:val="28"/>
                          <w:lang w:val="en-US" w:eastAsia="zh-CN"/>
                        </w:rPr>
                        <w:t>本项目厂区周边环境现状图</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79744" behindDoc="0" locked="0" layoutInCell="1" allowOverlap="1">
                <wp:simplePos x="0" y="0"/>
                <wp:positionH relativeFrom="column">
                  <wp:posOffset>6191250</wp:posOffset>
                </wp:positionH>
                <wp:positionV relativeFrom="paragraph">
                  <wp:posOffset>3133090</wp:posOffset>
                </wp:positionV>
                <wp:extent cx="2164715" cy="35052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2164715" cy="350520"/>
                        </a:xfrm>
                        <a:prstGeom prst="rect">
                          <a:avLst/>
                        </a:prstGeom>
                        <a:noFill/>
                        <a:ln w="6350">
                          <a:noFill/>
                        </a:ln>
                        <a:effectLst/>
                      </wps:spPr>
                      <wps:txbx>
                        <w:txbxContent>
                          <w:p w14:paraId="77223DD8">
                            <w:pPr>
                              <w:rPr>
                                <w:rFonts w:hint="default" w:eastAsia="宋体"/>
                                <w:sz w:val="24"/>
                                <w:szCs w:val="24"/>
                                <w:lang w:val="en-US" w:eastAsia="zh-CN"/>
                              </w:rPr>
                            </w:pPr>
                            <w:r>
                              <w:rPr>
                                <w:rFonts w:hint="eastAsia"/>
                                <w:sz w:val="24"/>
                                <w:szCs w:val="24"/>
                                <w:lang w:val="en-US" w:eastAsia="zh-CN"/>
                              </w:rPr>
                              <w:t>项目厂房西侧环境情况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7.5pt;margin-top:246.7pt;height:27.6pt;width:170.45pt;z-index:251679744;mso-width-relative:page;mso-height-relative:page;" filled="f" stroked="f" coordsize="21600,21600" o:gfxdata="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7nmbR3QAAAAwBAAAPAAAAAAAAAAEA&#10;IAAAACIAAABkcnMvZG93bnJldi54bWxQSwECFAAUAAAACACHTuJAS8dswEMCAAB2BAAADgAAAAAA&#10;AAABACAAAAAsAQAAZHJzL2Uyb0RvYy54bWxQSwUGAAAAAAYABgBZAQAA4QUAAAAA&#10;">
                <v:fill on="f" focussize="0,0"/>
                <v:stroke on="f" weight="0.5pt"/>
                <v:imagedata o:title=""/>
                <o:lock v:ext="edit" aspectratio="f"/>
                <v:textbox>
                  <w:txbxContent>
                    <w:p w14:paraId="77223DD8">
                      <w:pPr>
                        <w:rPr>
                          <w:rFonts w:hint="default" w:eastAsia="宋体"/>
                          <w:sz w:val="24"/>
                          <w:szCs w:val="24"/>
                          <w:lang w:val="en-US" w:eastAsia="zh-CN"/>
                        </w:rPr>
                      </w:pPr>
                      <w:r>
                        <w:rPr>
                          <w:rFonts w:hint="eastAsia"/>
                          <w:sz w:val="24"/>
                          <w:szCs w:val="24"/>
                          <w:lang w:val="en-US" w:eastAsia="zh-CN"/>
                        </w:rPr>
                        <w:t>项目厂房西侧环境情况</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80768" behindDoc="0" locked="0" layoutInCell="1" allowOverlap="1">
                <wp:simplePos x="0" y="0"/>
                <wp:positionH relativeFrom="column">
                  <wp:posOffset>1771650</wp:posOffset>
                </wp:positionH>
                <wp:positionV relativeFrom="paragraph">
                  <wp:posOffset>3133090</wp:posOffset>
                </wp:positionV>
                <wp:extent cx="2164715" cy="35052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2164715" cy="350520"/>
                        </a:xfrm>
                        <a:prstGeom prst="rect">
                          <a:avLst/>
                        </a:prstGeom>
                        <a:noFill/>
                        <a:ln w="6350">
                          <a:noFill/>
                        </a:ln>
                        <a:effectLst/>
                      </wps:spPr>
                      <wps:txbx>
                        <w:txbxContent>
                          <w:p w14:paraId="59520580">
                            <w:pPr>
                              <w:rPr>
                                <w:rFonts w:hint="default" w:eastAsia="宋体"/>
                                <w:sz w:val="24"/>
                                <w:szCs w:val="24"/>
                                <w:lang w:val="en-US" w:eastAsia="zh-CN"/>
                              </w:rPr>
                            </w:pPr>
                            <w:r>
                              <w:rPr>
                                <w:rFonts w:hint="eastAsia"/>
                                <w:sz w:val="24"/>
                                <w:szCs w:val="24"/>
                                <w:lang w:val="en-US" w:eastAsia="zh-CN"/>
                              </w:rPr>
                              <w:t>项目厂房东侧环境情况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9.5pt;margin-top:246.7pt;height:27.6pt;width:170.45pt;z-index:251680768;mso-width-relative:page;mso-height-relative:page;" filled="f" stroked="f" coordsize="21600,21600" o:gfxdata="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KCS9u3QAAAAsBAAAPAAAAAAAAAAEA&#10;IAAAACIAAABkcnMvZG93bnJldi54bWxQSwECFAAUAAAACACHTuJAH5V210MCAAB2BAAADgAAAAAA&#10;AAABACAAAAAsAQAAZHJzL2Uyb0RvYy54bWxQSwUGAAAAAAYABgBZAQAA4QUAAAAA&#10;">
                <v:fill on="f" focussize="0,0"/>
                <v:stroke on="f" weight="0.5pt"/>
                <v:imagedata o:title=""/>
                <o:lock v:ext="edit" aspectratio="f"/>
                <v:textbox>
                  <w:txbxContent>
                    <w:p w14:paraId="59520580">
                      <w:pPr>
                        <w:rPr>
                          <w:rFonts w:hint="default" w:eastAsia="宋体"/>
                          <w:sz w:val="24"/>
                          <w:szCs w:val="24"/>
                          <w:lang w:val="en-US" w:eastAsia="zh-CN"/>
                        </w:rPr>
                      </w:pPr>
                      <w:r>
                        <w:rPr>
                          <w:rFonts w:hint="eastAsia"/>
                          <w:sz w:val="24"/>
                          <w:szCs w:val="24"/>
                          <w:lang w:val="en-US" w:eastAsia="zh-CN"/>
                        </w:rPr>
                        <w:t>项目厂房东侧环境情况</w:t>
                      </w:r>
                    </w:p>
                  </w:txbxContent>
                </v:textbox>
              </v:shape>
            </w:pict>
          </mc:Fallback>
        </mc:AlternateContent>
      </w:r>
      <w:r>
        <w:rPr>
          <w:rFonts w:hint="default" w:ascii="Times New Roman" w:hAnsi="Times New Roman" w:cs="Times New Roman"/>
          <w:lang w:val="en-US" w:eastAsia="zh-CN"/>
        </w:rPr>
        <w:drawing>
          <wp:inline distT="0" distB="0" distL="114300" distR="114300">
            <wp:extent cx="4180205" cy="3139440"/>
            <wp:effectExtent l="0" t="0" r="10795" b="0"/>
            <wp:docPr id="54" name="图片 54" descr="8d1d48222d2c397a74b407f770be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8d1d48222d2c397a74b407f770be567"/>
                    <pic:cNvPicPr>
                      <a:picLocks noChangeAspect="1"/>
                    </pic:cNvPicPr>
                  </pic:nvPicPr>
                  <pic:blipFill>
                    <a:blip r:embed="rId34"/>
                    <a:stretch>
                      <a:fillRect/>
                    </a:stretch>
                  </pic:blipFill>
                  <pic:spPr>
                    <a:xfrm>
                      <a:off x="0" y="0"/>
                      <a:ext cx="4180205" cy="3139440"/>
                    </a:xfrm>
                    <a:prstGeom prst="rect">
                      <a:avLst/>
                    </a:prstGeom>
                  </pic:spPr>
                </pic:pic>
              </a:graphicData>
            </a:graphic>
          </wp:inline>
        </w:drawing>
      </w:r>
      <w:r>
        <w:rPr>
          <w:rFonts w:hint="default" w:ascii="Times New Roman" w:hAnsi="Times New Roman" w:cs="Times New Roman"/>
          <w:lang w:val="en-US" w:eastAsia="zh-CN"/>
        </w:rPr>
        <w:t xml:space="preserve">   </w:t>
      </w:r>
      <w:r>
        <w:rPr>
          <w:rFonts w:hint="default" w:ascii="Times New Roman" w:hAnsi="Times New Roman" w:cs="Times New Roman"/>
          <w:lang w:val="en-US" w:eastAsia="zh-CN"/>
        </w:rPr>
        <w:drawing>
          <wp:inline distT="0" distB="0" distL="114300" distR="114300">
            <wp:extent cx="4203700" cy="3155950"/>
            <wp:effectExtent l="0" t="0" r="2540" b="13970"/>
            <wp:docPr id="55" name="图片 55" descr="5919919f0d03b65d85aaa23b8afc5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5919919f0d03b65d85aaa23b8afc5b2"/>
                    <pic:cNvPicPr>
                      <a:picLocks noChangeAspect="1"/>
                    </pic:cNvPicPr>
                  </pic:nvPicPr>
                  <pic:blipFill>
                    <a:blip r:embed="rId35"/>
                    <a:stretch>
                      <a:fillRect/>
                    </a:stretch>
                  </pic:blipFill>
                  <pic:spPr>
                    <a:xfrm>
                      <a:off x="0" y="0"/>
                      <a:ext cx="4203700" cy="3155950"/>
                    </a:xfrm>
                    <a:prstGeom prst="rect">
                      <a:avLst/>
                    </a:prstGeom>
                  </pic:spPr>
                </pic:pic>
              </a:graphicData>
            </a:graphic>
          </wp:inline>
        </w:drawing>
      </w:r>
    </w:p>
    <w:p w14:paraId="316BEE78">
      <w:pPr>
        <w:rPr>
          <w:rFonts w:hint="default" w:ascii="Times New Roman" w:hAnsi="Times New Roman" w:eastAsia="宋体" w:cs="Times New Roman"/>
          <w:lang w:eastAsia="zh-CN"/>
        </w:rPr>
        <w:sectPr>
          <w:pgSz w:w="16838" w:h="11906" w:orient="landscape"/>
          <w:pgMar w:top="720" w:right="720" w:bottom="720" w:left="720" w:header="624" w:footer="567" w:gutter="0"/>
          <w:pgBorders>
            <w:top w:val="none" w:sz="0" w:space="0"/>
            <w:left w:val="none" w:sz="0" w:space="0"/>
            <w:bottom w:val="none" w:sz="0" w:space="0"/>
            <w:right w:val="none" w:sz="0" w:space="0"/>
          </w:pgBorders>
          <w:pgNumType w:fmt="decimal"/>
          <w:cols w:space="425" w:num="1"/>
          <w:docGrid w:type="lines" w:linePitch="312" w:charSpace="0"/>
        </w:sectPr>
      </w:pPr>
    </w:p>
    <w:p w14:paraId="27C3C0D4">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b/>
          <w:bCs/>
          <w:sz w:val="28"/>
          <w:szCs w:val="28"/>
          <w:highlight w:val="none"/>
          <w:lang w:val="en-US" w:eastAsia="zh-CN"/>
        </w:rPr>
      </w:pPr>
      <w:r>
        <w:rPr>
          <w:rFonts w:hint="default" w:ascii="Times New Roman" w:hAnsi="Times New Roman" w:cs="Times New Roman"/>
          <w:b/>
          <w:bCs/>
          <w:sz w:val="28"/>
          <w:szCs w:val="28"/>
          <w:highlight w:val="none"/>
          <w:lang w:val="en-US" w:eastAsia="zh-CN"/>
        </w:rPr>
        <w:t>附件1：</w:t>
      </w:r>
      <w:r>
        <w:rPr>
          <w:rFonts w:hint="eastAsia" w:cs="Times New Roman"/>
          <w:b/>
          <w:bCs/>
          <w:sz w:val="28"/>
          <w:szCs w:val="28"/>
          <w:highlight w:val="none"/>
          <w:lang w:val="en-US" w:eastAsia="zh-CN"/>
        </w:rPr>
        <w:t>项目</w:t>
      </w:r>
      <w:r>
        <w:rPr>
          <w:rFonts w:hint="default" w:ascii="Times New Roman" w:hAnsi="Times New Roman" w:cs="Times New Roman"/>
          <w:b/>
          <w:bCs/>
          <w:sz w:val="28"/>
          <w:szCs w:val="28"/>
          <w:highlight w:val="none"/>
          <w:lang w:val="en-US" w:eastAsia="zh-CN"/>
        </w:rPr>
        <w:t>备案证明</w:t>
      </w:r>
    </w:p>
    <w:p w14:paraId="5237746D">
      <w:pPr>
        <w:pStyle w:val="22"/>
        <w:ind w:left="0" w:leftChars="0" w:firstLine="0" w:firstLineChars="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052185" cy="8509000"/>
            <wp:effectExtent l="0" t="0" r="13335" b="10160"/>
            <wp:docPr id="61" name="图片 61" descr="c70833ad11fdad3679f75e5affd5d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70833ad11fdad3679f75e5affd5d5b"/>
                    <pic:cNvPicPr>
                      <a:picLocks noChangeAspect="1"/>
                    </pic:cNvPicPr>
                  </pic:nvPicPr>
                  <pic:blipFill>
                    <a:blip r:embed="rId36"/>
                    <a:stretch>
                      <a:fillRect/>
                    </a:stretch>
                  </pic:blipFill>
                  <pic:spPr>
                    <a:xfrm>
                      <a:off x="0" y="0"/>
                      <a:ext cx="6052185" cy="8509000"/>
                    </a:xfrm>
                    <a:prstGeom prst="rect">
                      <a:avLst/>
                    </a:prstGeom>
                  </pic:spPr>
                </pic:pic>
              </a:graphicData>
            </a:graphic>
          </wp:inline>
        </w:drawing>
      </w:r>
    </w:p>
    <w:p w14:paraId="13A4E981">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b/>
          <w:bCs/>
          <w:sz w:val="28"/>
          <w:szCs w:val="28"/>
          <w:highlight w:val="none"/>
          <w:lang w:val="en-US" w:eastAsia="zh-CN"/>
        </w:rPr>
      </w:pPr>
      <w:r>
        <w:rPr>
          <w:rFonts w:hint="default" w:ascii="Times New Roman" w:hAnsi="Times New Roman" w:cs="Times New Roman"/>
          <w:b/>
          <w:bCs/>
          <w:sz w:val="28"/>
          <w:szCs w:val="28"/>
          <w:highlight w:val="none"/>
          <w:lang w:val="en-US" w:eastAsia="zh-CN"/>
        </w:rPr>
        <w:t>附件</w:t>
      </w:r>
      <w:r>
        <w:rPr>
          <w:rFonts w:hint="eastAsia" w:cs="Times New Roman"/>
          <w:b/>
          <w:bCs/>
          <w:sz w:val="28"/>
          <w:szCs w:val="28"/>
          <w:highlight w:val="none"/>
          <w:lang w:val="en-US" w:eastAsia="zh-CN"/>
        </w:rPr>
        <w:t>2</w:t>
      </w:r>
      <w:r>
        <w:rPr>
          <w:rFonts w:hint="default" w:ascii="Times New Roman" w:hAnsi="Times New Roman" w:cs="Times New Roman"/>
          <w:b/>
          <w:bCs/>
          <w:sz w:val="28"/>
          <w:szCs w:val="28"/>
          <w:highlight w:val="none"/>
          <w:lang w:val="en-US" w:eastAsia="zh-CN"/>
        </w:rPr>
        <w:t>：</w:t>
      </w:r>
      <w:r>
        <w:rPr>
          <w:rFonts w:hint="eastAsia" w:ascii="Times New Roman" w:hAnsi="Times New Roman" w:cs="Times New Roman"/>
          <w:b/>
          <w:bCs/>
          <w:sz w:val="28"/>
          <w:szCs w:val="28"/>
          <w:highlight w:val="none"/>
          <w:lang w:val="en-US" w:eastAsia="zh-CN"/>
        </w:rPr>
        <w:t>委托书</w:t>
      </w:r>
    </w:p>
    <w:p w14:paraId="1471CEEC">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val="en-US" w:eastAsia="zh-CN"/>
        </w:rPr>
        <w:drawing>
          <wp:inline distT="0" distB="0" distL="114300" distR="114300">
            <wp:extent cx="6174105" cy="8512810"/>
            <wp:effectExtent l="0" t="0" r="13335" b="6350"/>
            <wp:docPr id="35" name="图片 35" descr="1eb1a5e62cb39d6be16ccad28fc3b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eb1a5e62cb39d6be16ccad28fc3b79"/>
                    <pic:cNvPicPr>
                      <a:picLocks noChangeAspect="1"/>
                    </pic:cNvPicPr>
                  </pic:nvPicPr>
                  <pic:blipFill>
                    <a:blip r:embed="rId37"/>
                    <a:stretch>
                      <a:fillRect/>
                    </a:stretch>
                  </pic:blipFill>
                  <pic:spPr>
                    <a:xfrm>
                      <a:off x="0" y="0"/>
                      <a:ext cx="6174105" cy="8512810"/>
                    </a:xfrm>
                    <a:prstGeom prst="rect">
                      <a:avLst/>
                    </a:prstGeom>
                  </pic:spPr>
                </pic:pic>
              </a:graphicData>
            </a:graphic>
          </wp:inline>
        </w:drawing>
      </w:r>
    </w:p>
    <w:p w14:paraId="749026DD">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b/>
          <w:bCs/>
          <w:sz w:val="28"/>
          <w:szCs w:val="28"/>
          <w:lang w:val="en-US" w:eastAsia="zh-CN"/>
        </w:rPr>
      </w:pPr>
      <w:r>
        <w:rPr>
          <w:rFonts w:hint="default" w:ascii="Times New Roman" w:hAnsi="Times New Roman" w:cs="Times New Roman"/>
          <w:b/>
          <w:bCs/>
          <w:sz w:val="28"/>
          <w:szCs w:val="28"/>
          <w:lang w:val="en-US" w:eastAsia="zh-CN"/>
        </w:rPr>
        <w:t>附件3：用地证明</w:t>
      </w:r>
    </w:p>
    <w:p w14:paraId="55A33024">
      <w:pPr>
        <w:jc w:val="cente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drawing>
          <wp:inline distT="0" distB="0" distL="114300" distR="114300">
            <wp:extent cx="5650230" cy="8528050"/>
            <wp:effectExtent l="0" t="0" r="3810" b="6350"/>
            <wp:docPr id="57" name="图片 57" descr="2e2534a78dbffee3143b4565d78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e2534a78dbffee3143b4565d784837"/>
                    <pic:cNvPicPr>
                      <a:picLocks noChangeAspect="1"/>
                    </pic:cNvPicPr>
                  </pic:nvPicPr>
                  <pic:blipFill>
                    <a:blip r:embed="rId38"/>
                    <a:stretch>
                      <a:fillRect/>
                    </a:stretch>
                  </pic:blipFill>
                  <pic:spPr>
                    <a:xfrm>
                      <a:off x="0" y="0"/>
                      <a:ext cx="5650230" cy="8528050"/>
                    </a:xfrm>
                    <a:prstGeom prst="rect">
                      <a:avLst/>
                    </a:prstGeom>
                  </pic:spPr>
                </pic:pic>
              </a:graphicData>
            </a:graphic>
          </wp:inline>
        </w:drawing>
      </w:r>
      <w:r>
        <w:rPr>
          <w:rFonts w:hint="default" w:ascii="Times New Roman" w:hAnsi="Times New Roman" w:cs="Times New Roman"/>
          <w:b/>
          <w:bCs/>
          <w:sz w:val="28"/>
          <w:szCs w:val="28"/>
          <w:lang w:val="en-US" w:eastAsia="zh-CN"/>
        </w:rPr>
        <w:drawing>
          <wp:inline distT="0" distB="0" distL="114300" distR="114300">
            <wp:extent cx="5815965" cy="8865870"/>
            <wp:effectExtent l="0" t="0" r="5715" b="3810"/>
            <wp:docPr id="58" name="图片 58" descr="05ed9e27934d95c14628303fae7f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05ed9e27934d95c14628303fae7f326"/>
                    <pic:cNvPicPr>
                      <a:picLocks noChangeAspect="1"/>
                    </pic:cNvPicPr>
                  </pic:nvPicPr>
                  <pic:blipFill>
                    <a:blip r:embed="rId39"/>
                    <a:stretch>
                      <a:fillRect/>
                    </a:stretch>
                  </pic:blipFill>
                  <pic:spPr>
                    <a:xfrm>
                      <a:off x="0" y="0"/>
                      <a:ext cx="5815965" cy="8865870"/>
                    </a:xfrm>
                    <a:prstGeom prst="rect">
                      <a:avLst/>
                    </a:prstGeom>
                  </pic:spPr>
                </pic:pic>
              </a:graphicData>
            </a:graphic>
          </wp:inline>
        </w:drawing>
      </w:r>
    </w:p>
    <w:p w14:paraId="3FF694D0">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b/>
          <w:bCs/>
          <w:sz w:val="28"/>
          <w:szCs w:val="28"/>
          <w:lang w:val="en-US" w:eastAsia="zh-CN"/>
        </w:rPr>
      </w:pPr>
      <w:r>
        <w:rPr>
          <w:rFonts w:hint="default" w:ascii="Times New Roman" w:hAnsi="Times New Roman" w:cs="Times New Roman"/>
          <w:b/>
          <w:bCs/>
          <w:sz w:val="28"/>
          <w:szCs w:val="28"/>
          <w:lang w:val="en-US" w:eastAsia="zh-CN"/>
        </w:rPr>
        <w:t>附件4：营业执照</w:t>
      </w:r>
    </w:p>
    <w:p w14:paraId="3370A7B1">
      <w:pPr>
        <w:jc w:val="cente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6018530" cy="8497570"/>
            <wp:effectExtent l="0" t="0" r="1270" b="6350"/>
            <wp:docPr id="59" name="图片 59" descr="c6279d1e2e50f917665600f0dcecf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6279d1e2e50f917665600f0dcecf12"/>
                    <pic:cNvPicPr>
                      <a:picLocks noChangeAspect="1"/>
                    </pic:cNvPicPr>
                  </pic:nvPicPr>
                  <pic:blipFill>
                    <a:blip r:embed="rId40"/>
                    <a:stretch>
                      <a:fillRect/>
                    </a:stretch>
                  </pic:blipFill>
                  <pic:spPr>
                    <a:xfrm>
                      <a:off x="0" y="0"/>
                      <a:ext cx="6018530" cy="8497570"/>
                    </a:xfrm>
                    <a:prstGeom prst="rect">
                      <a:avLst/>
                    </a:prstGeom>
                  </pic:spPr>
                </pic:pic>
              </a:graphicData>
            </a:graphic>
          </wp:inline>
        </w:drawing>
      </w:r>
    </w:p>
    <w:p w14:paraId="0A11D1D9">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b/>
          <w:bCs/>
          <w:sz w:val="28"/>
          <w:szCs w:val="28"/>
          <w:lang w:val="en-US" w:eastAsia="zh-CN"/>
        </w:rPr>
      </w:pPr>
      <w:r>
        <w:rPr>
          <w:rFonts w:hint="default" w:ascii="Times New Roman" w:hAnsi="Times New Roman" w:cs="Times New Roman"/>
          <w:b/>
          <w:bCs/>
          <w:sz w:val="28"/>
          <w:szCs w:val="28"/>
          <w:lang w:val="en-US" w:eastAsia="zh-CN"/>
        </w:rPr>
        <w:t>附件</w:t>
      </w:r>
      <w:r>
        <w:rPr>
          <w:rFonts w:hint="eastAsia" w:cs="Times New Roman"/>
          <w:b/>
          <w:bCs/>
          <w:sz w:val="28"/>
          <w:szCs w:val="28"/>
          <w:lang w:val="en-US" w:eastAsia="zh-CN"/>
        </w:rPr>
        <w:t>5</w:t>
      </w:r>
      <w:r>
        <w:rPr>
          <w:rFonts w:hint="default" w:ascii="Times New Roman" w:hAnsi="Times New Roman" w:cs="Times New Roman"/>
          <w:b/>
          <w:bCs/>
          <w:sz w:val="28"/>
          <w:szCs w:val="28"/>
          <w:lang w:val="en-US" w:eastAsia="zh-CN"/>
        </w:rPr>
        <w:t>：</w:t>
      </w:r>
      <w:r>
        <w:rPr>
          <w:rFonts w:hint="eastAsia" w:cs="Times New Roman"/>
          <w:b/>
          <w:bCs/>
          <w:sz w:val="28"/>
          <w:szCs w:val="28"/>
          <w:lang w:val="en-US" w:eastAsia="zh-CN"/>
        </w:rPr>
        <w:t>承诺书</w:t>
      </w:r>
    </w:p>
    <w:p w14:paraId="6E793358">
      <w:pPr>
        <w:jc w:val="center"/>
        <w:rPr>
          <w:rFonts w:hint="default" w:ascii="Times New Roman" w:hAnsi="Times New Roman" w:eastAsia="黑体" w:cs="Times New Roman"/>
          <w:sz w:val="36"/>
          <w:szCs w:val="36"/>
          <w:lang w:val="en-US" w:eastAsia="zh-CN"/>
        </w:rPr>
      </w:pPr>
      <w:r>
        <w:rPr>
          <w:rFonts w:hint="default" w:ascii="Times New Roman" w:hAnsi="Times New Roman" w:eastAsia="黑体" w:cs="Times New Roman"/>
          <w:sz w:val="36"/>
          <w:szCs w:val="36"/>
          <w:lang w:val="en-US" w:eastAsia="zh-CN"/>
        </w:rPr>
        <w:drawing>
          <wp:inline distT="0" distB="0" distL="114300" distR="114300">
            <wp:extent cx="6031865" cy="8531225"/>
            <wp:effectExtent l="0" t="0" r="3175" b="3175"/>
            <wp:docPr id="44" name="图片 44" descr="36ec9f9b820fbb2b8f6dbbb827be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6ec9f9b820fbb2b8f6dbbb827be619"/>
                    <pic:cNvPicPr>
                      <a:picLocks noChangeAspect="1"/>
                    </pic:cNvPicPr>
                  </pic:nvPicPr>
                  <pic:blipFill>
                    <a:blip r:embed="rId41"/>
                    <a:srcRect l="5377" t="5239" r="1438" b="2305"/>
                    <a:stretch>
                      <a:fillRect/>
                    </a:stretch>
                  </pic:blipFill>
                  <pic:spPr>
                    <a:xfrm>
                      <a:off x="0" y="0"/>
                      <a:ext cx="6031865" cy="8531225"/>
                    </a:xfrm>
                    <a:prstGeom prst="rect">
                      <a:avLst/>
                    </a:prstGeom>
                  </pic:spPr>
                </pic:pic>
              </a:graphicData>
            </a:graphic>
          </wp:inline>
        </w:drawing>
      </w:r>
    </w:p>
    <w:p w14:paraId="311DBC14">
      <w:pPr>
        <w:pStyle w:val="18"/>
        <w:widowControl w:val="0"/>
        <w:pBdr>
          <w:top w:val="none" w:color="auto" w:sz="0" w:space="0"/>
          <w:left w:val="none" w:color="auto" w:sz="0" w:space="0"/>
          <w:right w:val="none" w:color="auto" w:sz="0" w:space="0"/>
        </w:pBdr>
        <w:jc w:val="left"/>
        <w:rPr>
          <w:rFonts w:hint="default" w:ascii="Times New Roman" w:hAnsi="Times New Roman" w:cs="Times New Roman"/>
          <w:b/>
          <w:bCs/>
          <w:sz w:val="28"/>
          <w:szCs w:val="28"/>
          <w:highlight w:val="none"/>
          <w:lang w:val="en-US" w:eastAsia="zh-CN"/>
        </w:rPr>
      </w:pPr>
      <w:r>
        <w:rPr>
          <w:rFonts w:hint="default" w:ascii="Times New Roman" w:hAnsi="Times New Roman" w:cs="Times New Roman"/>
          <w:b/>
          <w:bCs/>
          <w:sz w:val="28"/>
          <w:szCs w:val="28"/>
          <w:highlight w:val="none"/>
          <w:lang w:val="en-US" w:eastAsia="zh-CN"/>
        </w:rPr>
        <w:t>附件6：噪声检测报告</w:t>
      </w:r>
    </w:p>
    <w:p w14:paraId="544A4CF0">
      <w:pPr>
        <w:keepNext w:val="0"/>
        <w:keepLines w:val="0"/>
        <w:pageBreakBefore w:val="0"/>
        <w:widowControl w:val="0"/>
        <w:kinsoku/>
        <w:wordWrap/>
        <w:overflowPunct/>
        <w:topLinePunct w:val="0"/>
        <w:autoSpaceDE/>
        <w:autoSpaceDN/>
        <w:bidi w:val="0"/>
        <w:adjustRightInd/>
        <w:snapToGrid w:val="0"/>
        <w:jc w:val="left"/>
        <w:textAlignment w:val="auto"/>
        <w:rPr>
          <w:rFonts w:hint="eastAsia" w:cs="Times New Roman"/>
          <w:b/>
          <w:bCs/>
          <w:sz w:val="28"/>
          <w:szCs w:val="28"/>
          <w:lang w:val="en-US" w:eastAsia="zh-CN"/>
        </w:rPr>
      </w:pPr>
      <w:r>
        <w:drawing>
          <wp:inline distT="0" distB="0" distL="114300" distR="114300">
            <wp:extent cx="8473440" cy="5992495"/>
            <wp:effectExtent l="0" t="0" r="12065"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42"/>
                    <a:stretch>
                      <a:fillRect/>
                    </a:stretch>
                  </pic:blipFill>
                  <pic:spPr>
                    <a:xfrm rot="16200000">
                      <a:off x="0" y="0"/>
                      <a:ext cx="8473440" cy="5992495"/>
                    </a:xfrm>
                    <a:prstGeom prst="rect">
                      <a:avLst/>
                    </a:prstGeom>
                    <a:noFill/>
                    <a:ln>
                      <a:noFill/>
                    </a:ln>
                  </pic:spPr>
                </pic:pic>
              </a:graphicData>
            </a:graphic>
          </wp:inline>
        </w:drawing>
      </w:r>
      <w:r>
        <w:drawing>
          <wp:inline distT="0" distB="0" distL="114300" distR="114300">
            <wp:extent cx="8849995" cy="6258560"/>
            <wp:effectExtent l="0" t="0" r="5080" b="444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43"/>
                    <a:stretch>
                      <a:fillRect/>
                    </a:stretch>
                  </pic:blipFill>
                  <pic:spPr>
                    <a:xfrm rot="16200000">
                      <a:off x="0" y="0"/>
                      <a:ext cx="8849995" cy="6258560"/>
                    </a:xfrm>
                    <a:prstGeom prst="rect">
                      <a:avLst/>
                    </a:prstGeom>
                    <a:noFill/>
                    <a:ln>
                      <a:noFill/>
                    </a:ln>
                  </pic:spPr>
                </pic:pic>
              </a:graphicData>
            </a:graphic>
          </wp:inline>
        </w:drawing>
      </w:r>
      <w:r>
        <w:drawing>
          <wp:inline distT="0" distB="0" distL="114300" distR="114300">
            <wp:extent cx="8804275" cy="6226175"/>
            <wp:effectExtent l="0" t="0" r="6985" b="444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4"/>
                    <a:stretch>
                      <a:fillRect/>
                    </a:stretch>
                  </pic:blipFill>
                  <pic:spPr>
                    <a:xfrm rot="16200000">
                      <a:off x="0" y="0"/>
                      <a:ext cx="8804275" cy="6226175"/>
                    </a:xfrm>
                    <a:prstGeom prst="rect">
                      <a:avLst/>
                    </a:prstGeom>
                    <a:noFill/>
                    <a:ln>
                      <a:noFill/>
                    </a:ln>
                  </pic:spPr>
                </pic:pic>
              </a:graphicData>
            </a:graphic>
          </wp:inline>
        </w:drawing>
      </w:r>
      <w:r>
        <w:drawing>
          <wp:inline distT="0" distB="0" distL="114300" distR="114300">
            <wp:extent cx="8804275" cy="6226175"/>
            <wp:effectExtent l="0" t="0" r="6985" b="444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45"/>
                    <a:stretch>
                      <a:fillRect/>
                    </a:stretch>
                  </pic:blipFill>
                  <pic:spPr>
                    <a:xfrm rot="16200000">
                      <a:off x="0" y="0"/>
                      <a:ext cx="8804275" cy="6226175"/>
                    </a:xfrm>
                    <a:prstGeom prst="rect">
                      <a:avLst/>
                    </a:prstGeom>
                    <a:noFill/>
                    <a:ln>
                      <a:noFill/>
                    </a:ln>
                  </pic:spPr>
                </pic:pic>
              </a:graphicData>
            </a:graphic>
          </wp:inline>
        </w:drawing>
      </w:r>
      <w:r>
        <w:drawing>
          <wp:inline distT="0" distB="0" distL="114300" distR="114300">
            <wp:extent cx="8811895" cy="6231255"/>
            <wp:effectExtent l="0" t="0" r="1905" b="12065"/>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46"/>
                    <a:stretch>
                      <a:fillRect/>
                    </a:stretch>
                  </pic:blipFill>
                  <pic:spPr>
                    <a:xfrm rot="16200000">
                      <a:off x="0" y="0"/>
                      <a:ext cx="8811895" cy="6231255"/>
                    </a:xfrm>
                    <a:prstGeom prst="rect">
                      <a:avLst/>
                    </a:prstGeom>
                    <a:noFill/>
                    <a:ln>
                      <a:noFill/>
                    </a:ln>
                  </pic:spPr>
                </pic:pic>
              </a:graphicData>
            </a:graphic>
          </wp:inline>
        </w:drawing>
      </w:r>
      <w:r>
        <w:rPr>
          <w:rFonts w:hint="default" w:ascii="Times New Roman" w:hAnsi="Times New Roman" w:cs="Times New Roman"/>
          <w:b/>
          <w:bCs/>
          <w:sz w:val="28"/>
          <w:szCs w:val="28"/>
          <w:lang w:val="en-US" w:eastAsia="zh-CN"/>
        </w:rPr>
        <w:t>附件</w:t>
      </w:r>
      <w:r>
        <w:rPr>
          <w:rFonts w:hint="eastAsia" w:cs="Times New Roman"/>
          <w:b/>
          <w:bCs/>
          <w:sz w:val="28"/>
          <w:szCs w:val="28"/>
          <w:lang w:val="en-US" w:eastAsia="zh-CN"/>
        </w:rPr>
        <w:t>7</w:t>
      </w:r>
      <w:r>
        <w:rPr>
          <w:rFonts w:hint="default" w:ascii="Times New Roman" w:hAnsi="Times New Roman" w:cs="Times New Roman"/>
          <w:b/>
          <w:bCs/>
          <w:sz w:val="28"/>
          <w:szCs w:val="28"/>
          <w:lang w:val="en-US" w:eastAsia="zh-CN"/>
        </w:rPr>
        <w:t>：</w:t>
      </w:r>
      <w:r>
        <w:rPr>
          <w:rFonts w:hint="eastAsia" w:cs="Times New Roman"/>
          <w:b/>
          <w:bCs/>
          <w:sz w:val="28"/>
          <w:szCs w:val="28"/>
          <w:lang w:val="en-US" w:eastAsia="zh-CN"/>
        </w:rPr>
        <w:t>供料合同</w:t>
      </w:r>
    </w:p>
    <w:p w14:paraId="4C4B01EE">
      <w:pPr>
        <w:jc w:val="center"/>
        <w:rPr>
          <w:rFonts w:hint="default" w:cs="Times New Roman"/>
          <w:b/>
          <w:bCs/>
          <w:sz w:val="28"/>
          <w:szCs w:val="28"/>
          <w:lang w:val="en-US" w:eastAsia="zh-CN"/>
        </w:rPr>
      </w:pPr>
      <w:r>
        <w:rPr>
          <w:rFonts w:hint="default" w:cs="Times New Roman"/>
          <w:b/>
          <w:bCs/>
          <w:sz w:val="28"/>
          <w:szCs w:val="28"/>
          <w:lang w:val="en-US" w:eastAsia="zh-CN"/>
        </w:rPr>
        <w:drawing>
          <wp:inline distT="0" distB="0" distL="114300" distR="114300">
            <wp:extent cx="5668645" cy="8517890"/>
            <wp:effectExtent l="0" t="0" r="635" b="1270"/>
            <wp:docPr id="47" name="图片 47" descr="f06faf77e62c67f8d5147ec5a0e0b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f06faf77e62c67f8d5147ec5a0e0bcc"/>
                    <pic:cNvPicPr>
                      <a:picLocks noChangeAspect="1"/>
                    </pic:cNvPicPr>
                  </pic:nvPicPr>
                  <pic:blipFill>
                    <a:blip r:embed="rId47"/>
                    <a:srcRect l="12908"/>
                    <a:stretch>
                      <a:fillRect/>
                    </a:stretch>
                  </pic:blipFill>
                  <pic:spPr>
                    <a:xfrm>
                      <a:off x="0" y="0"/>
                      <a:ext cx="5668645" cy="8517890"/>
                    </a:xfrm>
                    <a:prstGeom prst="rect">
                      <a:avLst/>
                    </a:prstGeom>
                  </pic:spPr>
                </pic:pic>
              </a:graphicData>
            </a:graphic>
          </wp:inline>
        </w:drawing>
      </w:r>
    </w:p>
    <w:p w14:paraId="46AB8C3F">
      <w:pPr>
        <w:spacing w:line="240" w:lineRule="auto"/>
        <w:jc w:val="center"/>
        <w:rPr>
          <w:rFonts w:hint="eastAsia" w:ascii="黑体" w:hAnsi="黑体" w:eastAsia="黑体" w:cs="Times New Roman"/>
          <w:sz w:val="36"/>
          <w:szCs w:val="36"/>
          <w:lang w:val="en-US" w:eastAsia="zh-CN"/>
        </w:rPr>
      </w:pPr>
      <w:r>
        <w:rPr>
          <w:rFonts w:hint="eastAsia" w:eastAsia="宋体"/>
          <w:lang w:eastAsia="zh-CN"/>
        </w:rPr>
        <w:drawing>
          <wp:inline distT="0" distB="0" distL="114300" distR="114300">
            <wp:extent cx="6073140" cy="8889365"/>
            <wp:effectExtent l="0" t="0" r="7620" b="10795"/>
            <wp:docPr id="48" name="图片 48" descr="2c9cd1280481d5d8c52f386633c33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c9cd1280481d5d8c52f386633c33e9"/>
                    <pic:cNvPicPr>
                      <a:picLocks noChangeAspect="1"/>
                    </pic:cNvPicPr>
                  </pic:nvPicPr>
                  <pic:blipFill>
                    <a:blip r:embed="rId48"/>
                    <a:srcRect l="9763"/>
                    <a:stretch>
                      <a:fillRect/>
                    </a:stretch>
                  </pic:blipFill>
                  <pic:spPr>
                    <a:xfrm>
                      <a:off x="0" y="0"/>
                      <a:ext cx="6073140" cy="8889365"/>
                    </a:xfrm>
                    <a:prstGeom prst="rect">
                      <a:avLst/>
                    </a:prstGeom>
                  </pic:spPr>
                </pic:pic>
              </a:graphicData>
            </a:graphic>
          </wp:inline>
        </w:drawing>
      </w:r>
      <w:r>
        <w:rPr>
          <w:rFonts w:hint="eastAsia" w:ascii="黑体" w:hAnsi="黑体" w:eastAsia="黑体" w:cs="Times New Roman"/>
          <w:sz w:val="36"/>
          <w:szCs w:val="36"/>
          <w:lang w:val="en-US" w:eastAsia="zh-CN"/>
        </w:rPr>
        <w:t>河南省昆仲工程有限责任公司</w:t>
      </w:r>
    </w:p>
    <w:p w14:paraId="7A2DD0D8">
      <w:pPr>
        <w:spacing w:after="156" w:afterLines="50" w:line="500" w:lineRule="exact"/>
        <w:jc w:val="center"/>
        <w:rPr>
          <w:rFonts w:hint="eastAsia" w:ascii="黑体" w:hAnsi="黑体" w:eastAsia="黑体" w:cs="Times New Roman"/>
          <w:sz w:val="36"/>
          <w:szCs w:val="36"/>
        </w:rPr>
      </w:pPr>
      <w:r>
        <w:rPr>
          <w:rFonts w:hint="eastAsia" w:ascii="黑体" w:hAnsi="黑体" w:eastAsia="黑体" w:cs="Times New Roman"/>
          <w:sz w:val="36"/>
          <w:szCs w:val="36"/>
          <w:lang w:val="en-US" w:eastAsia="zh-CN"/>
        </w:rPr>
        <w:t>建筑垃圾回收再利用及水泥稳定土项目</w:t>
      </w:r>
    </w:p>
    <w:p w14:paraId="372BE3F5">
      <w:pPr>
        <w:spacing w:after="156" w:afterLines="50" w:line="500" w:lineRule="exact"/>
        <w:jc w:val="center"/>
        <w:rPr>
          <w:rFonts w:ascii="黑体" w:hAnsi="黑体" w:eastAsia="黑体"/>
          <w:sz w:val="36"/>
          <w:szCs w:val="36"/>
        </w:rPr>
      </w:pPr>
      <w:r>
        <w:rPr>
          <w:rFonts w:hint="eastAsia" w:ascii="黑体" w:hAnsi="黑体" w:eastAsia="黑体"/>
          <w:sz w:val="36"/>
          <w:szCs w:val="36"/>
        </w:rPr>
        <w:t>环境影响报告表技术评审意见</w:t>
      </w:r>
    </w:p>
    <w:p w14:paraId="1D5FD8C0">
      <w:pPr>
        <w:spacing w:line="500" w:lineRule="exact"/>
        <w:ind w:firstLine="600" w:firstLineChars="200"/>
        <w:rPr>
          <w:rFonts w:eastAsia="仿宋_GB2312"/>
          <w:sz w:val="30"/>
        </w:rPr>
      </w:pPr>
      <w:r>
        <w:rPr>
          <w:rFonts w:hint="eastAsia" w:ascii="Times New Roman" w:hAnsi="Times New Roman" w:eastAsia="仿宋_GB2312" w:cs="Times New Roman"/>
          <w:sz w:val="30"/>
        </w:rPr>
        <w:t>20</w:t>
      </w:r>
      <w:r>
        <w:rPr>
          <w:rFonts w:hint="eastAsia" w:ascii="Times New Roman" w:hAnsi="Times New Roman" w:eastAsia="仿宋_GB2312" w:cs="Times New Roman"/>
          <w:sz w:val="30"/>
          <w:lang w:val="en-US" w:eastAsia="zh-CN"/>
        </w:rPr>
        <w:t>25</w:t>
      </w:r>
      <w:r>
        <w:rPr>
          <w:rFonts w:hint="eastAsia" w:ascii="Times New Roman" w:hAnsi="Times New Roman" w:eastAsia="仿宋_GB2312" w:cs="Times New Roman"/>
          <w:sz w:val="30"/>
        </w:rPr>
        <w:t>年</w:t>
      </w:r>
      <w:r>
        <w:rPr>
          <w:rFonts w:hint="eastAsia" w:ascii="Times New Roman" w:hAnsi="Times New Roman" w:eastAsia="仿宋_GB2312" w:cs="Times New Roman"/>
          <w:sz w:val="30"/>
          <w:lang w:val="en-US" w:eastAsia="zh-CN"/>
        </w:rPr>
        <w:t>1</w:t>
      </w:r>
      <w:r>
        <w:rPr>
          <w:rFonts w:hint="eastAsia" w:ascii="Times New Roman" w:hAnsi="Times New Roman" w:eastAsia="仿宋_GB2312" w:cs="Times New Roman"/>
          <w:sz w:val="30"/>
        </w:rPr>
        <w:t>月</w:t>
      </w:r>
      <w:r>
        <w:rPr>
          <w:rFonts w:hint="eastAsia" w:ascii="Times New Roman" w:hAnsi="Times New Roman" w:eastAsia="仿宋_GB2312" w:cs="Times New Roman"/>
          <w:sz w:val="30"/>
          <w:lang w:val="en-US" w:eastAsia="zh-CN"/>
        </w:rPr>
        <w:t>3</w:t>
      </w:r>
      <w:r>
        <w:rPr>
          <w:rFonts w:hint="eastAsia" w:ascii="Times New Roman" w:hAnsi="Times New Roman" w:eastAsia="仿宋_GB2312" w:cs="Times New Roman"/>
          <w:sz w:val="30"/>
        </w:rPr>
        <w:t>日</w:t>
      </w:r>
      <w:r>
        <w:rPr>
          <w:rFonts w:hint="eastAsia" w:eastAsia="仿宋_GB2312"/>
          <w:sz w:val="30"/>
        </w:rPr>
        <w:t>，</w:t>
      </w:r>
      <w:r>
        <w:rPr>
          <w:rFonts w:hint="eastAsia" w:eastAsia="仿宋_GB2312"/>
          <w:sz w:val="30"/>
          <w:lang w:val="en-US" w:eastAsia="zh-CN"/>
        </w:rPr>
        <w:t>受</w:t>
      </w:r>
      <w:r>
        <w:rPr>
          <w:rFonts w:hint="eastAsia" w:eastAsia="仿宋_GB2312"/>
          <w:sz w:val="30"/>
        </w:rPr>
        <w:t>平</w:t>
      </w:r>
      <w:r>
        <w:rPr>
          <w:rFonts w:eastAsia="仿宋_GB2312"/>
          <w:sz w:val="30"/>
        </w:rPr>
        <w:t>顶山市生态环境局</w:t>
      </w:r>
      <w:r>
        <w:rPr>
          <w:rFonts w:hint="eastAsia" w:eastAsia="仿宋_GB2312"/>
          <w:sz w:val="30"/>
          <w:lang w:eastAsia="zh-CN"/>
        </w:rPr>
        <w:t>叶县</w:t>
      </w:r>
      <w:r>
        <w:rPr>
          <w:rFonts w:hint="eastAsia" w:eastAsia="仿宋_GB2312"/>
          <w:sz w:val="30"/>
        </w:rPr>
        <w:t>分局</w:t>
      </w:r>
      <w:r>
        <w:rPr>
          <w:rFonts w:hint="eastAsia" w:eastAsia="仿宋_GB2312"/>
          <w:sz w:val="30"/>
          <w:lang w:val="en-US" w:eastAsia="zh-CN"/>
        </w:rPr>
        <w:t>委托，河南嘉利达环保科技有限公司</w:t>
      </w:r>
      <w:r>
        <w:rPr>
          <w:rFonts w:hint="eastAsia" w:eastAsia="仿宋_GB2312"/>
          <w:sz w:val="30"/>
        </w:rPr>
        <w:t>在</w:t>
      </w:r>
      <w:r>
        <w:rPr>
          <w:rFonts w:hint="eastAsia" w:eastAsia="仿宋_GB2312"/>
          <w:sz w:val="30"/>
          <w:lang w:eastAsia="zh-CN"/>
        </w:rPr>
        <w:t>叶县</w:t>
      </w:r>
      <w:r>
        <w:rPr>
          <w:rFonts w:hint="eastAsia" w:eastAsia="仿宋_GB2312"/>
          <w:sz w:val="30"/>
          <w:lang w:val="en-US" w:eastAsia="zh-CN"/>
        </w:rPr>
        <w:t>组织</w:t>
      </w:r>
      <w:r>
        <w:rPr>
          <w:rFonts w:hint="eastAsia" w:eastAsia="仿宋_GB2312"/>
          <w:sz w:val="30"/>
        </w:rPr>
        <w:t>召开了《</w:t>
      </w:r>
      <w:r>
        <w:rPr>
          <w:rFonts w:hint="eastAsia" w:eastAsia="仿宋_GB2312"/>
          <w:sz w:val="30"/>
          <w:lang w:val="en-US" w:eastAsia="zh-CN"/>
        </w:rPr>
        <w:t>河南省昆仲工程有限责任公司建筑垃圾回收再利用及水泥稳定土项目</w:t>
      </w:r>
      <w:r>
        <w:rPr>
          <w:rFonts w:hint="eastAsia" w:eastAsia="仿宋_GB2312"/>
          <w:sz w:val="30"/>
        </w:rPr>
        <w:t>环境影响报告表》技术评审会议。参加会议的有：平</w:t>
      </w:r>
      <w:r>
        <w:rPr>
          <w:rFonts w:eastAsia="仿宋_GB2312"/>
          <w:sz w:val="30"/>
        </w:rPr>
        <w:t>顶山市生态环境局</w:t>
      </w:r>
      <w:r>
        <w:rPr>
          <w:rFonts w:hint="eastAsia" w:eastAsia="仿宋_GB2312"/>
          <w:sz w:val="30"/>
          <w:lang w:eastAsia="zh-CN"/>
        </w:rPr>
        <w:t>叶县</w:t>
      </w:r>
      <w:r>
        <w:rPr>
          <w:rFonts w:hint="eastAsia" w:eastAsia="仿宋_GB2312"/>
          <w:sz w:val="30"/>
        </w:rPr>
        <w:t>分局、</w:t>
      </w:r>
      <w:r>
        <w:rPr>
          <w:rFonts w:hint="eastAsia" w:eastAsia="仿宋_GB2312"/>
          <w:sz w:val="30"/>
          <w:lang w:val="en-US" w:eastAsia="zh-CN"/>
        </w:rPr>
        <w:t>河南省昆仲工程有限责任公司</w:t>
      </w:r>
      <w:r>
        <w:rPr>
          <w:rFonts w:hint="eastAsia" w:eastAsia="仿宋_GB2312"/>
          <w:sz w:val="30"/>
        </w:rPr>
        <w:t>（</w:t>
      </w:r>
      <w:r>
        <w:rPr>
          <w:rFonts w:hint="eastAsia" w:ascii="Times New Roman" w:hAnsi="Times New Roman" w:eastAsia="仿宋_GB2312" w:cs="Times New Roman"/>
          <w:sz w:val="30"/>
        </w:rPr>
        <w:t>建设</w:t>
      </w:r>
      <w:r>
        <w:rPr>
          <w:rFonts w:hint="eastAsia" w:ascii="Times New Roman" w:hAnsi="Times New Roman" w:eastAsia="仿宋_GB2312" w:cs="Times New Roman"/>
          <w:sz w:val="30"/>
          <w:lang w:val="en-US" w:eastAsia="zh-CN"/>
        </w:rPr>
        <w:t>单位</w:t>
      </w:r>
      <w:r>
        <w:rPr>
          <w:rFonts w:hint="eastAsia" w:eastAsia="仿宋_GB2312"/>
          <w:sz w:val="30"/>
        </w:rPr>
        <w:t>）、</w:t>
      </w:r>
      <w:r>
        <w:rPr>
          <w:rFonts w:hint="eastAsia" w:eastAsia="仿宋_GB2312"/>
          <w:sz w:val="30"/>
          <w:lang w:eastAsia="zh-CN"/>
        </w:rPr>
        <w:t>河南橦华生态环境设计有限公司</w:t>
      </w:r>
      <w:r>
        <w:rPr>
          <w:rFonts w:hint="eastAsia" w:eastAsia="仿宋_GB2312"/>
          <w:sz w:val="30"/>
        </w:rPr>
        <w:t>（</w:t>
      </w:r>
      <w:r>
        <w:rPr>
          <w:rFonts w:hint="eastAsia" w:ascii="Times New Roman" w:hAnsi="Times New Roman" w:eastAsia="仿宋_GB2312" w:cs="Times New Roman"/>
          <w:sz w:val="30"/>
        </w:rPr>
        <w:t>报告表编制</w:t>
      </w:r>
      <w:r>
        <w:rPr>
          <w:rFonts w:hint="eastAsia" w:ascii="Times New Roman" w:hAnsi="Times New Roman" w:eastAsia="仿宋_GB2312" w:cs="Times New Roman"/>
          <w:sz w:val="30"/>
          <w:lang w:val="en-US" w:eastAsia="zh-CN"/>
        </w:rPr>
        <w:t>单位</w:t>
      </w:r>
      <w:r>
        <w:rPr>
          <w:rFonts w:hint="eastAsia" w:eastAsia="仿宋_GB2312"/>
          <w:sz w:val="30"/>
        </w:rPr>
        <w:t>）等单位代表以及专家</w:t>
      </w:r>
      <w:r>
        <w:rPr>
          <w:rFonts w:eastAsia="仿宋_GB2312"/>
          <w:sz w:val="30"/>
        </w:rPr>
        <w:t>库</w:t>
      </w:r>
      <w:r>
        <w:rPr>
          <w:rFonts w:hint="eastAsia" w:eastAsia="仿宋_GB2312"/>
          <w:sz w:val="30"/>
        </w:rPr>
        <w:t>抽取的专家（专家名单附后）。与会人员实地踏勘了现场，分别听取了建设单位对项目基本情况的介绍和报告表编制人员对报告表中主要内容的汇报。</w:t>
      </w:r>
    </w:p>
    <w:p w14:paraId="29F7510A">
      <w:pPr>
        <w:spacing w:line="500" w:lineRule="exact"/>
        <w:ind w:firstLine="600" w:firstLineChars="200"/>
        <w:rPr>
          <w:rFonts w:hint="eastAsia" w:eastAsia="仿宋_GB2312"/>
          <w:sz w:val="30"/>
        </w:rPr>
      </w:pPr>
      <w:r>
        <w:rPr>
          <w:rFonts w:hint="eastAsia" w:eastAsia="仿宋_GB2312"/>
          <w:color w:val="auto"/>
          <w:sz w:val="30"/>
        </w:rPr>
        <w:t>报告表编制主持人</w:t>
      </w:r>
      <w:r>
        <w:rPr>
          <w:rFonts w:hint="eastAsia" w:eastAsia="仿宋_GB2312"/>
          <w:color w:val="auto"/>
          <w:sz w:val="30"/>
          <w:lang w:val="en-US" w:eastAsia="zh-CN"/>
        </w:rPr>
        <w:t>杨晛</w:t>
      </w:r>
      <w:r>
        <w:rPr>
          <w:rFonts w:hint="eastAsia" w:eastAsia="仿宋_GB2312"/>
          <w:color w:val="auto"/>
          <w:sz w:val="30"/>
        </w:rPr>
        <w:t>（信用</w:t>
      </w:r>
      <w:r>
        <w:rPr>
          <w:rFonts w:eastAsia="仿宋_GB2312"/>
          <w:color w:val="auto"/>
          <w:sz w:val="30"/>
        </w:rPr>
        <w:t>编号</w:t>
      </w:r>
      <w:r>
        <w:rPr>
          <w:rFonts w:hint="eastAsia" w:eastAsia="仿宋_GB2312"/>
          <w:color w:val="auto"/>
          <w:sz w:val="30"/>
        </w:rPr>
        <w:t>BH0</w:t>
      </w:r>
      <w:r>
        <w:rPr>
          <w:rFonts w:hint="eastAsia" w:eastAsia="仿宋_GB2312"/>
          <w:color w:val="auto"/>
          <w:sz w:val="30"/>
          <w:lang w:val="en-US" w:eastAsia="zh-CN"/>
        </w:rPr>
        <w:t>09815</w:t>
      </w:r>
      <w:r>
        <w:rPr>
          <w:rFonts w:hint="eastAsia" w:eastAsia="仿宋_GB2312"/>
          <w:color w:val="auto"/>
          <w:sz w:val="30"/>
        </w:rPr>
        <w:t>）</w:t>
      </w:r>
      <w:r>
        <w:rPr>
          <w:rFonts w:hint="eastAsia" w:eastAsia="仿宋_GB2312"/>
          <w:color w:val="auto"/>
          <w:sz w:val="30"/>
          <w:lang w:val="en-US" w:eastAsia="zh-CN"/>
        </w:rPr>
        <w:t>因事未能</w:t>
      </w:r>
      <w:r>
        <w:rPr>
          <w:rFonts w:hint="eastAsia" w:eastAsia="仿宋_GB2312"/>
          <w:color w:val="auto"/>
          <w:sz w:val="30"/>
        </w:rPr>
        <w:t>参加会议</w:t>
      </w:r>
      <w:r>
        <w:rPr>
          <w:rFonts w:hint="eastAsia" w:eastAsia="仿宋_GB2312"/>
          <w:color w:val="auto"/>
          <w:sz w:val="30"/>
          <w:lang w:eastAsia="zh-CN"/>
        </w:rPr>
        <w:t>，</w:t>
      </w:r>
      <w:r>
        <w:rPr>
          <w:rFonts w:hint="eastAsia" w:eastAsia="仿宋_GB2312"/>
          <w:color w:val="auto"/>
          <w:sz w:val="30"/>
          <w:lang w:val="en-US" w:eastAsia="zh-CN"/>
        </w:rPr>
        <w:t>由乔志鑫</w:t>
      </w:r>
      <w:r>
        <w:rPr>
          <w:rFonts w:hint="eastAsia" w:eastAsia="仿宋_GB2312"/>
          <w:color w:val="auto"/>
          <w:sz w:val="30"/>
        </w:rPr>
        <w:t>进行汇报，项目现场踏勘影</w:t>
      </w:r>
      <w:r>
        <w:rPr>
          <w:rFonts w:hint="eastAsia" w:eastAsia="仿宋_GB2312"/>
          <w:sz w:val="30"/>
        </w:rPr>
        <w:t>像资料齐全；环境影响评价文件质控记录齐全。经审核，项目编制主持人身份信息符合《建设项目环境影响报告书（表）编制监督管理办法》有关要求。</w:t>
      </w:r>
    </w:p>
    <w:p w14:paraId="006320C2">
      <w:pPr>
        <w:spacing w:line="500" w:lineRule="exact"/>
        <w:ind w:firstLine="600" w:firstLineChars="200"/>
        <w:rPr>
          <w:rFonts w:eastAsia="仿宋_GB2312"/>
          <w:sz w:val="30"/>
        </w:rPr>
      </w:pPr>
      <w:r>
        <w:rPr>
          <w:rFonts w:hint="eastAsia" w:eastAsia="仿宋_GB2312"/>
          <w:sz w:val="30"/>
        </w:rPr>
        <w:t>会议组成了专家技术评审组，负责报告表技术评审。经过认真咨询、讨论和评议，形成技术评审意见如下：</w:t>
      </w:r>
    </w:p>
    <w:p w14:paraId="46F1471E">
      <w:pPr>
        <w:spacing w:line="500" w:lineRule="exact"/>
        <w:ind w:firstLine="600" w:firstLineChars="200"/>
        <w:rPr>
          <w:rFonts w:hint="eastAsia" w:ascii="黑体" w:hAnsi="黑体" w:eastAsia="黑体"/>
          <w:sz w:val="30"/>
          <w:lang w:eastAsia="zh-CN"/>
        </w:rPr>
      </w:pPr>
      <w:r>
        <w:rPr>
          <w:rFonts w:ascii="黑体" w:hAnsi="黑体" w:eastAsia="黑体"/>
          <w:sz w:val="30"/>
        </w:rPr>
        <w:t>一、项目概况</w:t>
      </w:r>
    </w:p>
    <w:p w14:paraId="0A5CC2EE">
      <w:pPr>
        <w:spacing w:line="500" w:lineRule="exact"/>
        <w:ind w:firstLine="573"/>
        <w:rPr>
          <w:rFonts w:hint="eastAsia" w:ascii="Times New Roman" w:hAnsi="Times New Roman" w:eastAsia="仿宋_GB2312" w:cs="Times New Roman"/>
          <w:sz w:val="30"/>
          <w:lang w:val="en-US" w:eastAsia="zh-CN"/>
        </w:rPr>
      </w:pPr>
      <w:r>
        <w:rPr>
          <w:rFonts w:hint="default" w:ascii="Times New Roman" w:hAnsi="Times New Roman" w:eastAsia="仿宋_GB2312" w:cs="Times New Roman"/>
          <w:sz w:val="30"/>
          <w:lang w:val="en-US" w:eastAsia="zh-CN"/>
        </w:rPr>
        <w:t>1</w:t>
      </w:r>
      <w:r>
        <w:rPr>
          <w:rFonts w:hint="eastAsia" w:ascii="Times New Roman" w:hAnsi="Times New Roman" w:eastAsia="仿宋_GB2312" w:cs="Times New Roman"/>
          <w:sz w:val="30"/>
          <w:lang w:val="en-US" w:eastAsia="zh-CN"/>
        </w:rPr>
        <w:t>.项目基本情况</w:t>
      </w:r>
    </w:p>
    <w:p w14:paraId="7B9D482E">
      <w:pPr>
        <w:spacing w:line="500" w:lineRule="exact"/>
        <w:ind w:firstLine="573"/>
        <w:rPr>
          <w:rFonts w:hint="eastAsia" w:ascii="Times New Roman" w:hAnsi="Times New Roman" w:eastAsia="仿宋_GB2312" w:cs="Times New Roman"/>
          <w:sz w:val="30"/>
        </w:rPr>
      </w:pPr>
      <w:r>
        <w:rPr>
          <w:rFonts w:hint="eastAsia" w:eastAsia="仿宋_GB2312"/>
          <w:sz w:val="30"/>
          <w:lang w:val="en-US" w:eastAsia="zh-CN"/>
        </w:rPr>
        <w:t>河南省昆仲工程有限责任公司建筑垃圾回收再利用及水泥稳定土项目位于河南省平顶山市叶县廉村镇湾张村东南地叶廉路北侧。</w:t>
      </w:r>
      <w:r>
        <w:rPr>
          <w:rFonts w:hint="eastAsia" w:ascii="Times New Roman" w:hAnsi="Times New Roman" w:eastAsia="仿宋_GB2312" w:cs="Times New Roman"/>
          <w:sz w:val="30"/>
          <w:lang w:val="en-US" w:eastAsia="zh-CN"/>
        </w:rPr>
        <w:t>本项目投资1000万元，拟建设两条生产线，其中一条为砂石生产线，另一条为水泥稳定土生产线。砂石生产线工艺流程：给料、颚破、筛分、粉碎、水洗、脱水、成品。水泥稳定土工艺流程：给料、上料计量、搅拌、分装运输。</w:t>
      </w:r>
      <w:r>
        <w:rPr>
          <w:rFonts w:hint="eastAsia" w:ascii="Times New Roman" w:hAnsi="Times New Roman" w:eastAsia="仿宋_GB2312" w:cs="Times New Roman"/>
          <w:sz w:val="30"/>
        </w:rPr>
        <w:t>年生产天数</w:t>
      </w:r>
      <w:r>
        <w:rPr>
          <w:rFonts w:hint="eastAsia" w:ascii="Times New Roman" w:hAnsi="Times New Roman" w:eastAsia="仿宋_GB2312" w:cs="Times New Roman"/>
          <w:sz w:val="30"/>
          <w:lang w:val="en-US" w:eastAsia="zh-CN"/>
        </w:rPr>
        <w:t>300</w:t>
      </w:r>
      <w:r>
        <w:rPr>
          <w:rFonts w:hint="eastAsia" w:ascii="Times New Roman" w:hAnsi="Times New Roman" w:eastAsia="仿宋_GB2312" w:cs="Times New Roman"/>
          <w:sz w:val="30"/>
        </w:rPr>
        <w:t>天，每天工作</w:t>
      </w:r>
      <w:r>
        <w:rPr>
          <w:rFonts w:hint="eastAsia" w:ascii="Times New Roman" w:hAnsi="Times New Roman" w:eastAsia="仿宋_GB2312" w:cs="Times New Roman"/>
          <w:sz w:val="30"/>
          <w:lang w:val="en-US" w:eastAsia="zh-CN"/>
        </w:rPr>
        <w:t>16</w:t>
      </w:r>
      <w:r>
        <w:rPr>
          <w:rFonts w:hint="eastAsia" w:ascii="Times New Roman" w:hAnsi="Times New Roman" w:eastAsia="仿宋_GB2312" w:cs="Times New Roman"/>
          <w:sz w:val="30"/>
        </w:rPr>
        <w:t>小时，均不在厂区食宿。</w:t>
      </w:r>
    </w:p>
    <w:p w14:paraId="0C5D98B1">
      <w:pPr>
        <w:spacing w:line="500" w:lineRule="exact"/>
        <w:ind w:firstLine="573"/>
        <w:rPr>
          <w:rFonts w:hint="eastAsia" w:eastAsia="仿宋_GB2312"/>
          <w:sz w:val="30"/>
          <w:lang w:val="en-US" w:eastAsia="zh-CN"/>
        </w:rPr>
      </w:pPr>
      <w:r>
        <w:rPr>
          <w:rFonts w:hint="eastAsia" w:eastAsia="仿宋_GB2312"/>
          <w:sz w:val="30"/>
        </w:rPr>
        <w:t>主要设备：</w:t>
      </w:r>
      <w:r>
        <w:rPr>
          <w:rFonts w:hint="eastAsia" w:eastAsia="仿宋_GB2312"/>
          <w:sz w:val="30"/>
          <w:lang w:val="en-US" w:eastAsia="zh-CN"/>
        </w:rPr>
        <w:t>砂石生产线：颚式破碎机、喂料机、水洗筛分机、粉碎机、水轮清洗机、脱水筛、板框压滤机、铲车；水泥稳定土生产线：上料机、水泥筒仓、搅拌设备、皮带输送机、配料仓给料机。</w:t>
      </w:r>
      <w:r>
        <w:rPr>
          <w:rFonts w:hint="eastAsia" w:ascii="Times New Roman" w:hAnsi="Times New Roman" w:eastAsia="仿宋_GB2312" w:cs="Times New Roman"/>
          <w:sz w:val="30"/>
          <w:lang w:val="en-US" w:eastAsia="zh-CN"/>
        </w:rPr>
        <w:t>主要原辅料为废矿石、建筑垃圾、水泥、石子、沙、石粉、水等。</w:t>
      </w:r>
    </w:p>
    <w:p w14:paraId="01B4B3E2">
      <w:pPr>
        <w:numPr>
          <w:ilvl w:val="0"/>
          <w:numId w:val="5"/>
        </w:numPr>
        <w:spacing w:line="500" w:lineRule="exact"/>
        <w:ind w:firstLine="573"/>
        <w:rPr>
          <w:rFonts w:hint="eastAsia" w:ascii="Times New Roman" w:hAnsi="Times New Roman" w:eastAsia="仿宋_GB2312" w:cs="Times New Roman"/>
          <w:sz w:val="30"/>
          <w:lang w:val="en-US" w:eastAsia="zh-CN"/>
        </w:rPr>
      </w:pPr>
      <w:r>
        <w:rPr>
          <w:rFonts w:hint="default" w:ascii="Times New Roman" w:hAnsi="Times New Roman" w:eastAsia="仿宋_GB2312" w:cs="Times New Roman"/>
          <w:sz w:val="30"/>
          <w:lang w:val="en-US" w:eastAsia="zh-CN"/>
        </w:rPr>
        <w:t>项目备案情况</w:t>
      </w:r>
    </w:p>
    <w:p w14:paraId="416F65E9">
      <w:pPr>
        <w:keepNext w:val="0"/>
        <w:keepLines w:val="0"/>
        <w:pageBreakBefore w:val="0"/>
        <w:widowControl w:val="0"/>
        <w:numPr>
          <w:ilvl w:val="0"/>
          <w:numId w:val="0"/>
        </w:numPr>
        <w:kinsoku/>
        <w:wordWrap w:val="0"/>
        <w:overflowPunct/>
        <w:topLinePunct w:val="0"/>
        <w:autoSpaceDE/>
        <w:autoSpaceDN/>
        <w:bidi w:val="0"/>
        <w:adjustRightInd/>
        <w:snapToGrid/>
        <w:spacing w:line="500" w:lineRule="exact"/>
        <w:ind w:firstLine="600" w:firstLineChars="200"/>
        <w:textAlignment w:val="auto"/>
        <w:rPr>
          <w:rFonts w:hint="eastAsia" w:ascii="Times New Roman" w:hAnsi="Times New Roman" w:eastAsia="仿宋_GB2312" w:cs="Times New Roman"/>
          <w:sz w:val="30"/>
        </w:rPr>
      </w:pPr>
      <w:r>
        <w:rPr>
          <w:rFonts w:hint="eastAsia" w:ascii="Times New Roman" w:hAnsi="Times New Roman" w:eastAsia="仿宋_GB2312" w:cs="Times New Roman"/>
          <w:sz w:val="30"/>
        </w:rPr>
        <w:t>项目已在</w:t>
      </w:r>
      <w:r>
        <w:rPr>
          <w:rFonts w:hint="eastAsia" w:ascii="Times New Roman" w:hAnsi="Times New Roman" w:eastAsia="仿宋_GB2312" w:cs="Times New Roman"/>
          <w:sz w:val="30"/>
          <w:lang w:eastAsia="zh-CN"/>
        </w:rPr>
        <w:t>叶县</w:t>
      </w:r>
      <w:r>
        <w:rPr>
          <w:rFonts w:hint="eastAsia" w:ascii="Times New Roman" w:hAnsi="Times New Roman" w:eastAsia="仿宋_GB2312" w:cs="Times New Roman"/>
          <w:sz w:val="30"/>
        </w:rPr>
        <w:t>发展和改革委员会备案，项目代码为：</w:t>
      </w:r>
      <w:r>
        <w:rPr>
          <w:rFonts w:hint="eastAsia" w:ascii="Times New Roman" w:hAnsi="Times New Roman" w:eastAsia="仿宋_GB2312" w:cs="Times New Roman"/>
          <w:sz w:val="30"/>
          <w:lang w:val="en-US" w:eastAsia="zh-CN"/>
        </w:rPr>
        <w:t>2311-410422-04-01-468449，本</w:t>
      </w:r>
      <w:r>
        <w:rPr>
          <w:rFonts w:hint="eastAsia" w:ascii="Times New Roman" w:hAnsi="Times New Roman" w:eastAsia="仿宋_GB2312" w:cs="Times New Roman"/>
          <w:sz w:val="30"/>
        </w:rPr>
        <w:t>项目符合国家当前产业政策。</w:t>
      </w:r>
    </w:p>
    <w:p w14:paraId="71CB6455">
      <w:pPr>
        <w:spacing w:line="500" w:lineRule="exact"/>
        <w:ind w:firstLine="600" w:firstLineChars="200"/>
        <w:rPr>
          <w:rFonts w:hint="eastAsia" w:ascii="黑体" w:hAnsi="黑体" w:eastAsia="黑体"/>
          <w:sz w:val="30"/>
        </w:rPr>
      </w:pPr>
      <w:r>
        <w:rPr>
          <w:rFonts w:hint="eastAsia" w:ascii="黑体" w:hAnsi="黑体" w:eastAsia="黑体"/>
          <w:sz w:val="30"/>
        </w:rPr>
        <w:t>二、区域环境质量现状</w:t>
      </w:r>
    </w:p>
    <w:p w14:paraId="7501BC36">
      <w:pPr>
        <w:spacing w:line="500" w:lineRule="exact"/>
        <w:ind w:firstLine="573"/>
        <w:rPr>
          <w:rFonts w:hint="eastAsia" w:eastAsia="仿宋_GB2312"/>
          <w:sz w:val="30"/>
          <w:highlight w:val="none"/>
        </w:rPr>
      </w:pPr>
      <w:r>
        <w:rPr>
          <w:rFonts w:hint="eastAsia" w:eastAsia="仿宋_GB2312"/>
          <w:sz w:val="30"/>
          <w:highlight w:val="none"/>
        </w:rPr>
        <w:t>项目</w:t>
      </w:r>
      <w:r>
        <w:rPr>
          <w:rFonts w:hint="eastAsia" w:eastAsia="仿宋_GB2312"/>
          <w:color w:val="000000"/>
          <w:sz w:val="30"/>
          <w:highlight w:val="none"/>
        </w:rPr>
        <w:t>所在地</w:t>
      </w:r>
      <w:r>
        <w:rPr>
          <w:rFonts w:hint="eastAsia" w:eastAsia="仿宋_GB2312"/>
          <w:sz w:val="30"/>
          <w:highlight w:val="none"/>
        </w:rPr>
        <w:t>地表水环境质量、声环境质量均能够满足相应的标准要求。</w:t>
      </w:r>
      <w:r>
        <w:rPr>
          <w:rFonts w:hint="eastAsia" w:eastAsia="仿宋_GB2312"/>
          <w:sz w:val="30"/>
          <w:highlight w:val="none"/>
          <w:lang w:val="en-US" w:eastAsia="zh-CN"/>
        </w:rPr>
        <w:t>2024年</w:t>
      </w:r>
      <w:r>
        <w:rPr>
          <w:rFonts w:hint="eastAsia" w:eastAsia="仿宋_GB2312"/>
          <w:sz w:val="30"/>
          <w:highlight w:val="none"/>
        </w:rPr>
        <w:t>区域环境空气质</w:t>
      </w:r>
      <w:r>
        <w:rPr>
          <w:rFonts w:hint="eastAsia" w:eastAsia="仿宋_GB2312"/>
          <w:color w:val="000000" w:themeColor="text1"/>
          <w:sz w:val="30"/>
          <w:highlight w:val="none"/>
          <w14:textFill>
            <w14:solidFill>
              <w14:schemeClr w14:val="tx1"/>
            </w14:solidFill>
          </w14:textFill>
        </w:rPr>
        <w:t>量除PM</w:t>
      </w:r>
      <w:r>
        <w:rPr>
          <w:rFonts w:hint="eastAsia" w:eastAsia="仿宋_GB2312"/>
          <w:color w:val="000000" w:themeColor="text1"/>
          <w:sz w:val="30"/>
          <w:highlight w:val="none"/>
          <w:vertAlign w:val="subscript"/>
          <w14:textFill>
            <w14:solidFill>
              <w14:schemeClr w14:val="tx1"/>
            </w14:solidFill>
          </w14:textFill>
        </w:rPr>
        <w:t>10</w:t>
      </w:r>
      <w:r>
        <w:rPr>
          <w:rFonts w:hint="eastAsia" w:eastAsia="仿宋_GB2312"/>
          <w:color w:val="000000" w:themeColor="text1"/>
          <w:sz w:val="30"/>
          <w:highlight w:val="none"/>
          <w14:textFill>
            <w14:solidFill>
              <w14:schemeClr w14:val="tx1"/>
            </w14:solidFill>
          </w14:textFill>
        </w:rPr>
        <w:t>、</w:t>
      </w:r>
      <w:r>
        <w:rPr>
          <w:rFonts w:hint="eastAsia" w:eastAsia="仿宋_GB2312"/>
          <w:color w:val="000000" w:themeColor="text1"/>
          <w:sz w:val="30"/>
          <w:highlight w:val="none"/>
          <w:lang w:val="en-US" w:eastAsia="zh-CN"/>
          <w14:textFill>
            <w14:solidFill>
              <w14:schemeClr w14:val="tx1"/>
            </w14:solidFill>
          </w14:textFill>
        </w:rPr>
        <w:t>O</w:t>
      </w:r>
      <w:r>
        <w:rPr>
          <w:rFonts w:hint="eastAsia" w:eastAsia="仿宋_GB2312"/>
          <w:color w:val="000000" w:themeColor="text1"/>
          <w:sz w:val="30"/>
          <w:highlight w:val="none"/>
          <w:vertAlign w:val="subscript"/>
          <w:lang w:val="en-US" w:eastAsia="zh-CN"/>
          <w14:textFill>
            <w14:solidFill>
              <w14:schemeClr w14:val="tx1"/>
            </w14:solidFill>
          </w14:textFill>
        </w:rPr>
        <w:t>3</w:t>
      </w:r>
      <w:r>
        <w:rPr>
          <w:rFonts w:hint="eastAsia" w:eastAsia="仿宋_GB2312"/>
          <w:color w:val="000000" w:themeColor="text1"/>
          <w:sz w:val="30"/>
          <w:highlight w:val="none"/>
          <w:vertAlign w:val="baseline"/>
          <w:lang w:val="en-US" w:eastAsia="zh-CN"/>
          <w14:textFill>
            <w14:solidFill>
              <w14:schemeClr w14:val="tx1"/>
            </w14:solidFill>
          </w14:textFill>
        </w:rPr>
        <w:t>等</w:t>
      </w:r>
      <w:r>
        <w:rPr>
          <w:rFonts w:hint="eastAsia" w:eastAsia="仿宋_GB2312"/>
          <w:color w:val="000000" w:themeColor="text1"/>
          <w:sz w:val="30"/>
          <w:highlight w:val="none"/>
          <w14:textFill>
            <w14:solidFill>
              <w14:schemeClr w14:val="tx1"/>
            </w14:solidFill>
          </w14:textFill>
        </w:rPr>
        <w:t>超标外，其余各监测因子均满足《环境空气质量标准》（GB3095-2012）二级标准及修改单</w:t>
      </w:r>
      <w:r>
        <w:rPr>
          <w:rFonts w:hint="eastAsia" w:eastAsia="仿宋_GB2312"/>
          <w:sz w:val="30"/>
          <w:highlight w:val="none"/>
        </w:rPr>
        <w:t>要求。</w:t>
      </w:r>
    </w:p>
    <w:p w14:paraId="3068EA2C">
      <w:pPr>
        <w:spacing w:line="500" w:lineRule="exact"/>
        <w:ind w:firstLine="600" w:firstLineChars="200"/>
        <w:rPr>
          <w:rFonts w:hint="eastAsia" w:ascii="黑体" w:hAnsi="黑体" w:eastAsia="黑体"/>
          <w:sz w:val="30"/>
        </w:rPr>
      </w:pPr>
      <w:r>
        <w:rPr>
          <w:rFonts w:hint="eastAsia" w:ascii="黑体" w:hAnsi="黑体" w:eastAsia="黑体"/>
          <w:sz w:val="30"/>
        </w:rPr>
        <w:t>三、项目拟采取的污染防治措施、风险防范措施和环境影响分析结论</w:t>
      </w:r>
    </w:p>
    <w:p w14:paraId="41D6DE4D">
      <w:pPr>
        <w:spacing w:line="500" w:lineRule="exact"/>
        <w:ind w:firstLine="573"/>
        <w:rPr>
          <w:rFonts w:hint="eastAsia" w:eastAsia="仿宋_GB2312"/>
          <w:sz w:val="30"/>
        </w:rPr>
      </w:pPr>
      <w:r>
        <w:rPr>
          <w:rFonts w:hint="eastAsia" w:eastAsia="仿宋_GB2312"/>
          <w:sz w:val="30"/>
          <w:lang w:val="en-US" w:eastAsia="zh-CN"/>
        </w:rPr>
        <w:t>原料投料工序、颚式破碎工序过程产生的颗粒物，经过袋式除尘器处理后，经15m排气筒排放</w:t>
      </w:r>
      <w:r>
        <w:rPr>
          <w:rFonts w:hint="eastAsia" w:eastAsia="仿宋_GB2312"/>
          <w:sz w:val="30"/>
        </w:rPr>
        <w:t>。原料、成品暂存于全封闭车间。</w:t>
      </w:r>
    </w:p>
    <w:p w14:paraId="05650209">
      <w:pPr>
        <w:spacing w:line="500" w:lineRule="exact"/>
        <w:ind w:firstLine="573"/>
        <w:rPr>
          <w:rFonts w:hint="eastAsia" w:eastAsia="仿宋_GB2312"/>
          <w:sz w:val="30"/>
        </w:rPr>
      </w:pPr>
      <w:r>
        <w:rPr>
          <w:rFonts w:hint="eastAsia" w:eastAsia="仿宋_GB2312"/>
          <w:sz w:val="30"/>
          <w:lang w:val="en-US" w:eastAsia="zh-CN"/>
        </w:rPr>
        <w:t>工业废水经废水处理设施处理后循环使用，不外排</w:t>
      </w:r>
      <w:r>
        <w:rPr>
          <w:rFonts w:hint="eastAsia" w:eastAsia="仿宋_GB2312"/>
          <w:sz w:val="30"/>
          <w:lang w:eastAsia="zh-CN"/>
        </w:rPr>
        <w:t>，</w:t>
      </w:r>
      <w:r>
        <w:rPr>
          <w:rFonts w:hint="eastAsia" w:eastAsia="仿宋_GB2312"/>
          <w:sz w:val="30"/>
        </w:rPr>
        <w:t>生活污水经化粪池处理后，定期清掏不外排。</w:t>
      </w:r>
    </w:p>
    <w:p w14:paraId="7261F144">
      <w:pPr>
        <w:spacing w:line="500" w:lineRule="exact"/>
        <w:ind w:firstLine="573"/>
        <w:rPr>
          <w:rFonts w:hint="eastAsia" w:eastAsia="仿宋_GB2312"/>
          <w:sz w:val="30"/>
        </w:rPr>
      </w:pPr>
      <w:r>
        <w:rPr>
          <w:rFonts w:hint="eastAsia" w:eastAsia="仿宋_GB2312"/>
          <w:sz w:val="30"/>
        </w:rPr>
        <w:t>高噪声设备通过</w:t>
      </w:r>
      <w:r>
        <w:rPr>
          <w:rFonts w:hint="eastAsia" w:eastAsia="仿宋_GB2312"/>
          <w:sz w:val="30"/>
          <w:lang w:val="en-US" w:eastAsia="zh-CN"/>
        </w:rPr>
        <w:t>基础</w:t>
      </w:r>
      <w:r>
        <w:rPr>
          <w:rFonts w:hint="eastAsia" w:eastAsia="仿宋_GB2312"/>
          <w:sz w:val="30"/>
        </w:rPr>
        <w:t>减振、</w:t>
      </w:r>
      <w:r>
        <w:rPr>
          <w:rFonts w:hint="eastAsia" w:eastAsia="仿宋_GB2312"/>
          <w:sz w:val="30"/>
          <w:lang w:val="en-US" w:eastAsia="zh-CN"/>
        </w:rPr>
        <w:t>厂房</w:t>
      </w:r>
      <w:r>
        <w:rPr>
          <w:rFonts w:hint="eastAsia" w:eastAsia="仿宋_GB2312"/>
          <w:sz w:val="30"/>
        </w:rPr>
        <w:t>隔声等降噪措施。</w:t>
      </w:r>
    </w:p>
    <w:p w14:paraId="5C6F6AB0">
      <w:pPr>
        <w:spacing w:line="500" w:lineRule="exact"/>
        <w:ind w:firstLine="573"/>
        <w:rPr>
          <w:rFonts w:hint="eastAsia" w:eastAsia="仿宋_GB2312"/>
          <w:sz w:val="30"/>
        </w:rPr>
      </w:pPr>
      <w:r>
        <w:rPr>
          <w:rFonts w:hint="eastAsia" w:eastAsia="仿宋_GB2312"/>
          <w:sz w:val="30"/>
        </w:rPr>
        <w:t>固体废物分类处置，一般固废综合利用，危险废物收集后暂存危废间，后交</w:t>
      </w:r>
      <w:r>
        <w:rPr>
          <w:rFonts w:hint="eastAsia" w:eastAsia="仿宋_GB2312"/>
          <w:sz w:val="30"/>
          <w:lang w:val="en-US" w:eastAsia="zh-CN"/>
        </w:rPr>
        <w:t>有</w:t>
      </w:r>
      <w:r>
        <w:rPr>
          <w:rFonts w:hint="eastAsia" w:eastAsia="仿宋_GB2312"/>
          <w:sz w:val="30"/>
        </w:rPr>
        <w:t>资质单位处置。</w:t>
      </w:r>
    </w:p>
    <w:p w14:paraId="4DB2DBE3">
      <w:pPr>
        <w:spacing w:line="500" w:lineRule="exact"/>
        <w:ind w:firstLine="573"/>
        <w:rPr>
          <w:rFonts w:hint="eastAsia" w:eastAsia="仿宋_GB2312"/>
          <w:sz w:val="30"/>
        </w:rPr>
      </w:pPr>
      <w:r>
        <w:rPr>
          <w:rFonts w:hint="eastAsia" w:eastAsia="仿宋_GB2312"/>
          <w:sz w:val="30"/>
        </w:rPr>
        <w:t>定期对环保设备进行检修维护，设置符合规范要求的危废暂存间。</w:t>
      </w:r>
    </w:p>
    <w:p w14:paraId="6EFBB916">
      <w:pPr>
        <w:spacing w:line="500" w:lineRule="exact"/>
        <w:ind w:firstLine="573"/>
        <w:rPr>
          <w:rFonts w:hint="default" w:eastAsia="仿宋_GB2312"/>
          <w:sz w:val="30"/>
          <w:lang w:val="en-US" w:eastAsia="zh-CN"/>
        </w:rPr>
      </w:pPr>
      <w:r>
        <w:rPr>
          <w:rFonts w:hint="eastAsia" w:eastAsia="仿宋_GB2312"/>
          <w:sz w:val="30"/>
        </w:rPr>
        <w:t>项目无</w:t>
      </w:r>
      <w:r>
        <w:rPr>
          <w:rFonts w:hint="eastAsia" w:eastAsia="仿宋_GB2312"/>
          <w:sz w:val="30"/>
          <w:lang w:val="en-US" w:eastAsia="zh-CN"/>
        </w:rPr>
        <w:t>生产</w:t>
      </w:r>
      <w:r>
        <w:rPr>
          <w:rFonts w:hint="eastAsia" w:eastAsia="仿宋_GB2312"/>
          <w:sz w:val="30"/>
        </w:rPr>
        <w:t>废水排放，</w:t>
      </w:r>
      <w:r>
        <w:rPr>
          <w:rFonts w:hint="eastAsia" w:eastAsia="仿宋_GB2312"/>
          <w:sz w:val="30"/>
          <w:lang w:val="en-US" w:eastAsia="zh-CN"/>
        </w:rPr>
        <w:t>废气不涉及NOx、VOCs产生及排放。</w:t>
      </w:r>
    </w:p>
    <w:p w14:paraId="31EC0DCB">
      <w:pPr>
        <w:spacing w:line="500" w:lineRule="exact"/>
        <w:ind w:firstLine="573"/>
        <w:rPr>
          <w:rFonts w:hint="eastAsia" w:eastAsia="仿宋_GB2312"/>
          <w:sz w:val="30"/>
        </w:rPr>
      </w:pPr>
      <w:r>
        <w:rPr>
          <w:rFonts w:hint="eastAsia" w:eastAsia="仿宋_GB2312"/>
          <w:sz w:val="30"/>
        </w:rPr>
        <w:t>项目监测计划为有组织</w:t>
      </w:r>
      <w:r>
        <w:rPr>
          <w:rFonts w:hint="eastAsia" w:eastAsia="仿宋_GB2312"/>
          <w:color w:val="000000" w:themeColor="text1"/>
          <w:sz w:val="30"/>
          <w14:textFill>
            <w14:solidFill>
              <w14:schemeClr w14:val="tx1"/>
            </w14:solidFill>
          </w14:textFill>
        </w:rPr>
        <w:t>废气、无组织废气监测频次均为1次/年</w:t>
      </w:r>
      <w:r>
        <w:rPr>
          <w:rFonts w:hint="eastAsia" w:eastAsia="仿宋_GB2312"/>
          <w:sz w:val="30"/>
        </w:rPr>
        <w:t>，厂界噪声监测频次为1次/季度。</w:t>
      </w:r>
    </w:p>
    <w:p w14:paraId="08AFAC19">
      <w:pPr>
        <w:spacing w:line="500" w:lineRule="exact"/>
        <w:ind w:firstLine="600" w:firstLineChars="200"/>
        <w:rPr>
          <w:rFonts w:hint="eastAsia" w:ascii="黑体" w:hAnsi="黑体" w:eastAsia="黑体"/>
          <w:sz w:val="30"/>
        </w:rPr>
      </w:pPr>
      <w:r>
        <w:rPr>
          <w:rFonts w:hint="eastAsia" w:ascii="黑体" w:hAnsi="黑体" w:eastAsia="黑体"/>
          <w:sz w:val="30"/>
        </w:rPr>
        <w:t>四、专家技术审查结论</w:t>
      </w:r>
    </w:p>
    <w:p w14:paraId="6E712C9B">
      <w:pPr>
        <w:spacing w:line="500" w:lineRule="exact"/>
        <w:ind w:firstLine="573"/>
        <w:rPr>
          <w:rFonts w:hint="default" w:ascii="Times New Roman" w:hAnsi="Times New Roman" w:eastAsia="仿宋_GB2312" w:cs="Times New Roman"/>
          <w:sz w:val="30"/>
          <w:lang w:val="en-US" w:eastAsia="zh-CN"/>
        </w:rPr>
      </w:pPr>
      <w:r>
        <w:rPr>
          <w:rFonts w:hint="default" w:ascii="Times New Roman" w:hAnsi="Times New Roman" w:eastAsia="仿宋_GB2312" w:cs="Times New Roman"/>
          <w:sz w:val="30"/>
          <w:lang w:val="en-US" w:eastAsia="zh-CN"/>
        </w:rPr>
        <w:t>1</w:t>
      </w:r>
      <w:r>
        <w:rPr>
          <w:rFonts w:hint="eastAsia" w:ascii="Times New Roman" w:hAnsi="Times New Roman" w:eastAsia="仿宋_GB2312" w:cs="Times New Roman"/>
          <w:sz w:val="30"/>
          <w:lang w:val="en-US" w:eastAsia="zh-CN"/>
        </w:rPr>
        <w:t>.</w:t>
      </w:r>
      <w:r>
        <w:rPr>
          <w:rFonts w:hint="default" w:ascii="Times New Roman" w:hAnsi="Times New Roman" w:eastAsia="仿宋_GB2312" w:cs="Times New Roman"/>
          <w:sz w:val="30"/>
          <w:lang w:val="en-US" w:eastAsia="zh-CN"/>
        </w:rPr>
        <w:t>报告表编制质量</w:t>
      </w:r>
    </w:p>
    <w:p w14:paraId="5D106E1A">
      <w:pPr>
        <w:spacing w:line="500" w:lineRule="exact"/>
        <w:ind w:firstLine="573"/>
        <w:rPr>
          <w:rFonts w:hint="default" w:ascii="Times New Roman" w:hAnsi="Times New Roman" w:eastAsia="仿宋_GB2312" w:cs="Times New Roman"/>
          <w:sz w:val="30"/>
          <w:lang w:val="en-US" w:eastAsia="zh-CN"/>
        </w:rPr>
      </w:pPr>
      <w:r>
        <w:rPr>
          <w:rFonts w:hint="default" w:ascii="Times New Roman" w:hAnsi="Times New Roman" w:eastAsia="仿宋_GB2312" w:cs="Times New Roman"/>
          <w:sz w:val="30"/>
          <w:lang w:val="en-US" w:eastAsia="zh-CN"/>
        </w:rPr>
        <w:t>该项目环境影响报告表编制较为规范，工程分析比较清楚，提出的污染防治措施原则可行，评价结论总体可信，报告表编制质量合格。</w:t>
      </w:r>
    </w:p>
    <w:p w14:paraId="2D02A429">
      <w:pPr>
        <w:spacing w:line="500" w:lineRule="exact"/>
        <w:ind w:firstLine="573"/>
        <w:rPr>
          <w:rFonts w:hint="default" w:ascii="Times New Roman" w:hAnsi="Times New Roman" w:eastAsia="仿宋_GB2312" w:cs="Times New Roman"/>
          <w:sz w:val="30"/>
          <w:lang w:val="en-US" w:eastAsia="zh-CN"/>
        </w:rPr>
      </w:pPr>
      <w:r>
        <w:rPr>
          <w:rFonts w:hint="default" w:ascii="Times New Roman" w:hAnsi="Times New Roman" w:eastAsia="仿宋_GB2312" w:cs="Times New Roman"/>
          <w:sz w:val="30"/>
          <w:lang w:val="en-US" w:eastAsia="zh-CN"/>
        </w:rPr>
        <w:t>2</w:t>
      </w:r>
      <w:r>
        <w:rPr>
          <w:rFonts w:hint="eastAsia" w:ascii="Times New Roman" w:hAnsi="Times New Roman" w:eastAsia="仿宋_GB2312" w:cs="Times New Roman"/>
          <w:sz w:val="30"/>
          <w:lang w:val="en-US" w:eastAsia="zh-CN"/>
        </w:rPr>
        <w:t>.</w:t>
      </w:r>
      <w:r>
        <w:rPr>
          <w:rFonts w:hint="default" w:ascii="Times New Roman" w:hAnsi="Times New Roman" w:eastAsia="仿宋_GB2312" w:cs="Times New Roman"/>
          <w:sz w:val="30"/>
          <w:lang w:val="en-US" w:eastAsia="zh-CN"/>
        </w:rPr>
        <w:t>技术审查结论</w:t>
      </w:r>
    </w:p>
    <w:p w14:paraId="2C24A796">
      <w:pPr>
        <w:spacing w:line="500" w:lineRule="exact"/>
        <w:ind w:firstLine="573"/>
        <w:rPr>
          <w:rFonts w:hint="eastAsia" w:eastAsia="仿宋_GB2312"/>
          <w:sz w:val="30"/>
        </w:rPr>
      </w:pPr>
      <w:r>
        <w:rPr>
          <w:rFonts w:hint="default" w:ascii="Times New Roman" w:hAnsi="Times New Roman" w:eastAsia="仿宋_GB2312" w:cs="Times New Roman"/>
          <w:sz w:val="30"/>
          <w:lang w:val="en-US" w:eastAsia="zh-CN"/>
        </w:rPr>
        <w:t>报告表原则通过技术审查，经修改、补充和完善后，可作为生态环境行政主管部门项目审批的依据。</w:t>
      </w:r>
    </w:p>
    <w:p w14:paraId="3F7CD88A">
      <w:pPr>
        <w:pStyle w:val="14"/>
        <w:numPr>
          <w:ilvl w:val="0"/>
          <w:numId w:val="6"/>
        </w:numPr>
        <w:ind w:firstLine="600" w:firstLineChars="200"/>
        <w:rPr>
          <w:rFonts w:hint="eastAsia" w:ascii="黑体" w:hAnsi="黑体" w:eastAsia="黑体"/>
          <w:sz w:val="30"/>
        </w:rPr>
      </w:pPr>
      <w:r>
        <w:rPr>
          <w:rFonts w:hint="eastAsia" w:ascii="黑体" w:hAnsi="黑体" w:eastAsia="黑体"/>
          <w:sz w:val="30"/>
        </w:rPr>
        <w:t>报告表需要补充、完善的主要内容</w:t>
      </w:r>
    </w:p>
    <w:p w14:paraId="4D0814C5">
      <w:pPr>
        <w:wordWrap/>
        <w:spacing w:line="520" w:lineRule="exact"/>
        <w:ind w:firstLine="640" w:firstLineChars="200"/>
        <w:rPr>
          <w:rFonts w:hint="default" w:ascii="仿宋" w:hAnsi="仿宋" w:eastAsia="仿宋" w:cs="仿宋"/>
          <w:color w:val="auto"/>
          <w:sz w:val="32"/>
          <w:szCs w:val="32"/>
          <w:lang w:val="en-US" w:eastAsia="zh-CN"/>
        </w:rPr>
      </w:pPr>
      <w:r>
        <w:rPr>
          <w:rFonts w:hint="eastAsia" w:ascii="仿宋" w:hAnsi="仿宋" w:eastAsia="仿宋" w:cs="仿宋"/>
          <w:color w:val="auto"/>
          <w:sz w:val="32"/>
          <w:szCs w:val="32"/>
        </w:rPr>
        <w:t>1.</w:t>
      </w:r>
      <w:r>
        <w:rPr>
          <w:rFonts w:hint="eastAsia" w:ascii="仿宋" w:hAnsi="仿宋" w:eastAsia="仿宋" w:cs="仿宋"/>
          <w:color w:val="auto"/>
          <w:sz w:val="32"/>
          <w:szCs w:val="32"/>
          <w:lang w:val="en-US" w:eastAsia="zh-CN"/>
        </w:rPr>
        <w:t>细化项目产品规格，产能并进行设备、原料库、成品库匹配分析</w:t>
      </w:r>
      <w:r>
        <w:rPr>
          <w:rFonts w:hint="eastAsia" w:ascii="仿宋" w:hAnsi="仿宋" w:eastAsia="仿宋" w:cs="仿宋"/>
          <w:color w:val="auto"/>
          <w:sz w:val="32"/>
          <w:szCs w:val="32"/>
        </w:rPr>
        <w:t>，</w:t>
      </w:r>
      <w:r>
        <w:rPr>
          <w:rFonts w:hint="eastAsia" w:ascii="仿宋" w:hAnsi="仿宋" w:eastAsia="仿宋" w:cs="仿宋"/>
          <w:color w:val="auto"/>
          <w:sz w:val="32"/>
          <w:szCs w:val="32"/>
          <w:lang w:eastAsia="zh-CN"/>
        </w:rPr>
        <w:t>完善“绩效分级”指标相关内容，细化</w:t>
      </w:r>
      <w:r>
        <w:rPr>
          <w:rFonts w:hint="eastAsia" w:ascii="仿宋" w:hAnsi="仿宋" w:eastAsia="仿宋" w:cs="仿宋"/>
          <w:color w:val="auto"/>
          <w:sz w:val="32"/>
          <w:szCs w:val="32"/>
        </w:rPr>
        <w:t>周边环境目标分布，</w:t>
      </w:r>
      <w:r>
        <w:rPr>
          <w:rFonts w:hint="eastAsia" w:ascii="仿宋" w:hAnsi="仿宋" w:eastAsia="仿宋" w:cs="仿宋"/>
          <w:color w:val="auto"/>
          <w:sz w:val="32"/>
          <w:szCs w:val="32"/>
          <w:lang w:val="en-US" w:eastAsia="zh-CN"/>
        </w:rPr>
        <w:t>补充现状监测数据，完善选址可行性分析</w:t>
      </w:r>
      <w:r>
        <w:rPr>
          <w:rFonts w:hint="eastAsia" w:ascii="仿宋" w:hAnsi="仿宋" w:eastAsia="仿宋" w:cs="仿宋"/>
          <w:color w:val="auto"/>
          <w:sz w:val="32"/>
          <w:szCs w:val="32"/>
        </w:rPr>
        <w:t>。</w:t>
      </w:r>
    </w:p>
    <w:p w14:paraId="7E549DDE">
      <w:pPr>
        <w:wordWrap/>
        <w:spacing w:line="52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w:t>
      </w:r>
      <w:r>
        <w:rPr>
          <w:rFonts w:hint="eastAsia" w:ascii="仿宋" w:hAnsi="仿宋" w:eastAsia="仿宋" w:cs="仿宋"/>
          <w:color w:val="auto"/>
          <w:sz w:val="32"/>
          <w:szCs w:val="32"/>
          <w:lang w:val="en-US" w:eastAsia="zh-CN"/>
        </w:rPr>
        <w:t>补充原料（废矿石）来源企业环保手续、原料成分检测报告，提出防范二次污染措施，</w:t>
      </w:r>
      <w:r>
        <w:rPr>
          <w:rFonts w:hint="eastAsia" w:ascii="仿宋" w:hAnsi="仿宋" w:eastAsia="仿宋" w:cs="仿宋"/>
          <w:color w:val="auto"/>
          <w:sz w:val="32"/>
          <w:szCs w:val="32"/>
        </w:rPr>
        <w:t>严格按照大气污染防控相关政策要求，细化</w:t>
      </w:r>
      <w:r>
        <w:rPr>
          <w:rFonts w:hint="eastAsia" w:ascii="仿宋" w:hAnsi="仿宋" w:eastAsia="仿宋" w:cs="仿宋"/>
          <w:color w:val="auto"/>
          <w:sz w:val="32"/>
          <w:szCs w:val="32"/>
          <w:lang w:val="en-US" w:eastAsia="zh-CN"/>
        </w:rPr>
        <w:t>施工期环保措施，复核</w:t>
      </w:r>
      <w:r>
        <w:rPr>
          <w:rFonts w:hint="eastAsia" w:ascii="仿宋" w:hAnsi="仿宋" w:eastAsia="仿宋" w:cs="仿宋"/>
          <w:color w:val="auto"/>
          <w:sz w:val="32"/>
          <w:szCs w:val="32"/>
        </w:rPr>
        <w:t>工程分析，完善生产工艺各产污节点污染控制措施，复核</w:t>
      </w:r>
      <w:r>
        <w:rPr>
          <w:rFonts w:hint="eastAsia" w:ascii="仿宋" w:hAnsi="仿宋" w:eastAsia="仿宋" w:cs="仿宋"/>
          <w:color w:val="auto"/>
          <w:sz w:val="32"/>
          <w:szCs w:val="32"/>
          <w:lang w:val="en-US" w:eastAsia="zh-CN"/>
        </w:rPr>
        <w:t>风机风量、</w:t>
      </w:r>
      <w:r>
        <w:rPr>
          <w:rFonts w:hint="eastAsia" w:ascii="仿宋" w:hAnsi="仿宋" w:eastAsia="仿宋" w:cs="仿宋"/>
          <w:color w:val="auto"/>
          <w:sz w:val="32"/>
          <w:szCs w:val="32"/>
        </w:rPr>
        <w:t>污染物源强</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水平衡图、物料平衡图等相关内容。</w:t>
      </w:r>
    </w:p>
    <w:p w14:paraId="5237E034">
      <w:pPr>
        <w:wordWrap/>
        <w:spacing w:line="520" w:lineRule="exact"/>
        <w:ind w:firstLine="640" w:firstLineChars="200"/>
        <w:rPr>
          <w:rFonts w:hint="default" w:ascii="Times New Roman" w:hAnsi="Times New Roman" w:eastAsia="仿宋_GB2312" w:cs="Times New Roman"/>
          <w:sz w:val="30"/>
          <w:lang w:val="en-US" w:eastAsia="zh-CN"/>
        </w:rPr>
      </w:pPr>
      <w:r>
        <w:rPr>
          <w:rFonts w:hint="eastAsia" w:ascii="仿宋" w:hAnsi="仿宋" w:eastAsia="仿宋" w:cs="仿宋"/>
          <w:color w:val="auto"/>
          <w:sz w:val="32"/>
          <w:szCs w:val="32"/>
          <w:lang w:val="en-US" w:eastAsia="zh-CN"/>
        </w:rPr>
        <w:t>3</w:t>
      </w:r>
      <w:r>
        <w:rPr>
          <w:rFonts w:hint="eastAsia" w:ascii="仿宋" w:hAnsi="仿宋" w:eastAsia="仿宋" w:cs="仿宋"/>
          <w:color w:val="auto"/>
          <w:sz w:val="32"/>
          <w:szCs w:val="32"/>
        </w:rPr>
        <w:t>.完善平面布置图</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生产废水流向图</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，并进行布局合理性分析，</w:t>
      </w:r>
      <w:r>
        <w:rPr>
          <w:rFonts w:hint="eastAsia" w:ascii="仿宋" w:hAnsi="仿宋" w:eastAsia="仿宋" w:cs="仿宋"/>
          <w:color w:val="auto"/>
          <w:sz w:val="32"/>
          <w:szCs w:val="32"/>
          <w:lang w:val="en-US" w:eastAsia="zh-CN"/>
        </w:rPr>
        <w:t>细化环保投资一览表、环境保</w:t>
      </w:r>
      <w:r>
        <w:rPr>
          <w:rFonts w:hint="eastAsia" w:ascii="仿宋" w:hAnsi="仿宋" w:eastAsia="仿宋" w:cs="仿宋"/>
          <w:sz w:val="32"/>
          <w:szCs w:val="32"/>
          <w:lang w:val="en-US" w:eastAsia="zh-CN"/>
        </w:rPr>
        <w:t>护措施监督检查清单</w:t>
      </w:r>
      <w:r>
        <w:rPr>
          <w:rFonts w:hint="eastAsia" w:ascii="仿宋" w:hAnsi="仿宋" w:eastAsia="仿宋" w:cs="仿宋"/>
          <w:sz w:val="32"/>
          <w:szCs w:val="32"/>
        </w:rPr>
        <w:t>、项目周边环境概况示意图等附图附件。</w:t>
      </w:r>
    </w:p>
    <w:p w14:paraId="49FA2E96">
      <w:pPr>
        <w:spacing w:line="500" w:lineRule="exact"/>
        <w:ind w:firstLine="573"/>
        <w:rPr>
          <w:rFonts w:hint="default"/>
          <w:color w:val="000000"/>
          <w:sz w:val="28"/>
          <w:szCs w:val="28"/>
          <w:lang w:val="en-US" w:eastAsia="zh-CN"/>
        </w:rPr>
      </w:pPr>
    </w:p>
    <w:p w14:paraId="097D80F9">
      <w:pPr>
        <w:spacing w:line="500" w:lineRule="exact"/>
        <w:ind w:firstLine="573"/>
        <w:rPr>
          <w:rFonts w:hint="eastAsia" w:ascii="Times New Roman" w:hAnsi="Times New Roman" w:eastAsia="仿宋_GB2312" w:cs="Times New Roman"/>
          <w:sz w:val="30"/>
          <w:lang w:val="en-US" w:eastAsia="zh-CN"/>
        </w:rPr>
      </w:pPr>
    </w:p>
    <w:p w14:paraId="05EAA8D8">
      <w:pPr>
        <w:spacing w:line="500" w:lineRule="exact"/>
        <w:ind w:firstLine="573"/>
        <w:rPr>
          <w:rFonts w:hint="eastAsia" w:ascii="Times New Roman" w:hAnsi="Times New Roman" w:eastAsia="仿宋_GB2312" w:cs="Times New Roman"/>
          <w:sz w:val="30"/>
          <w:lang w:val="en-US" w:eastAsia="zh-CN"/>
        </w:rPr>
      </w:pPr>
    </w:p>
    <w:p w14:paraId="49403529">
      <w:pPr>
        <w:spacing w:line="500" w:lineRule="exact"/>
        <w:ind w:firstLine="5100" w:firstLineChars="1700"/>
        <w:rPr>
          <w:rFonts w:hint="eastAsia" w:eastAsia="仿宋_GB2312"/>
          <w:sz w:val="30"/>
          <w:lang w:eastAsia="zh-CN"/>
        </w:rPr>
      </w:pPr>
      <w:r>
        <w:rPr>
          <w:rFonts w:eastAsia="仿宋_GB2312"/>
          <w:sz w:val="30"/>
        </w:rPr>
        <w:t>技术评审组</w:t>
      </w:r>
      <w:r>
        <w:rPr>
          <w:rFonts w:hint="eastAsia" w:eastAsia="仿宋_GB2312"/>
          <w:sz w:val="30"/>
          <w:lang w:eastAsia="zh-CN"/>
        </w:rPr>
        <w:t>：</w:t>
      </w:r>
    </w:p>
    <w:p w14:paraId="346FA0F0">
      <w:pPr>
        <w:spacing w:line="500" w:lineRule="exact"/>
        <w:ind w:firstLine="5580" w:firstLineChars="1860"/>
        <w:rPr>
          <w:rFonts w:eastAsia="仿宋_GB2312"/>
          <w:sz w:val="30"/>
        </w:rPr>
      </w:pPr>
      <w:r>
        <w:rPr>
          <w:rFonts w:hint="eastAsia" w:eastAsia="仿宋_GB2312"/>
          <w:sz w:val="30"/>
          <w:highlight w:val="none"/>
        </w:rPr>
        <w:t>2</w:t>
      </w:r>
      <w:r>
        <w:rPr>
          <w:rFonts w:eastAsia="仿宋_GB2312"/>
          <w:sz w:val="30"/>
          <w:highlight w:val="none"/>
        </w:rPr>
        <w:t>02</w:t>
      </w:r>
      <w:r>
        <w:rPr>
          <w:rFonts w:hint="eastAsia" w:eastAsia="仿宋_GB2312"/>
          <w:sz w:val="30"/>
          <w:highlight w:val="none"/>
          <w:lang w:val="en-US" w:eastAsia="zh-CN"/>
        </w:rPr>
        <w:t>5</w:t>
      </w:r>
      <w:r>
        <w:rPr>
          <w:rFonts w:hint="eastAsia" w:eastAsia="仿宋_GB2312"/>
          <w:sz w:val="30"/>
          <w:highlight w:val="none"/>
        </w:rPr>
        <w:t>年</w:t>
      </w:r>
      <w:r>
        <w:rPr>
          <w:rFonts w:hint="eastAsia" w:eastAsia="仿宋_GB2312"/>
          <w:sz w:val="30"/>
          <w:highlight w:val="none"/>
          <w:lang w:val="en-US" w:eastAsia="zh-CN"/>
        </w:rPr>
        <w:t>1</w:t>
      </w:r>
      <w:r>
        <w:rPr>
          <w:rFonts w:hint="eastAsia" w:eastAsia="仿宋_GB2312"/>
          <w:sz w:val="30"/>
          <w:highlight w:val="none"/>
        </w:rPr>
        <w:t>月</w:t>
      </w:r>
      <w:r>
        <w:rPr>
          <w:rFonts w:hint="eastAsia" w:eastAsia="仿宋_GB2312"/>
          <w:sz w:val="30"/>
          <w:highlight w:val="none"/>
          <w:lang w:val="en-US" w:eastAsia="zh-CN"/>
        </w:rPr>
        <w:t>3</w:t>
      </w:r>
      <w:r>
        <w:rPr>
          <w:rFonts w:hint="eastAsia" w:eastAsia="仿宋_GB2312"/>
          <w:sz w:val="30"/>
          <w:highlight w:val="none"/>
        </w:rPr>
        <w:t>日</w:t>
      </w:r>
    </w:p>
    <w:p w14:paraId="3C6C52EC">
      <w:pPr>
        <w:spacing w:line="240" w:lineRule="auto"/>
        <w:jc w:val="center"/>
        <w:rPr>
          <w:rFonts w:hint="eastAsia" w:eastAsia="黑体"/>
          <w:bCs/>
          <w:sz w:val="30"/>
          <w:szCs w:val="30"/>
        </w:rPr>
      </w:pPr>
    </w:p>
    <w:p w14:paraId="32920BFB">
      <w:pPr>
        <w:spacing w:line="240" w:lineRule="auto"/>
        <w:jc w:val="center"/>
        <w:rPr>
          <w:rFonts w:hint="eastAsia" w:eastAsia="黑体"/>
          <w:bCs/>
          <w:sz w:val="30"/>
          <w:szCs w:val="30"/>
        </w:rPr>
      </w:pPr>
    </w:p>
    <w:p w14:paraId="22015E39">
      <w:pPr>
        <w:spacing w:line="240" w:lineRule="auto"/>
        <w:jc w:val="center"/>
        <w:rPr>
          <w:rFonts w:hint="eastAsia" w:eastAsia="黑体"/>
          <w:bCs/>
          <w:sz w:val="30"/>
          <w:szCs w:val="30"/>
        </w:rPr>
      </w:pPr>
    </w:p>
    <w:p w14:paraId="637854CA">
      <w:pPr>
        <w:spacing w:line="240" w:lineRule="auto"/>
        <w:jc w:val="center"/>
        <w:rPr>
          <w:rFonts w:hint="eastAsia" w:eastAsia="黑体"/>
          <w:bCs/>
          <w:sz w:val="30"/>
          <w:szCs w:val="30"/>
        </w:rPr>
      </w:pPr>
    </w:p>
    <w:p w14:paraId="1F551F53">
      <w:pPr>
        <w:spacing w:line="240" w:lineRule="auto"/>
        <w:jc w:val="center"/>
        <w:rPr>
          <w:rFonts w:hint="eastAsia" w:eastAsia="黑体"/>
          <w:bCs/>
          <w:sz w:val="30"/>
          <w:szCs w:val="30"/>
        </w:rPr>
      </w:pPr>
    </w:p>
    <w:p w14:paraId="7E9F3CD8">
      <w:pPr>
        <w:spacing w:line="240" w:lineRule="auto"/>
        <w:jc w:val="center"/>
        <w:rPr>
          <w:rFonts w:hint="eastAsia" w:eastAsia="黑体"/>
          <w:bCs/>
          <w:sz w:val="30"/>
          <w:szCs w:val="30"/>
        </w:rPr>
      </w:pPr>
    </w:p>
    <w:p w14:paraId="28AF0E7E">
      <w:pPr>
        <w:spacing w:line="240" w:lineRule="auto"/>
        <w:jc w:val="center"/>
        <w:rPr>
          <w:rFonts w:hint="eastAsia" w:eastAsia="黑体"/>
          <w:bCs/>
          <w:sz w:val="30"/>
          <w:szCs w:val="30"/>
        </w:rPr>
      </w:pPr>
    </w:p>
    <w:p w14:paraId="01F2A627">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黑体" w:hAnsi="黑体" w:eastAsia="黑体" w:cs="Times New Roman"/>
          <w:sz w:val="30"/>
          <w:szCs w:val="30"/>
          <w:lang w:val="en-US" w:eastAsia="zh-CN"/>
        </w:rPr>
      </w:pPr>
    </w:p>
    <w:p w14:paraId="6FDDE7B8">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黑体" w:hAnsi="黑体" w:eastAsia="黑体" w:cs="Times New Roman"/>
          <w:sz w:val="30"/>
          <w:szCs w:val="30"/>
          <w:lang w:val="en-US" w:eastAsia="zh-CN"/>
        </w:rPr>
      </w:pPr>
      <w:r>
        <w:rPr>
          <w:rFonts w:hint="eastAsia" w:ascii="黑体" w:hAnsi="黑体" w:eastAsia="黑体" w:cs="Times New Roman"/>
          <w:sz w:val="30"/>
          <w:szCs w:val="30"/>
          <w:lang w:val="en-US" w:eastAsia="zh-CN"/>
        </w:rPr>
        <w:t>河南省昆仲工程有限责任公司建筑垃圾回收</w:t>
      </w:r>
    </w:p>
    <w:p w14:paraId="1148DA1D">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eastAsia="黑体"/>
          <w:bCs/>
          <w:sz w:val="30"/>
          <w:szCs w:val="30"/>
        </w:rPr>
      </w:pPr>
      <w:r>
        <w:rPr>
          <w:rFonts w:hint="eastAsia" w:ascii="黑体" w:hAnsi="黑体" w:eastAsia="黑体" w:cs="Times New Roman"/>
          <w:sz w:val="30"/>
          <w:szCs w:val="30"/>
          <w:lang w:val="en-US" w:eastAsia="zh-CN"/>
        </w:rPr>
        <w:t>再利用及水泥稳定土项目</w:t>
      </w:r>
      <w:r>
        <w:rPr>
          <w:rFonts w:hint="eastAsia" w:ascii="黑体" w:hAnsi="黑体" w:eastAsia="黑体"/>
          <w:sz w:val="30"/>
          <w:szCs w:val="30"/>
        </w:rPr>
        <w:t>环境影</w:t>
      </w:r>
      <w:r>
        <w:rPr>
          <w:rFonts w:hint="eastAsia" w:ascii="黑体" w:hAnsi="黑体" w:eastAsia="黑体"/>
          <w:sz w:val="30"/>
          <w:szCs w:val="30"/>
          <w:highlight w:val="none"/>
        </w:rPr>
        <w:t>响报告表</w:t>
      </w:r>
      <w:r>
        <w:rPr>
          <w:rFonts w:hint="eastAsia" w:eastAsia="黑体"/>
          <w:bCs/>
          <w:sz w:val="30"/>
          <w:szCs w:val="30"/>
          <w:highlight w:val="none"/>
        </w:rPr>
        <w:t>清单</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3951"/>
        <w:gridCol w:w="4004"/>
      </w:tblGrid>
      <w:tr w14:paraId="66EA2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843" w:type="dxa"/>
            <w:noWrap w:val="0"/>
            <w:vAlign w:val="center"/>
          </w:tcPr>
          <w:p w14:paraId="620B348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序号</w:t>
            </w:r>
          </w:p>
        </w:tc>
        <w:tc>
          <w:tcPr>
            <w:tcW w:w="3951" w:type="dxa"/>
            <w:noWrap w:val="0"/>
            <w:vAlign w:val="center"/>
          </w:tcPr>
          <w:p w14:paraId="43FE6CD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专家意见</w:t>
            </w:r>
          </w:p>
        </w:tc>
        <w:tc>
          <w:tcPr>
            <w:tcW w:w="4004" w:type="dxa"/>
            <w:noWrap w:val="0"/>
            <w:vAlign w:val="center"/>
          </w:tcPr>
          <w:p w14:paraId="267BBB8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修改内容及页码</w:t>
            </w:r>
          </w:p>
        </w:tc>
      </w:tr>
      <w:tr w14:paraId="086FC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0" w:hRule="atLeast"/>
          <w:jc w:val="center"/>
        </w:trPr>
        <w:tc>
          <w:tcPr>
            <w:tcW w:w="843" w:type="dxa"/>
            <w:noWrap w:val="0"/>
            <w:vAlign w:val="center"/>
          </w:tcPr>
          <w:p w14:paraId="147D8F4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1</w:t>
            </w:r>
          </w:p>
        </w:tc>
        <w:tc>
          <w:tcPr>
            <w:tcW w:w="3951" w:type="dxa"/>
            <w:noWrap w:val="0"/>
            <w:vAlign w:val="center"/>
          </w:tcPr>
          <w:p w14:paraId="0B2B27C9">
            <w:pPr>
              <w:keepNext w:val="0"/>
              <w:keepLines w:val="0"/>
              <w:pageBreakBefore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仿宋" w:cs="Times New Roman"/>
                <w:b w:val="0"/>
                <w:bCs w:val="0"/>
                <w:sz w:val="24"/>
                <w:szCs w:val="24"/>
                <w:highlight w:val="none"/>
              </w:rPr>
            </w:pPr>
            <w:r>
              <w:rPr>
                <w:rFonts w:hint="default" w:ascii="Times New Roman" w:hAnsi="Times New Roman" w:eastAsia="仿宋" w:cs="Times New Roman"/>
                <w:b w:val="0"/>
                <w:bCs w:val="0"/>
                <w:color w:val="auto"/>
                <w:sz w:val="24"/>
                <w:szCs w:val="24"/>
                <w:highlight w:val="none"/>
                <w:lang w:val="en-US" w:eastAsia="zh-CN"/>
              </w:rPr>
              <w:t>细化项目产品规格，产能并进行设备、原料库、成品库匹配分析</w:t>
            </w:r>
            <w:r>
              <w:rPr>
                <w:rFonts w:hint="default" w:ascii="Times New Roman" w:hAnsi="Times New Roman" w:eastAsia="仿宋" w:cs="Times New Roman"/>
                <w:b w:val="0"/>
                <w:bCs w:val="0"/>
                <w:color w:val="auto"/>
                <w:sz w:val="24"/>
                <w:szCs w:val="24"/>
                <w:highlight w:val="none"/>
              </w:rPr>
              <w:t>，</w:t>
            </w:r>
            <w:r>
              <w:rPr>
                <w:rFonts w:hint="default" w:ascii="Times New Roman" w:hAnsi="Times New Roman" w:eastAsia="仿宋" w:cs="Times New Roman"/>
                <w:b w:val="0"/>
                <w:bCs w:val="0"/>
                <w:color w:val="auto"/>
                <w:sz w:val="24"/>
                <w:szCs w:val="24"/>
                <w:highlight w:val="none"/>
                <w:lang w:eastAsia="zh-CN"/>
              </w:rPr>
              <w:t>完善“绩效分级”指标相关内容，细化</w:t>
            </w:r>
            <w:r>
              <w:rPr>
                <w:rFonts w:hint="default" w:ascii="Times New Roman" w:hAnsi="Times New Roman" w:eastAsia="仿宋" w:cs="Times New Roman"/>
                <w:b w:val="0"/>
                <w:bCs w:val="0"/>
                <w:color w:val="auto"/>
                <w:sz w:val="24"/>
                <w:szCs w:val="24"/>
                <w:highlight w:val="none"/>
              </w:rPr>
              <w:t>周边环境目标分布，</w:t>
            </w:r>
            <w:r>
              <w:rPr>
                <w:rFonts w:hint="default" w:ascii="Times New Roman" w:hAnsi="Times New Roman" w:eastAsia="仿宋" w:cs="Times New Roman"/>
                <w:b w:val="0"/>
                <w:bCs w:val="0"/>
                <w:color w:val="auto"/>
                <w:sz w:val="24"/>
                <w:szCs w:val="24"/>
                <w:highlight w:val="none"/>
                <w:lang w:val="en-US" w:eastAsia="zh-CN"/>
              </w:rPr>
              <w:t>补充现状监测数据，完善选址可行性分析</w:t>
            </w:r>
            <w:r>
              <w:rPr>
                <w:rFonts w:hint="default" w:ascii="Times New Roman" w:hAnsi="Times New Roman" w:eastAsia="仿宋" w:cs="Times New Roman"/>
                <w:b w:val="0"/>
                <w:bCs w:val="0"/>
                <w:color w:val="auto"/>
                <w:sz w:val="24"/>
                <w:szCs w:val="24"/>
                <w:highlight w:val="none"/>
              </w:rPr>
              <w:t>。</w:t>
            </w:r>
          </w:p>
        </w:tc>
        <w:tc>
          <w:tcPr>
            <w:tcW w:w="4004" w:type="dxa"/>
            <w:noWrap w:val="0"/>
            <w:vAlign w:val="center"/>
          </w:tcPr>
          <w:p w14:paraId="414159CE">
            <w:pPr>
              <w:pStyle w:val="62"/>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仿宋" w:cs="Times New Roman"/>
                <w:b w:val="0"/>
                <w:bCs w:val="0"/>
                <w:sz w:val="24"/>
                <w:szCs w:val="24"/>
                <w:highlight w:val="none"/>
                <w:u w:val="single"/>
                <w:lang w:val="en-US" w:eastAsia="zh-CN"/>
              </w:rPr>
            </w:pPr>
            <w:r>
              <w:rPr>
                <w:rFonts w:hint="default" w:ascii="Times New Roman" w:hAnsi="Times New Roman" w:eastAsia="仿宋" w:cs="Times New Roman"/>
                <w:b w:val="0"/>
                <w:bCs w:val="0"/>
                <w:sz w:val="24"/>
                <w:szCs w:val="24"/>
                <w:highlight w:val="none"/>
              </w:rPr>
              <w:t>①</w:t>
            </w:r>
            <w:r>
              <w:rPr>
                <w:rFonts w:hint="default" w:ascii="Times New Roman" w:hAnsi="Times New Roman" w:eastAsia="仿宋" w:cs="Times New Roman"/>
                <w:b w:val="0"/>
                <w:bCs w:val="0"/>
                <w:sz w:val="24"/>
                <w:szCs w:val="24"/>
                <w:highlight w:val="none"/>
                <w:lang w:val="en-US" w:eastAsia="zh-CN"/>
              </w:rPr>
              <w:t>已核实产品产能、原料库、成品库大小和位置，以及选址可行性</w:t>
            </w:r>
            <w:r>
              <w:rPr>
                <w:rFonts w:hint="default" w:ascii="Times New Roman" w:hAnsi="Times New Roman" w:eastAsia="仿宋" w:cs="Times New Roman"/>
                <w:b w:val="0"/>
                <w:bCs w:val="0"/>
                <w:sz w:val="24"/>
                <w:szCs w:val="24"/>
                <w:highlight w:val="none"/>
              </w:rPr>
              <w:t>。</w:t>
            </w:r>
            <w:r>
              <w:rPr>
                <w:rFonts w:hint="default" w:ascii="Times New Roman" w:hAnsi="Times New Roman" w:eastAsia="仿宋" w:cs="Times New Roman"/>
                <w:b w:val="0"/>
                <w:bCs w:val="0"/>
                <w:sz w:val="24"/>
                <w:szCs w:val="24"/>
                <w:highlight w:val="none"/>
                <w:u w:val="single"/>
              </w:rPr>
              <w:t>P</w:t>
            </w:r>
            <w:r>
              <w:rPr>
                <w:rFonts w:hint="eastAsia" w:eastAsia="仿宋" w:cs="Times New Roman"/>
                <w:b w:val="0"/>
                <w:bCs w:val="0"/>
                <w:sz w:val="24"/>
                <w:szCs w:val="24"/>
                <w:highlight w:val="none"/>
                <w:u w:val="single"/>
                <w:lang w:val="en-US" w:eastAsia="zh-CN"/>
              </w:rPr>
              <w:t>21-23</w:t>
            </w:r>
          </w:p>
          <w:p w14:paraId="252D9D20">
            <w:pPr>
              <w:pStyle w:val="62"/>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仿宋" w:cs="Times New Roman"/>
                <w:b w:val="0"/>
                <w:bCs w:val="0"/>
                <w:sz w:val="24"/>
                <w:szCs w:val="24"/>
                <w:highlight w:val="none"/>
                <w:lang w:val="en-US" w:eastAsia="zh-CN"/>
              </w:rPr>
            </w:pPr>
            <w:r>
              <w:rPr>
                <w:rFonts w:hint="default" w:ascii="Times New Roman" w:hAnsi="Times New Roman" w:eastAsia="仿宋" w:cs="Times New Roman"/>
                <w:b w:val="0"/>
                <w:bCs w:val="0"/>
                <w:sz w:val="24"/>
                <w:szCs w:val="24"/>
                <w:highlight w:val="none"/>
              </w:rPr>
              <w:t>②</w:t>
            </w:r>
            <w:r>
              <w:rPr>
                <w:rFonts w:hint="default" w:ascii="Times New Roman" w:hAnsi="Times New Roman" w:eastAsia="仿宋" w:cs="Times New Roman"/>
                <w:b w:val="0"/>
                <w:bCs w:val="0"/>
                <w:sz w:val="24"/>
                <w:szCs w:val="24"/>
                <w:highlight w:val="none"/>
                <w:lang w:val="en-US" w:eastAsia="zh-CN"/>
              </w:rPr>
              <w:t>已</w:t>
            </w:r>
            <w:r>
              <w:rPr>
                <w:rFonts w:hint="default" w:ascii="Times New Roman" w:hAnsi="Times New Roman" w:eastAsia="仿宋" w:cs="Times New Roman"/>
                <w:b w:val="0"/>
                <w:bCs w:val="0"/>
                <w:sz w:val="24"/>
                <w:szCs w:val="24"/>
                <w:highlight w:val="none"/>
              </w:rPr>
              <w:t>完善</w:t>
            </w:r>
            <w:r>
              <w:rPr>
                <w:rFonts w:hint="default" w:ascii="Times New Roman" w:hAnsi="Times New Roman" w:eastAsia="仿宋" w:cs="Times New Roman"/>
                <w:b w:val="0"/>
                <w:bCs w:val="0"/>
                <w:sz w:val="24"/>
                <w:szCs w:val="24"/>
                <w:highlight w:val="none"/>
                <w:lang w:val="en-US" w:eastAsia="zh-CN"/>
              </w:rPr>
              <w:t>产品规格、</w:t>
            </w:r>
            <w:r>
              <w:rPr>
                <w:rFonts w:hint="default" w:ascii="Times New Roman" w:hAnsi="Times New Roman" w:eastAsia="仿宋" w:cs="Times New Roman"/>
                <w:b w:val="0"/>
                <w:bCs w:val="0"/>
                <w:color w:val="auto"/>
                <w:sz w:val="24"/>
                <w:szCs w:val="24"/>
                <w:highlight w:val="none"/>
                <w:lang w:eastAsia="zh-CN"/>
              </w:rPr>
              <w:t>“绩效分级”指标相关内容</w:t>
            </w:r>
            <w:r>
              <w:rPr>
                <w:rFonts w:hint="default" w:ascii="Times New Roman" w:hAnsi="Times New Roman" w:eastAsia="仿宋" w:cs="Times New Roman"/>
                <w:b w:val="0"/>
                <w:bCs w:val="0"/>
                <w:color w:val="auto"/>
                <w:sz w:val="24"/>
                <w:szCs w:val="24"/>
                <w:highlight w:val="none"/>
                <w:lang w:val="en-US" w:eastAsia="zh-CN"/>
              </w:rPr>
              <w:t>以及</w:t>
            </w:r>
            <w:r>
              <w:rPr>
                <w:rFonts w:hint="default" w:ascii="Times New Roman" w:hAnsi="Times New Roman" w:eastAsia="仿宋" w:cs="Times New Roman"/>
                <w:b w:val="0"/>
                <w:bCs w:val="0"/>
                <w:color w:val="auto"/>
                <w:sz w:val="24"/>
                <w:szCs w:val="24"/>
                <w:highlight w:val="none"/>
              </w:rPr>
              <w:t>周边环境目标分布</w:t>
            </w:r>
            <w:r>
              <w:rPr>
                <w:rFonts w:hint="default" w:ascii="Times New Roman" w:hAnsi="Times New Roman" w:eastAsia="仿宋" w:cs="Times New Roman"/>
                <w:b w:val="0"/>
                <w:bCs w:val="0"/>
                <w:sz w:val="24"/>
                <w:szCs w:val="24"/>
                <w:highlight w:val="none"/>
              </w:rPr>
              <w:t>。</w:t>
            </w:r>
            <w:r>
              <w:rPr>
                <w:rFonts w:hint="default" w:ascii="Times New Roman" w:hAnsi="Times New Roman" w:eastAsia="仿宋" w:cs="Times New Roman"/>
                <w:b w:val="0"/>
                <w:bCs w:val="0"/>
                <w:sz w:val="24"/>
                <w:szCs w:val="24"/>
                <w:highlight w:val="none"/>
                <w:u w:val="single"/>
              </w:rPr>
              <w:t>P</w:t>
            </w:r>
            <w:r>
              <w:rPr>
                <w:rFonts w:hint="eastAsia" w:eastAsia="仿宋" w:cs="Times New Roman"/>
                <w:b w:val="0"/>
                <w:bCs w:val="0"/>
                <w:sz w:val="24"/>
                <w:szCs w:val="24"/>
                <w:highlight w:val="none"/>
                <w:u w:val="single"/>
                <w:lang w:val="en-US" w:eastAsia="zh-CN"/>
              </w:rPr>
              <w:t>12-24</w:t>
            </w:r>
          </w:p>
        </w:tc>
      </w:tr>
      <w:tr w14:paraId="392BB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1" w:hRule="atLeast"/>
          <w:jc w:val="center"/>
        </w:trPr>
        <w:tc>
          <w:tcPr>
            <w:tcW w:w="843" w:type="dxa"/>
            <w:noWrap w:val="0"/>
            <w:vAlign w:val="center"/>
          </w:tcPr>
          <w:p w14:paraId="73F5FDE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2</w:t>
            </w:r>
          </w:p>
        </w:tc>
        <w:tc>
          <w:tcPr>
            <w:tcW w:w="3951" w:type="dxa"/>
            <w:noWrap w:val="0"/>
            <w:vAlign w:val="center"/>
          </w:tcPr>
          <w:p w14:paraId="748C3DE0">
            <w:pPr>
              <w:keepNext w:val="0"/>
              <w:keepLines w:val="0"/>
              <w:pageBreakBefore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color w:val="auto"/>
                <w:sz w:val="24"/>
                <w:szCs w:val="24"/>
                <w:lang w:val="en-US" w:eastAsia="zh-CN"/>
              </w:rPr>
              <w:t>补充原料（废矿石）来源企业环保手续、原料成分检测报告，提出防范二次污染措施，</w:t>
            </w:r>
            <w:r>
              <w:rPr>
                <w:rFonts w:hint="default" w:ascii="Times New Roman" w:hAnsi="Times New Roman" w:eastAsia="仿宋" w:cs="Times New Roman"/>
                <w:b w:val="0"/>
                <w:bCs w:val="0"/>
                <w:color w:val="auto"/>
                <w:sz w:val="24"/>
                <w:szCs w:val="24"/>
              </w:rPr>
              <w:t>严格按照大气污染防控相关政策要求，细化</w:t>
            </w:r>
            <w:r>
              <w:rPr>
                <w:rFonts w:hint="default" w:ascii="Times New Roman" w:hAnsi="Times New Roman" w:eastAsia="仿宋" w:cs="Times New Roman"/>
                <w:b w:val="0"/>
                <w:bCs w:val="0"/>
                <w:color w:val="auto"/>
                <w:sz w:val="24"/>
                <w:szCs w:val="24"/>
                <w:lang w:val="en-US" w:eastAsia="zh-CN"/>
              </w:rPr>
              <w:t>施工期环保措施，复核</w:t>
            </w:r>
            <w:r>
              <w:rPr>
                <w:rFonts w:hint="default" w:ascii="Times New Roman" w:hAnsi="Times New Roman" w:eastAsia="仿宋" w:cs="Times New Roman"/>
                <w:b w:val="0"/>
                <w:bCs w:val="0"/>
                <w:color w:val="auto"/>
                <w:sz w:val="24"/>
                <w:szCs w:val="24"/>
              </w:rPr>
              <w:t>工程分析，完善生产工艺各产污节点污染控制措施，复核</w:t>
            </w:r>
            <w:r>
              <w:rPr>
                <w:rFonts w:hint="default" w:ascii="Times New Roman" w:hAnsi="Times New Roman" w:eastAsia="仿宋" w:cs="Times New Roman"/>
                <w:b w:val="0"/>
                <w:bCs w:val="0"/>
                <w:color w:val="auto"/>
                <w:sz w:val="24"/>
                <w:szCs w:val="24"/>
                <w:lang w:val="en-US" w:eastAsia="zh-CN"/>
              </w:rPr>
              <w:t>风机风量、</w:t>
            </w:r>
            <w:r>
              <w:rPr>
                <w:rFonts w:hint="default" w:ascii="Times New Roman" w:hAnsi="Times New Roman" w:eastAsia="仿宋" w:cs="Times New Roman"/>
                <w:b w:val="0"/>
                <w:bCs w:val="0"/>
                <w:color w:val="auto"/>
                <w:sz w:val="24"/>
                <w:szCs w:val="24"/>
              </w:rPr>
              <w:t>污染物源强</w:t>
            </w:r>
            <w:r>
              <w:rPr>
                <w:rFonts w:hint="default" w:ascii="Times New Roman" w:hAnsi="Times New Roman" w:eastAsia="仿宋" w:cs="Times New Roman"/>
                <w:b w:val="0"/>
                <w:bCs w:val="0"/>
                <w:color w:val="auto"/>
                <w:sz w:val="24"/>
                <w:szCs w:val="24"/>
                <w:lang w:eastAsia="zh-CN"/>
              </w:rPr>
              <w:t>、</w:t>
            </w:r>
            <w:r>
              <w:rPr>
                <w:rFonts w:hint="default" w:ascii="Times New Roman" w:hAnsi="Times New Roman" w:eastAsia="仿宋" w:cs="Times New Roman"/>
                <w:b w:val="0"/>
                <w:bCs w:val="0"/>
                <w:color w:val="auto"/>
                <w:sz w:val="24"/>
                <w:szCs w:val="24"/>
              </w:rPr>
              <w:t>水平衡图、物料平衡图等相关内容。</w:t>
            </w:r>
          </w:p>
        </w:tc>
        <w:tc>
          <w:tcPr>
            <w:tcW w:w="4004" w:type="dxa"/>
            <w:noWrap w:val="0"/>
            <w:vAlign w:val="center"/>
          </w:tcPr>
          <w:p w14:paraId="53CAC0A0">
            <w:pPr>
              <w:pStyle w:val="62"/>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rPr>
              <w:t>①</w:t>
            </w:r>
            <w:r>
              <w:rPr>
                <w:rFonts w:hint="default" w:ascii="Times New Roman" w:hAnsi="Times New Roman" w:eastAsia="仿宋" w:cs="Times New Roman"/>
                <w:b w:val="0"/>
                <w:bCs w:val="0"/>
                <w:sz w:val="24"/>
                <w:szCs w:val="24"/>
                <w:lang w:val="en-US" w:eastAsia="zh-CN"/>
              </w:rPr>
              <w:t>已补充废矿石采购合同、原料成分分析由甲方保证。</w:t>
            </w:r>
            <w:r>
              <w:rPr>
                <w:rFonts w:hint="default" w:ascii="Times New Roman" w:hAnsi="Times New Roman" w:eastAsia="仿宋" w:cs="Times New Roman"/>
                <w:b w:val="0"/>
                <w:bCs w:val="0"/>
                <w:sz w:val="24"/>
                <w:szCs w:val="24"/>
                <w:u w:val="single"/>
              </w:rPr>
              <w:t>P</w:t>
            </w:r>
            <w:r>
              <w:rPr>
                <w:rFonts w:hint="eastAsia" w:eastAsia="仿宋" w:cs="Times New Roman"/>
                <w:b w:val="0"/>
                <w:bCs w:val="0"/>
                <w:sz w:val="24"/>
                <w:szCs w:val="24"/>
                <w:u w:val="single"/>
                <w:lang w:val="en-US" w:eastAsia="zh-CN"/>
              </w:rPr>
              <w:t>106</w:t>
            </w:r>
            <w:r>
              <w:rPr>
                <w:rFonts w:hint="default" w:ascii="Times New Roman" w:hAnsi="Times New Roman" w:eastAsia="仿宋" w:cs="Times New Roman"/>
                <w:b w:val="0"/>
                <w:bCs w:val="0"/>
                <w:sz w:val="24"/>
                <w:szCs w:val="24"/>
                <w:u w:val="single"/>
              </w:rPr>
              <w:t>-</w:t>
            </w:r>
            <w:r>
              <w:rPr>
                <w:rFonts w:hint="eastAsia" w:eastAsia="仿宋" w:cs="Times New Roman"/>
                <w:b w:val="0"/>
                <w:bCs w:val="0"/>
                <w:sz w:val="24"/>
                <w:szCs w:val="24"/>
                <w:u w:val="single"/>
                <w:lang w:val="en-US" w:eastAsia="zh-CN"/>
              </w:rPr>
              <w:t>107</w:t>
            </w:r>
          </w:p>
          <w:p w14:paraId="521D1632">
            <w:pPr>
              <w:pStyle w:val="62"/>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②已完善</w:t>
            </w:r>
            <w:r>
              <w:rPr>
                <w:rFonts w:hint="default" w:ascii="Times New Roman" w:hAnsi="Times New Roman" w:eastAsia="仿宋" w:cs="Times New Roman"/>
                <w:b w:val="0"/>
                <w:bCs w:val="0"/>
                <w:color w:val="auto"/>
                <w:sz w:val="24"/>
                <w:szCs w:val="24"/>
              </w:rPr>
              <w:t>污染防控要求</w:t>
            </w:r>
            <w:r>
              <w:rPr>
                <w:rFonts w:hint="default" w:ascii="Times New Roman" w:hAnsi="Times New Roman" w:eastAsia="仿宋" w:cs="Times New Roman"/>
                <w:b w:val="0"/>
                <w:bCs w:val="0"/>
                <w:color w:val="auto"/>
                <w:sz w:val="24"/>
                <w:szCs w:val="24"/>
                <w:lang w:eastAsia="zh-CN"/>
              </w:rPr>
              <w:t>，</w:t>
            </w:r>
            <w:r>
              <w:rPr>
                <w:rFonts w:hint="default" w:ascii="Times New Roman" w:hAnsi="Times New Roman" w:eastAsia="仿宋" w:cs="Times New Roman"/>
                <w:b w:val="0"/>
                <w:bCs w:val="0"/>
                <w:sz w:val="24"/>
                <w:szCs w:val="24"/>
              </w:rPr>
              <w:t>核实工程内容，强化工程分析，核实工艺参数，细化生产工艺及产污节点，核算项目废气污染物源强并明确依据，细化废气成分、废气收集、管网布设、各工段风量、收集效率等情况，进一步论证污染物处理措施的处理效率可达性、达标排放可靠性分析。</w:t>
            </w:r>
            <w:r>
              <w:rPr>
                <w:rFonts w:hint="default" w:ascii="Times New Roman" w:hAnsi="Times New Roman" w:eastAsia="仿宋" w:cs="Times New Roman"/>
                <w:b w:val="0"/>
                <w:bCs w:val="0"/>
                <w:sz w:val="24"/>
                <w:szCs w:val="24"/>
                <w:u w:val="single"/>
              </w:rPr>
              <w:t>P</w:t>
            </w:r>
            <w:r>
              <w:rPr>
                <w:rFonts w:hint="eastAsia" w:eastAsia="仿宋" w:cs="Times New Roman"/>
                <w:b w:val="0"/>
                <w:bCs w:val="0"/>
                <w:sz w:val="24"/>
                <w:szCs w:val="24"/>
                <w:u w:val="single"/>
                <w:lang w:val="en-US" w:eastAsia="zh-CN"/>
              </w:rPr>
              <w:t>47</w:t>
            </w:r>
            <w:r>
              <w:rPr>
                <w:rFonts w:hint="default" w:ascii="Times New Roman" w:hAnsi="Times New Roman" w:eastAsia="仿宋" w:cs="Times New Roman"/>
                <w:b w:val="0"/>
                <w:bCs w:val="0"/>
                <w:sz w:val="24"/>
                <w:szCs w:val="24"/>
                <w:u w:val="single"/>
              </w:rPr>
              <w:t>-</w:t>
            </w:r>
            <w:r>
              <w:rPr>
                <w:rFonts w:hint="eastAsia" w:eastAsia="仿宋" w:cs="Times New Roman"/>
                <w:b w:val="0"/>
                <w:bCs w:val="0"/>
                <w:sz w:val="24"/>
                <w:szCs w:val="24"/>
                <w:u w:val="single"/>
                <w:lang w:val="en-US" w:eastAsia="zh-CN"/>
              </w:rPr>
              <w:t>58</w:t>
            </w:r>
          </w:p>
        </w:tc>
      </w:tr>
      <w:tr w14:paraId="70C67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4" w:hRule="atLeast"/>
          <w:jc w:val="center"/>
        </w:trPr>
        <w:tc>
          <w:tcPr>
            <w:tcW w:w="843" w:type="dxa"/>
            <w:noWrap w:val="0"/>
            <w:vAlign w:val="center"/>
          </w:tcPr>
          <w:p w14:paraId="5C8FD84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3</w:t>
            </w:r>
          </w:p>
        </w:tc>
        <w:tc>
          <w:tcPr>
            <w:tcW w:w="3951" w:type="dxa"/>
            <w:noWrap w:val="0"/>
            <w:vAlign w:val="center"/>
          </w:tcPr>
          <w:p w14:paraId="1CEA164F">
            <w:pPr>
              <w:keepNext w:val="0"/>
              <w:keepLines w:val="0"/>
              <w:pageBreakBefore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color w:val="auto"/>
                <w:sz w:val="24"/>
                <w:szCs w:val="24"/>
              </w:rPr>
              <w:t>完善平面布置图</w:t>
            </w:r>
            <w:r>
              <w:rPr>
                <w:rFonts w:hint="default" w:ascii="Times New Roman" w:hAnsi="Times New Roman" w:eastAsia="仿宋" w:cs="Times New Roman"/>
                <w:b w:val="0"/>
                <w:bCs w:val="0"/>
                <w:color w:val="auto"/>
                <w:sz w:val="24"/>
                <w:szCs w:val="24"/>
                <w:lang w:eastAsia="zh-CN"/>
              </w:rPr>
              <w:t>（</w:t>
            </w:r>
            <w:r>
              <w:rPr>
                <w:rFonts w:hint="default" w:ascii="Times New Roman" w:hAnsi="Times New Roman" w:eastAsia="仿宋" w:cs="Times New Roman"/>
                <w:b w:val="0"/>
                <w:bCs w:val="0"/>
                <w:color w:val="auto"/>
                <w:sz w:val="24"/>
                <w:szCs w:val="24"/>
                <w:lang w:val="en-US" w:eastAsia="zh-CN"/>
              </w:rPr>
              <w:t>生产废水流向图</w:t>
            </w:r>
            <w:r>
              <w:rPr>
                <w:rFonts w:hint="default" w:ascii="Times New Roman" w:hAnsi="Times New Roman" w:eastAsia="仿宋" w:cs="Times New Roman"/>
                <w:b w:val="0"/>
                <w:bCs w:val="0"/>
                <w:color w:val="auto"/>
                <w:sz w:val="24"/>
                <w:szCs w:val="24"/>
                <w:lang w:eastAsia="zh-CN"/>
              </w:rPr>
              <w:t>）</w:t>
            </w:r>
            <w:r>
              <w:rPr>
                <w:rFonts w:hint="default" w:ascii="Times New Roman" w:hAnsi="Times New Roman" w:eastAsia="仿宋" w:cs="Times New Roman"/>
                <w:b w:val="0"/>
                <w:bCs w:val="0"/>
                <w:color w:val="auto"/>
                <w:sz w:val="24"/>
                <w:szCs w:val="24"/>
              </w:rPr>
              <w:t>，并进行布局合理性分析，</w:t>
            </w:r>
            <w:r>
              <w:rPr>
                <w:rFonts w:hint="default" w:ascii="Times New Roman" w:hAnsi="Times New Roman" w:eastAsia="仿宋" w:cs="Times New Roman"/>
                <w:b w:val="0"/>
                <w:bCs w:val="0"/>
                <w:color w:val="auto"/>
                <w:sz w:val="24"/>
                <w:szCs w:val="24"/>
                <w:lang w:val="en-US" w:eastAsia="zh-CN"/>
              </w:rPr>
              <w:t>细化环保投资一览表、环境保</w:t>
            </w:r>
            <w:r>
              <w:rPr>
                <w:rFonts w:hint="default" w:ascii="Times New Roman" w:hAnsi="Times New Roman" w:eastAsia="仿宋" w:cs="Times New Roman"/>
                <w:b w:val="0"/>
                <w:bCs w:val="0"/>
                <w:sz w:val="24"/>
                <w:szCs w:val="24"/>
                <w:lang w:val="en-US" w:eastAsia="zh-CN"/>
              </w:rPr>
              <w:t>护措施监督检查清单</w:t>
            </w:r>
            <w:r>
              <w:rPr>
                <w:rFonts w:hint="default" w:ascii="Times New Roman" w:hAnsi="Times New Roman" w:eastAsia="仿宋" w:cs="Times New Roman"/>
                <w:b w:val="0"/>
                <w:bCs w:val="0"/>
                <w:sz w:val="24"/>
                <w:szCs w:val="24"/>
              </w:rPr>
              <w:t>、项目周边环境概况示意图等附图附件。</w:t>
            </w:r>
          </w:p>
        </w:tc>
        <w:tc>
          <w:tcPr>
            <w:tcW w:w="4004" w:type="dxa"/>
            <w:noWrap w:val="0"/>
            <w:vAlign w:val="center"/>
          </w:tcPr>
          <w:p w14:paraId="549393C7">
            <w:pPr>
              <w:pStyle w:val="62"/>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rPr>
              <w:t>①</w:t>
            </w:r>
            <w:r>
              <w:rPr>
                <w:rFonts w:hint="default" w:ascii="Times New Roman" w:hAnsi="Times New Roman" w:eastAsia="仿宋" w:cs="Times New Roman"/>
                <w:b w:val="0"/>
                <w:bCs w:val="0"/>
                <w:sz w:val="24"/>
                <w:szCs w:val="24"/>
                <w:lang w:val="en-US" w:eastAsia="zh-CN"/>
              </w:rPr>
              <w:t>已</w:t>
            </w:r>
            <w:r>
              <w:rPr>
                <w:rFonts w:hint="default" w:ascii="Times New Roman" w:hAnsi="Times New Roman" w:eastAsia="仿宋" w:cs="Times New Roman"/>
                <w:b w:val="0"/>
                <w:bCs w:val="0"/>
                <w:sz w:val="24"/>
                <w:szCs w:val="24"/>
              </w:rPr>
              <w:t>完善项目</w:t>
            </w:r>
            <w:r>
              <w:rPr>
                <w:rFonts w:hint="default" w:ascii="Times New Roman" w:hAnsi="Times New Roman" w:eastAsia="仿宋" w:cs="Times New Roman"/>
                <w:b w:val="0"/>
                <w:bCs w:val="0"/>
                <w:sz w:val="24"/>
                <w:szCs w:val="24"/>
                <w:lang w:val="en-US" w:eastAsia="zh-CN"/>
              </w:rPr>
              <w:t>平面布置图、生产废水流向。</w:t>
            </w:r>
            <w:r>
              <w:rPr>
                <w:rFonts w:hint="default" w:ascii="Times New Roman" w:hAnsi="Times New Roman" w:eastAsia="仿宋" w:cs="Times New Roman"/>
                <w:b w:val="0"/>
                <w:bCs w:val="0"/>
                <w:sz w:val="24"/>
                <w:szCs w:val="24"/>
                <w:u w:val="single"/>
              </w:rPr>
              <w:t>P</w:t>
            </w:r>
            <w:r>
              <w:rPr>
                <w:rFonts w:hint="eastAsia" w:eastAsia="仿宋" w:cs="Times New Roman"/>
                <w:b w:val="0"/>
                <w:bCs w:val="0"/>
                <w:sz w:val="24"/>
                <w:szCs w:val="24"/>
                <w:u w:val="single"/>
                <w:lang w:val="en-US" w:eastAsia="zh-CN"/>
              </w:rPr>
              <w:t>93</w:t>
            </w:r>
          </w:p>
          <w:p w14:paraId="209C7119">
            <w:pPr>
              <w:pStyle w:val="62"/>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②已细化环保投资金额、布局合理性分析、</w:t>
            </w:r>
            <w:r>
              <w:rPr>
                <w:rFonts w:hint="default" w:ascii="Times New Roman" w:hAnsi="Times New Roman" w:eastAsia="仿宋" w:cs="Times New Roman"/>
                <w:b w:val="0"/>
                <w:bCs w:val="0"/>
                <w:color w:val="auto"/>
                <w:sz w:val="24"/>
                <w:szCs w:val="24"/>
                <w:lang w:val="en-US" w:eastAsia="zh-CN"/>
              </w:rPr>
              <w:t>环境保</w:t>
            </w:r>
            <w:r>
              <w:rPr>
                <w:rFonts w:hint="default" w:ascii="Times New Roman" w:hAnsi="Times New Roman" w:eastAsia="仿宋" w:cs="Times New Roman"/>
                <w:b w:val="0"/>
                <w:bCs w:val="0"/>
                <w:sz w:val="24"/>
                <w:szCs w:val="24"/>
                <w:lang w:val="en-US" w:eastAsia="zh-CN"/>
              </w:rPr>
              <w:t>护措施清单</w:t>
            </w:r>
            <w:r>
              <w:rPr>
                <w:rFonts w:hint="default" w:ascii="Times New Roman" w:hAnsi="Times New Roman" w:eastAsia="仿宋" w:cs="Times New Roman"/>
                <w:b w:val="0"/>
                <w:bCs w:val="0"/>
                <w:sz w:val="24"/>
                <w:szCs w:val="24"/>
              </w:rPr>
              <w:t>、项目周边环境</w:t>
            </w:r>
            <w:r>
              <w:rPr>
                <w:rFonts w:hint="default" w:ascii="Times New Roman" w:hAnsi="Times New Roman" w:eastAsia="仿宋" w:cs="Times New Roman"/>
                <w:b w:val="0"/>
                <w:bCs w:val="0"/>
                <w:sz w:val="24"/>
                <w:szCs w:val="24"/>
                <w:lang w:val="en-US" w:eastAsia="zh-CN"/>
              </w:rPr>
              <w:t>示意</w:t>
            </w:r>
            <w:r>
              <w:rPr>
                <w:rFonts w:hint="default" w:ascii="Times New Roman" w:hAnsi="Times New Roman" w:eastAsia="仿宋" w:cs="Times New Roman"/>
                <w:b w:val="0"/>
                <w:bCs w:val="0"/>
                <w:sz w:val="24"/>
                <w:szCs w:val="24"/>
              </w:rPr>
              <w:t>图。</w:t>
            </w:r>
            <w:r>
              <w:rPr>
                <w:rFonts w:hint="default" w:ascii="Times New Roman" w:hAnsi="Times New Roman" w:eastAsia="仿宋" w:cs="Times New Roman"/>
                <w:b w:val="0"/>
                <w:bCs w:val="0"/>
                <w:sz w:val="24"/>
                <w:szCs w:val="24"/>
                <w:u w:val="single"/>
              </w:rPr>
              <w:t>P</w:t>
            </w:r>
            <w:r>
              <w:rPr>
                <w:rFonts w:hint="eastAsia" w:eastAsia="仿宋" w:cs="Times New Roman"/>
                <w:b w:val="0"/>
                <w:bCs w:val="0"/>
                <w:sz w:val="24"/>
                <w:szCs w:val="24"/>
                <w:u w:val="single"/>
                <w:lang w:val="en-US" w:eastAsia="zh-CN"/>
              </w:rPr>
              <w:t>82-107</w:t>
            </w:r>
          </w:p>
        </w:tc>
      </w:tr>
    </w:tbl>
    <w:p w14:paraId="143150BB">
      <w:pPr>
        <w:pStyle w:val="18"/>
        <w:widowControl w:val="0"/>
        <w:pBdr>
          <w:top w:val="none" w:color="auto" w:sz="0" w:space="0"/>
          <w:left w:val="none" w:color="auto" w:sz="0" w:space="0"/>
          <w:right w:val="none" w:color="auto" w:sz="0" w:space="0"/>
        </w:pBdr>
        <w:jc w:val="center"/>
        <w:rPr>
          <w:rFonts w:hint="eastAsia" w:eastAsia="宋体"/>
          <w:lang w:eastAsia="zh-CN"/>
        </w:rPr>
      </w:pPr>
      <w:r>
        <w:rPr>
          <w:rFonts w:hint="eastAsia" w:eastAsia="宋体"/>
          <w:lang w:eastAsia="zh-CN"/>
        </w:rPr>
        <w:drawing>
          <wp:inline distT="0" distB="0" distL="114300" distR="114300">
            <wp:extent cx="6019800" cy="8801735"/>
            <wp:effectExtent l="0" t="0" r="0" b="6985"/>
            <wp:docPr id="31" name="图片 31" descr="d393d7ad3880183dcb769058c8c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393d7ad3880183dcb769058c8c4966"/>
                    <pic:cNvPicPr>
                      <a:picLocks noChangeAspect="1"/>
                    </pic:cNvPicPr>
                  </pic:nvPicPr>
                  <pic:blipFill>
                    <a:blip r:embed="rId49"/>
                    <a:stretch>
                      <a:fillRect/>
                    </a:stretch>
                  </pic:blipFill>
                  <pic:spPr>
                    <a:xfrm>
                      <a:off x="0" y="0"/>
                      <a:ext cx="6019800" cy="8801735"/>
                    </a:xfrm>
                    <a:prstGeom prst="rect">
                      <a:avLst/>
                    </a:prstGeom>
                  </pic:spPr>
                </pic:pic>
              </a:graphicData>
            </a:graphic>
          </wp:inline>
        </w:drawing>
      </w:r>
    </w:p>
    <w:sectPr>
      <w:headerReference r:id="rId6" w:type="default"/>
      <w:footerReference r:id="rId7" w:type="default"/>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Wingdings 2">
    <w:panose1 w:val="05020102010507070707"/>
    <w:charset w:val="02"/>
    <w:family w:val="roman"/>
    <w:pitch w:val="default"/>
    <w:sig w:usb0="00000000" w:usb1="00000000" w:usb2="00000000" w:usb3="00000000" w:csb0="80000000" w:csb1="00000000"/>
  </w:font>
  <w:font w:name="方正小标宋_GBK">
    <w:altName w:val="微软雅黑"/>
    <w:panose1 w:val="03000509000000000000"/>
    <w:charset w:val="86"/>
    <w:family w:val="script"/>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61923C">
    <w:pPr>
      <w:pStyle w:val="17"/>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74125B">
    <w:pPr>
      <w:pStyle w:val="17"/>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520F57">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02520F57">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007DB9">
    <w:pPr>
      <w:pStyle w:val="17"/>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BC5619">
                          <w:pPr>
                            <w:pStyle w:val="17"/>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14:paraId="6CBC5619">
                    <w:pPr>
                      <w:pStyle w:val="17"/>
                    </w:pPr>
                    <w:r>
                      <w:fldChar w:fldCharType="begin"/>
                    </w:r>
                    <w:r>
                      <w:instrText xml:space="preserve"> PAGE  \* MERGEFORMAT </w:instrText>
                    </w:r>
                    <w:r>
                      <w:fldChar w:fldCharType="separate"/>
                    </w:r>
                    <w:r>
                      <w:t>89</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BDC8F">
    <w:pPr>
      <w:pStyle w:val="17"/>
      <w:tabs>
        <w:tab w:val="left" w:pos="7804"/>
        <w:tab w:val="clear" w:pos="4153"/>
      </w:tabs>
      <w:jc w:val="right"/>
      <w:rPr>
        <w:rFonts w:hint="eastAsia"/>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2CD267">
                          <w:pPr>
                            <w:pStyle w:val="17"/>
                          </w:pPr>
                          <w:r>
                            <w:fldChar w:fldCharType="begin"/>
                          </w:r>
                          <w:r>
                            <w:instrText xml:space="preserve"> PAGE  \* MERGEFORMAT </w:instrText>
                          </w:r>
                          <w:r>
                            <w:fldChar w:fldCharType="separate"/>
                          </w:r>
                          <w:r>
                            <w:t>96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6hPo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T6MQIAAGMEAAAOAAAAAAAAAAEAIAAAAB8BAABkcnMvZTJvRG9jLnhtbFBLBQYA&#10;AAAABgAGAFkBAADCBQAAAAA=&#10;">
              <v:fill on="f" focussize="0,0"/>
              <v:stroke on="f" weight="0.5pt"/>
              <v:imagedata o:title=""/>
              <o:lock v:ext="edit" aspectratio="f"/>
              <v:textbox inset="0mm,0mm,0mm,0mm" style="mso-fit-shape-to-text:t;">
                <w:txbxContent>
                  <w:p w14:paraId="0A2CD267">
                    <w:pPr>
                      <w:pStyle w:val="17"/>
                    </w:pPr>
                    <w:r>
                      <w:fldChar w:fldCharType="begin"/>
                    </w:r>
                    <w:r>
                      <w:instrText xml:space="preserve"> PAGE  \* MERGEFORMAT </w:instrText>
                    </w:r>
                    <w:r>
                      <w:fldChar w:fldCharType="separate"/>
                    </w:r>
                    <w:r>
                      <w:t>96</w:t>
                    </w:r>
                    <w:r>
                      <w:fldChar w:fldCharType="end"/>
                    </w:r>
                  </w:p>
                </w:txbxContent>
              </v:textbox>
            </v:shape>
          </w:pict>
        </mc:Fallback>
      </mc:AlternateContent>
    </w:r>
    <w:r>
      <w:rPr>
        <w:rFonts w:hint="eastAsia"/>
      </w:rP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8D330">
    <w:pPr>
      <w:rPr>
        <w:rFonts w:hint="eastAsia"/>
      </w:rPr>
    </w:pPr>
    <w:r>
      <w:rPr>
        <w:rFonts w:hint="eastAsia"/>
        <w:color w:val="000000"/>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AE1614"/>
    <w:multiLevelType w:val="singleLevel"/>
    <w:tmpl w:val="82AE1614"/>
    <w:lvl w:ilvl="0" w:tentative="0">
      <w:start w:val="5"/>
      <w:numFmt w:val="chineseCounting"/>
      <w:suff w:val="nothing"/>
      <w:lvlText w:val="%1、"/>
      <w:lvlJc w:val="left"/>
      <w:rPr>
        <w:rFonts w:hint="eastAsia"/>
      </w:rPr>
    </w:lvl>
  </w:abstractNum>
  <w:abstractNum w:abstractNumId="1">
    <w:nsid w:val="90569EFD"/>
    <w:multiLevelType w:val="singleLevel"/>
    <w:tmpl w:val="90569EFD"/>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2">
    <w:nsid w:val="03FA1F8F"/>
    <w:multiLevelType w:val="singleLevel"/>
    <w:tmpl w:val="03FA1F8F"/>
    <w:lvl w:ilvl="0" w:tentative="0">
      <w:start w:val="1"/>
      <w:numFmt w:val="lowerLetter"/>
      <w:suff w:val="nothing"/>
      <w:lvlText w:val="%1、"/>
      <w:lvlJc w:val="left"/>
    </w:lvl>
  </w:abstractNum>
  <w:abstractNum w:abstractNumId="3">
    <w:nsid w:val="049E7036"/>
    <w:multiLevelType w:val="singleLevel"/>
    <w:tmpl w:val="049E7036"/>
    <w:lvl w:ilvl="0" w:tentative="0">
      <w:start w:val="1"/>
      <w:numFmt w:val="lowerLetter"/>
      <w:suff w:val="nothing"/>
      <w:lvlText w:val="%1、"/>
      <w:lvlJc w:val="left"/>
    </w:lvl>
  </w:abstractNum>
  <w:abstractNum w:abstractNumId="4">
    <w:nsid w:val="1D179BC4"/>
    <w:multiLevelType w:val="singleLevel"/>
    <w:tmpl w:val="1D179BC4"/>
    <w:lvl w:ilvl="0" w:tentative="0">
      <w:start w:val="2"/>
      <w:numFmt w:val="decimal"/>
      <w:lvlText w:val="%1."/>
      <w:lvlJc w:val="left"/>
      <w:pPr>
        <w:tabs>
          <w:tab w:val="left" w:pos="312"/>
        </w:tabs>
      </w:pPr>
    </w:lvl>
  </w:abstractNum>
  <w:abstractNum w:abstractNumId="5">
    <w:nsid w:val="5C29CF07"/>
    <w:multiLevelType w:val="singleLevel"/>
    <w:tmpl w:val="5C29CF07"/>
    <w:lvl w:ilvl="0" w:tentative="0">
      <w:start w:val="1"/>
      <w:numFmt w:val="decimal"/>
      <w:suff w:val="nothing"/>
      <w:lvlText w:val="（%1）"/>
      <w:lvlJc w:val="left"/>
    </w:lvl>
  </w:abstractNum>
  <w:num w:numId="1">
    <w:abstractNumId w:val="1"/>
  </w:num>
  <w:num w:numId="2">
    <w:abstractNumId w:val="5"/>
  </w:num>
  <w:num w:numId="3">
    <w:abstractNumId w:val="3"/>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NlZmEzNTBkYzY1NjZkNjI1YWJiZjE4Mzk4ZjRmNmMifQ=="/>
  </w:docVars>
  <w:rsids>
    <w:rsidRoot w:val="57707FB8"/>
    <w:rsid w:val="00C111EC"/>
    <w:rsid w:val="01C34796"/>
    <w:rsid w:val="05837449"/>
    <w:rsid w:val="05F70651"/>
    <w:rsid w:val="06135DDF"/>
    <w:rsid w:val="062260D2"/>
    <w:rsid w:val="076733A1"/>
    <w:rsid w:val="07F417E7"/>
    <w:rsid w:val="088C4F60"/>
    <w:rsid w:val="0A630628"/>
    <w:rsid w:val="0B5F14EE"/>
    <w:rsid w:val="0B771B26"/>
    <w:rsid w:val="0B9A495D"/>
    <w:rsid w:val="0BB24690"/>
    <w:rsid w:val="0C5671F2"/>
    <w:rsid w:val="0C747C17"/>
    <w:rsid w:val="0D590AF5"/>
    <w:rsid w:val="0F7E10F0"/>
    <w:rsid w:val="0FC6304B"/>
    <w:rsid w:val="12127CF6"/>
    <w:rsid w:val="12324E9E"/>
    <w:rsid w:val="126C4732"/>
    <w:rsid w:val="130844D9"/>
    <w:rsid w:val="135B7FE1"/>
    <w:rsid w:val="13B85C20"/>
    <w:rsid w:val="147B4947"/>
    <w:rsid w:val="14A56055"/>
    <w:rsid w:val="14C750C5"/>
    <w:rsid w:val="16401368"/>
    <w:rsid w:val="187F1F4E"/>
    <w:rsid w:val="19E93A64"/>
    <w:rsid w:val="1B516A8C"/>
    <w:rsid w:val="1BA3663B"/>
    <w:rsid w:val="1BD8210D"/>
    <w:rsid w:val="1C46036E"/>
    <w:rsid w:val="1F077DD1"/>
    <w:rsid w:val="1F701568"/>
    <w:rsid w:val="1FF409F1"/>
    <w:rsid w:val="200840DE"/>
    <w:rsid w:val="207D4E3C"/>
    <w:rsid w:val="212763A9"/>
    <w:rsid w:val="21583863"/>
    <w:rsid w:val="221C720E"/>
    <w:rsid w:val="232271E4"/>
    <w:rsid w:val="23284735"/>
    <w:rsid w:val="23A125ED"/>
    <w:rsid w:val="23B750C7"/>
    <w:rsid w:val="2446090A"/>
    <w:rsid w:val="24590CAA"/>
    <w:rsid w:val="245E3DB4"/>
    <w:rsid w:val="25092FA5"/>
    <w:rsid w:val="2523496E"/>
    <w:rsid w:val="25313958"/>
    <w:rsid w:val="25D953CB"/>
    <w:rsid w:val="275638F0"/>
    <w:rsid w:val="28184E44"/>
    <w:rsid w:val="282E7561"/>
    <w:rsid w:val="28390002"/>
    <w:rsid w:val="285C1A77"/>
    <w:rsid w:val="29222F88"/>
    <w:rsid w:val="29312DDD"/>
    <w:rsid w:val="29A73DC4"/>
    <w:rsid w:val="29C175ED"/>
    <w:rsid w:val="2A3045EC"/>
    <w:rsid w:val="2A8F321F"/>
    <w:rsid w:val="2AAB7648"/>
    <w:rsid w:val="2E1C3C28"/>
    <w:rsid w:val="2F865A50"/>
    <w:rsid w:val="30467AD0"/>
    <w:rsid w:val="30DE01F3"/>
    <w:rsid w:val="3153423F"/>
    <w:rsid w:val="32413CE6"/>
    <w:rsid w:val="34253B07"/>
    <w:rsid w:val="35186982"/>
    <w:rsid w:val="35AD4F2E"/>
    <w:rsid w:val="37E17B72"/>
    <w:rsid w:val="39DF6200"/>
    <w:rsid w:val="39EC214A"/>
    <w:rsid w:val="3A485EE0"/>
    <w:rsid w:val="3A594733"/>
    <w:rsid w:val="3B286248"/>
    <w:rsid w:val="3B331688"/>
    <w:rsid w:val="3C5E687C"/>
    <w:rsid w:val="3D0A17DD"/>
    <w:rsid w:val="3D821B8E"/>
    <w:rsid w:val="3E4B1B3B"/>
    <w:rsid w:val="3E8067F5"/>
    <w:rsid w:val="3ED3517C"/>
    <w:rsid w:val="3F3014A5"/>
    <w:rsid w:val="409D5B5F"/>
    <w:rsid w:val="41C711F2"/>
    <w:rsid w:val="41E13E7E"/>
    <w:rsid w:val="42AB4E0D"/>
    <w:rsid w:val="440E24DC"/>
    <w:rsid w:val="449B5AB4"/>
    <w:rsid w:val="457B7384"/>
    <w:rsid w:val="466513FF"/>
    <w:rsid w:val="46ED1D2E"/>
    <w:rsid w:val="49755898"/>
    <w:rsid w:val="4A840CE3"/>
    <w:rsid w:val="4A9C6A3D"/>
    <w:rsid w:val="4AE77C6C"/>
    <w:rsid w:val="4BD72705"/>
    <w:rsid w:val="4C26515C"/>
    <w:rsid w:val="4D0E0B4C"/>
    <w:rsid w:val="4DC1579E"/>
    <w:rsid w:val="4ECA0E27"/>
    <w:rsid w:val="4EDC1B1A"/>
    <w:rsid w:val="4FC150D1"/>
    <w:rsid w:val="4FD14AE9"/>
    <w:rsid w:val="502A758C"/>
    <w:rsid w:val="51886F44"/>
    <w:rsid w:val="54087BEC"/>
    <w:rsid w:val="54A424CA"/>
    <w:rsid w:val="55884F98"/>
    <w:rsid w:val="55C21F15"/>
    <w:rsid w:val="56290B21"/>
    <w:rsid w:val="569246E8"/>
    <w:rsid w:val="57484B9C"/>
    <w:rsid w:val="57707FB8"/>
    <w:rsid w:val="58034E5E"/>
    <w:rsid w:val="58BD5014"/>
    <w:rsid w:val="59793D5A"/>
    <w:rsid w:val="5A2C31E3"/>
    <w:rsid w:val="5AA957CF"/>
    <w:rsid w:val="5AB677A2"/>
    <w:rsid w:val="5AC266B1"/>
    <w:rsid w:val="5ACD16CE"/>
    <w:rsid w:val="5B1C4E96"/>
    <w:rsid w:val="5BDA5F19"/>
    <w:rsid w:val="5BED2EDD"/>
    <w:rsid w:val="5C046603"/>
    <w:rsid w:val="5C9A30B3"/>
    <w:rsid w:val="5CC6543F"/>
    <w:rsid w:val="5DD55CA5"/>
    <w:rsid w:val="5EB12110"/>
    <w:rsid w:val="5F0F1CC0"/>
    <w:rsid w:val="5FAF3093"/>
    <w:rsid w:val="5FDD0754"/>
    <w:rsid w:val="6116381D"/>
    <w:rsid w:val="61A20641"/>
    <w:rsid w:val="627633D7"/>
    <w:rsid w:val="62A41C45"/>
    <w:rsid w:val="632C60A4"/>
    <w:rsid w:val="63D67684"/>
    <w:rsid w:val="65BF0764"/>
    <w:rsid w:val="664148D6"/>
    <w:rsid w:val="66EA1BAD"/>
    <w:rsid w:val="68335CDD"/>
    <w:rsid w:val="68694610"/>
    <w:rsid w:val="69655311"/>
    <w:rsid w:val="699551E8"/>
    <w:rsid w:val="699F4336"/>
    <w:rsid w:val="69EF439B"/>
    <w:rsid w:val="69F36AF3"/>
    <w:rsid w:val="6AE136AB"/>
    <w:rsid w:val="6B8325DF"/>
    <w:rsid w:val="6B834C73"/>
    <w:rsid w:val="6DDD3B9F"/>
    <w:rsid w:val="6E092C0A"/>
    <w:rsid w:val="6E0C6240"/>
    <w:rsid w:val="6E327D40"/>
    <w:rsid w:val="6EEA751E"/>
    <w:rsid w:val="704B0FE9"/>
    <w:rsid w:val="70EA021E"/>
    <w:rsid w:val="72D10B97"/>
    <w:rsid w:val="72EC179F"/>
    <w:rsid w:val="732B0B92"/>
    <w:rsid w:val="741F1EBC"/>
    <w:rsid w:val="74F041E2"/>
    <w:rsid w:val="75C23B52"/>
    <w:rsid w:val="761C424C"/>
    <w:rsid w:val="774619F3"/>
    <w:rsid w:val="776338C9"/>
    <w:rsid w:val="777B26BD"/>
    <w:rsid w:val="784C5064"/>
    <w:rsid w:val="7AC12A04"/>
    <w:rsid w:val="7B2F031A"/>
    <w:rsid w:val="7BC36A5E"/>
    <w:rsid w:val="7BF621CB"/>
    <w:rsid w:val="7CFD2B49"/>
    <w:rsid w:val="7DB166C0"/>
    <w:rsid w:val="7EB20BF5"/>
    <w:rsid w:val="7EF37D4C"/>
    <w:rsid w:val="7F9C21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iPriority="99"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qFormat="1" w:uiPriority="99"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iPriority="99"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2">
    <w:name w:val="heading 1"/>
    <w:basedOn w:val="1"/>
    <w:next w:val="1"/>
    <w:autoRedefine/>
    <w:qFormat/>
    <w:uiPriority w:val="0"/>
    <w:pPr>
      <w:keepNext/>
      <w:keepLines/>
      <w:spacing w:before="240" w:after="240" w:line="360" w:lineRule="auto"/>
      <w:outlineLvl w:val="0"/>
    </w:pPr>
    <w:rPr>
      <w:b/>
      <w:kern w:val="44"/>
      <w:sz w:val="32"/>
    </w:rPr>
  </w:style>
  <w:style w:type="paragraph" w:styleId="3">
    <w:name w:val="heading 2"/>
    <w:basedOn w:val="1"/>
    <w:next w:val="1"/>
    <w:autoRedefine/>
    <w:qFormat/>
    <w:uiPriority w:val="0"/>
    <w:pPr>
      <w:keepNext/>
      <w:keepLines/>
      <w:spacing w:before="260" w:after="260" w:line="416" w:lineRule="auto"/>
      <w:outlineLvl w:val="1"/>
    </w:pPr>
    <w:rPr>
      <w:rFonts w:ascii="Cambria" w:hAnsi="Cambria"/>
      <w:b/>
      <w:bCs/>
      <w:sz w:val="32"/>
      <w:szCs w:val="32"/>
    </w:rPr>
  </w:style>
  <w:style w:type="paragraph" w:styleId="4">
    <w:name w:val="heading 3"/>
    <w:basedOn w:val="1"/>
    <w:next w:val="1"/>
    <w:autoRedefine/>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autoRedefine/>
    <w:qFormat/>
    <w:uiPriority w:val="0"/>
    <w:pPr>
      <w:keepNext/>
      <w:keepLines/>
      <w:widowControl w:val="0"/>
      <w:spacing w:line="360" w:lineRule="auto"/>
      <w:ind w:firstLine="482"/>
      <w:jc w:val="both"/>
      <w:outlineLvl w:val="3"/>
    </w:pPr>
    <w:rPr>
      <w:rFonts w:ascii="Arial" w:hAnsi="Arial" w:eastAsia="黑体"/>
      <w:b/>
      <w:bCs/>
      <w:kern w:val="2"/>
      <w:sz w:val="28"/>
      <w:szCs w:val="28"/>
    </w:rPr>
  </w:style>
  <w:style w:type="character" w:default="1" w:styleId="25">
    <w:name w:val="Default Paragraph Font"/>
    <w:autoRedefine/>
    <w:semiHidden/>
    <w:qFormat/>
    <w:uiPriority w:val="0"/>
  </w:style>
  <w:style w:type="table" w:default="1" w:styleId="23">
    <w:name w:val="Normal Table"/>
    <w:autoRedefine/>
    <w:semiHidden/>
    <w:qFormat/>
    <w:uiPriority w:val="0"/>
    <w:tblPr>
      <w:tblCellMar>
        <w:top w:w="0" w:type="dxa"/>
        <w:left w:w="108" w:type="dxa"/>
        <w:bottom w:w="0" w:type="dxa"/>
        <w:right w:w="108" w:type="dxa"/>
      </w:tblCellMar>
    </w:tblPr>
  </w:style>
  <w:style w:type="paragraph" w:styleId="6">
    <w:name w:val="List 3"/>
    <w:basedOn w:val="1"/>
    <w:next w:val="1"/>
    <w:autoRedefine/>
    <w:unhideWhenUsed/>
    <w:qFormat/>
    <w:uiPriority w:val="99"/>
    <w:pPr>
      <w:ind w:left="100" w:leftChars="400" w:hanging="200" w:hangingChars="200"/>
    </w:pPr>
    <w:rPr>
      <w:rFonts w:ascii="宋体" w:hAnsi="宋体"/>
      <w:color w:val="000000"/>
      <w:szCs w:val="21"/>
    </w:rPr>
  </w:style>
  <w:style w:type="paragraph" w:styleId="7">
    <w:name w:val="Normal Indent"/>
    <w:basedOn w:val="1"/>
    <w:next w:val="8"/>
    <w:autoRedefine/>
    <w:qFormat/>
    <w:uiPriority w:val="0"/>
    <w:rPr>
      <w:sz w:val="28"/>
      <w:szCs w:val="20"/>
    </w:rPr>
  </w:style>
  <w:style w:type="paragraph" w:customStyle="1" w:styleId="8">
    <w:name w:val="正文首行缩进2个字 Char"/>
    <w:basedOn w:val="1"/>
    <w:autoRedefine/>
    <w:qFormat/>
    <w:uiPriority w:val="0"/>
    <w:pPr>
      <w:ind w:firstLine="480" w:firstLineChars="200"/>
    </w:pPr>
    <w:rPr>
      <w:rFonts w:eastAsia="楷体"/>
      <w:sz w:val="24"/>
      <w:szCs w:val="24"/>
    </w:rPr>
  </w:style>
  <w:style w:type="paragraph" w:styleId="9">
    <w:name w:val="caption"/>
    <w:basedOn w:val="1"/>
    <w:next w:val="1"/>
    <w:autoRedefine/>
    <w:qFormat/>
    <w:uiPriority w:val="35"/>
    <w:rPr>
      <w:rFonts w:ascii="Cambria" w:hAnsi="Cambria" w:eastAsia="黑体"/>
      <w:sz w:val="20"/>
      <w:szCs w:val="20"/>
    </w:rPr>
  </w:style>
  <w:style w:type="paragraph" w:styleId="10">
    <w:name w:val="annotation text"/>
    <w:basedOn w:val="1"/>
    <w:autoRedefine/>
    <w:qFormat/>
    <w:uiPriority w:val="0"/>
    <w:pPr>
      <w:jc w:val="left"/>
    </w:pPr>
  </w:style>
  <w:style w:type="paragraph" w:styleId="11">
    <w:name w:val="Body Text"/>
    <w:basedOn w:val="1"/>
    <w:autoRedefine/>
    <w:qFormat/>
    <w:uiPriority w:val="0"/>
    <w:pPr>
      <w:spacing w:after="120"/>
    </w:pPr>
  </w:style>
  <w:style w:type="paragraph" w:styleId="12">
    <w:name w:val="Body Text Indent"/>
    <w:basedOn w:val="1"/>
    <w:next w:val="11"/>
    <w:autoRedefine/>
    <w:qFormat/>
    <w:uiPriority w:val="0"/>
    <w:pPr>
      <w:spacing w:after="120"/>
      <w:ind w:left="420" w:leftChars="200"/>
    </w:pPr>
    <w:rPr>
      <w:kern w:val="0"/>
      <w:sz w:val="24"/>
      <w:szCs w:val="20"/>
    </w:rPr>
  </w:style>
  <w:style w:type="paragraph" w:styleId="13">
    <w:name w:val="Block Text"/>
    <w:basedOn w:val="1"/>
    <w:next w:val="1"/>
    <w:autoRedefine/>
    <w:unhideWhenUsed/>
    <w:qFormat/>
    <w:uiPriority w:val="99"/>
    <w:pPr>
      <w:snapToGrid w:val="0"/>
      <w:spacing w:line="408" w:lineRule="auto"/>
      <w:ind w:left="-113" w:right="-510" w:firstLine="510"/>
    </w:pPr>
    <w:rPr>
      <w:rFonts w:cs="Times New Roman"/>
      <w:sz w:val="24"/>
    </w:rPr>
  </w:style>
  <w:style w:type="paragraph" w:styleId="14">
    <w:name w:val="Plain Text"/>
    <w:basedOn w:val="1"/>
    <w:autoRedefine/>
    <w:qFormat/>
    <w:uiPriority w:val="0"/>
    <w:rPr>
      <w:rFonts w:ascii="宋体" w:hAnsi="Courier New"/>
      <w:szCs w:val="20"/>
    </w:rPr>
  </w:style>
  <w:style w:type="paragraph" w:styleId="15">
    <w:name w:val="List Bullet 5"/>
    <w:basedOn w:val="1"/>
    <w:autoRedefine/>
    <w:qFormat/>
    <w:uiPriority w:val="0"/>
    <w:pPr>
      <w:numPr>
        <w:ilvl w:val="0"/>
        <w:numId w:val="1"/>
      </w:numPr>
    </w:pPr>
  </w:style>
  <w:style w:type="paragraph" w:styleId="16">
    <w:name w:val="Body Text Indent 2"/>
    <w:basedOn w:val="1"/>
    <w:autoRedefine/>
    <w:qFormat/>
    <w:uiPriority w:val="0"/>
    <w:pPr>
      <w:spacing w:after="120" w:line="480" w:lineRule="auto"/>
      <w:ind w:left="420" w:leftChars="200"/>
    </w:pPr>
  </w:style>
  <w:style w:type="paragraph" w:styleId="17">
    <w:name w:val="footer"/>
    <w:basedOn w:val="1"/>
    <w:autoRedefine/>
    <w:qFormat/>
    <w:uiPriority w:val="99"/>
    <w:pPr>
      <w:tabs>
        <w:tab w:val="center" w:pos="4153"/>
        <w:tab w:val="right" w:pos="8306"/>
      </w:tabs>
      <w:snapToGrid w:val="0"/>
      <w:jc w:val="left"/>
    </w:pPr>
    <w:rPr>
      <w:kern w:val="0"/>
      <w:sz w:val="18"/>
      <w:szCs w:val="20"/>
    </w:rPr>
  </w:style>
  <w:style w:type="paragraph" w:styleId="1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9">
    <w:name w:val="Body Text 2"/>
    <w:basedOn w:val="1"/>
    <w:autoRedefine/>
    <w:unhideWhenUsed/>
    <w:qFormat/>
    <w:uiPriority w:val="99"/>
    <w:pPr>
      <w:spacing w:after="120" w:line="480" w:lineRule="auto"/>
    </w:pPr>
  </w:style>
  <w:style w:type="paragraph" w:styleId="20">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21">
    <w:name w:val="Title"/>
    <w:basedOn w:val="1"/>
    <w:autoRedefine/>
    <w:qFormat/>
    <w:uiPriority w:val="0"/>
    <w:pPr>
      <w:spacing w:line="520" w:lineRule="exact"/>
      <w:jc w:val="center"/>
    </w:pPr>
    <w:rPr>
      <w:rFonts w:ascii="Cambria" w:hAnsi="Cambria"/>
      <w:b/>
      <w:bCs/>
      <w:sz w:val="24"/>
      <w:szCs w:val="32"/>
    </w:rPr>
  </w:style>
  <w:style w:type="paragraph" w:styleId="22">
    <w:name w:val="Body Text First Indent 2"/>
    <w:basedOn w:val="1"/>
    <w:next w:val="1"/>
    <w:autoRedefine/>
    <w:qFormat/>
    <w:uiPriority w:val="99"/>
    <w:pPr>
      <w:spacing w:after="120" w:line="240" w:lineRule="auto"/>
      <w:ind w:left="420" w:leftChars="200" w:firstLine="420"/>
    </w:pPr>
  </w:style>
  <w:style w:type="table" w:styleId="24">
    <w:name w:val="Table Grid"/>
    <w:basedOn w:val="23"/>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autoRedefine/>
    <w:qFormat/>
    <w:uiPriority w:val="0"/>
  </w:style>
  <w:style w:type="character" w:styleId="27">
    <w:name w:val="Emphasis"/>
    <w:basedOn w:val="25"/>
    <w:autoRedefine/>
    <w:qFormat/>
    <w:uiPriority w:val="0"/>
    <w:rPr>
      <w:i/>
    </w:rPr>
  </w:style>
  <w:style w:type="character" w:styleId="28">
    <w:name w:val="Hyperlink"/>
    <w:basedOn w:val="25"/>
    <w:autoRedefine/>
    <w:qFormat/>
    <w:uiPriority w:val="0"/>
    <w:rPr>
      <w:color w:val="0000FF"/>
      <w:u w:val="single"/>
    </w:rPr>
  </w:style>
  <w:style w:type="character" w:styleId="29">
    <w:name w:val="annotation reference"/>
    <w:basedOn w:val="25"/>
    <w:autoRedefine/>
    <w:qFormat/>
    <w:uiPriority w:val="0"/>
    <w:rPr>
      <w:sz w:val="21"/>
      <w:szCs w:val="21"/>
    </w:rPr>
  </w:style>
  <w:style w:type="paragraph" w:customStyle="1" w:styleId="30">
    <w:name w:val="Default"/>
    <w:basedOn w:val="31"/>
    <w:next w:val="22"/>
    <w:autoRedefine/>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1">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32">
    <w:name w:val="纯文本1"/>
    <w:autoRedefine/>
    <w:qFormat/>
    <w:uiPriority w:val="0"/>
    <w:pPr>
      <w:widowControl w:val="0"/>
      <w:adjustRightInd w:val="0"/>
      <w:spacing w:line="520" w:lineRule="atLeast"/>
      <w:ind w:firstLine="547" w:firstLineChars="200"/>
    </w:pPr>
    <w:rPr>
      <w:rFonts w:ascii="宋体" w:hAnsi="Courier New" w:eastAsia="宋体" w:cs="Times New Roman"/>
      <w:kern w:val="2"/>
      <w:sz w:val="24"/>
      <w:szCs w:val="22"/>
      <w:lang w:val="en-US" w:eastAsia="zh-CN" w:bidi="ar-SA"/>
    </w:rPr>
  </w:style>
  <w:style w:type="paragraph" w:customStyle="1" w:styleId="33">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4">
    <w:name w:val="5正文"/>
    <w:autoRedefine/>
    <w:qFormat/>
    <w:uiPriority w:val="0"/>
    <w:pPr>
      <w:widowControl w:val="0"/>
      <w:spacing w:line="520" w:lineRule="exact"/>
      <w:ind w:firstLine="200" w:firstLineChars="200"/>
      <w:jc w:val="both"/>
    </w:pPr>
    <w:rPr>
      <w:rFonts w:ascii="Times New Roman" w:hAnsi="Times New Roman" w:eastAsia="宋体" w:cs="Times New Roman"/>
      <w:kern w:val="2"/>
      <w:sz w:val="24"/>
      <w:lang w:val="en-US" w:eastAsia="zh-CN" w:bidi="ar-SA"/>
    </w:rPr>
  </w:style>
  <w:style w:type="paragraph" w:customStyle="1" w:styleId="35">
    <w:name w:val="00"/>
    <w:basedOn w:val="1"/>
    <w:next w:val="1"/>
    <w:autoRedefine/>
    <w:qFormat/>
    <w:uiPriority w:val="0"/>
    <w:pPr>
      <w:spacing w:line="520" w:lineRule="exact"/>
      <w:ind w:firstLine="480"/>
    </w:pPr>
    <w:rPr>
      <w:rFonts w:hAnsi="宋体"/>
      <w:sz w:val="24"/>
    </w:rPr>
  </w:style>
  <w:style w:type="paragraph" w:customStyle="1" w:styleId="36">
    <w:name w:val="TableStyle10.5"/>
    <w:basedOn w:val="1"/>
    <w:autoRedefine/>
    <w:qFormat/>
    <w:uiPriority w:val="0"/>
    <w:pPr>
      <w:jc w:val="center"/>
    </w:pPr>
    <w:rPr>
      <w:rFonts w:cs="Times New Roman"/>
      <w:color w:val="auto"/>
      <w:kern w:val="0"/>
      <w:szCs w:val="22"/>
    </w:rPr>
  </w:style>
  <w:style w:type="paragraph" w:customStyle="1" w:styleId="37">
    <w:name w:val="表格内容"/>
    <w:basedOn w:val="1"/>
    <w:next w:val="1"/>
    <w:autoRedefine/>
    <w:qFormat/>
    <w:uiPriority w:val="0"/>
    <w:pPr>
      <w:jc w:val="center"/>
    </w:pPr>
    <w:rPr>
      <w:color w:val="000000"/>
      <w:szCs w:val="24"/>
    </w:rPr>
  </w:style>
  <w:style w:type="paragraph" w:customStyle="1" w:styleId="38">
    <w:name w:val="书"/>
    <w:basedOn w:val="1"/>
    <w:autoRedefine/>
    <w:qFormat/>
    <w:uiPriority w:val="0"/>
    <w:pPr>
      <w:spacing w:line="520" w:lineRule="exact"/>
    </w:pPr>
    <w:rPr>
      <w:rFonts w:ascii="楷体_GB2312" w:hAnsi="宋体" w:eastAsia="楷体_GB2312" w:cs="宋体"/>
      <w:b/>
      <w:sz w:val="28"/>
      <w:szCs w:val="28"/>
    </w:rPr>
  </w:style>
  <w:style w:type="paragraph" w:customStyle="1" w:styleId="39">
    <w:name w:val="00000"/>
    <w:basedOn w:val="1"/>
    <w:autoRedefine/>
    <w:qFormat/>
    <w:uiPriority w:val="0"/>
    <w:pPr>
      <w:spacing w:line="520" w:lineRule="exact"/>
      <w:ind w:firstLine="200" w:firstLineChars="200"/>
    </w:pPr>
    <w:rPr>
      <w:rFonts w:ascii="宋体" w:hAnsi="宋体"/>
      <w:sz w:val="24"/>
      <w:szCs w:val="24"/>
    </w:rPr>
  </w:style>
  <w:style w:type="paragraph" w:customStyle="1" w:styleId="40">
    <w:name w:val="Table Paragraph"/>
    <w:basedOn w:val="1"/>
    <w:autoRedefine/>
    <w:semiHidden/>
    <w:qFormat/>
    <w:uiPriority w:val="99"/>
    <w:pPr>
      <w:widowControl/>
      <w:jc w:val="left"/>
    </w:pPr>
    <w:rPr>
      <w:rFonts w:ascii="Calibri" w:hAnsi="Calibri" w:cs="宋体"/>
      <w:kern w:val="0"/>
      <w:sz w:val="22"/>
      <w:szCs w:val="22"/>
    </w:rPr>
  </w:style>
  <w:style w:type="paragraph" w:customStyle="1" w:styleId="41">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42">
    <w:name w:val="表格"/>
    <w:basedOn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43">
    <w:name w:val="标题1"/>
    <w:basedOn w:val="2"/>
    <w:next w:val="3"/>
    <w:autoRedefine/>
    <w:qFormat/>
    <w:uiPriority w:val="0"/>
    <w:pPr>
      <w:keepNext w:val="0"/>
      <w:keepLines w:val="0"/>
      <w:tabs>
        <w:tab w:val="left" w:pos="432"/>
      </w:tabs>
      <w:spacing w:before="200" w:after="200" w:line="520" w:lineRule="exact"/>
    </w:pPr>
    <w:rPr>
      <w:rFonts w:eastAsia="黑体"/>
      <w:b w:val="0"/>
      <w:bCs/>
      <w:kern w:val="28"/>
      <w:sz w:val="28"/>
      <w:szCs w:val="44"/>
    </w:rPr>
  </w:style>
  <w:style w:type="paragraph" w:customStyle="1" w:styleId="44">
    <w:name w:val="标题 段落4级"/>
    <w:autoRedefine/>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45">
    <w:name w:val="21"/>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46">
    <w:name w:val="表格内容5号"/>
    <w:autoRedefine/>
    <w:qFormat/>
    <w:uiPriority w:val="0"/>
    <w:pPr>
      <w:widowControl w:val="0"/>
      <w:snapToGrid w:val="0"/>
      <w:spacing w:line="320" w:lineRule="atLeast"/>
      <w:jc w:val="center"/>
    </w:pPr>
    <w:rPr>
      <w:rFonts w:ascii="Times New Roman" w:hAnsi="Times New Roman" w:eastAsia="宋体" w:cs="Times New Roman"/>
      <w:kern w:val="2"/>
      <w:sz w:val="21"/>
      <w:szCs w:val="24"/>
      <w:lang w:val="en-US" w:eastAsia="zh-CN" w:bidi="ar-SA"/>
    </w:rPr>
  </w:style>
  <w:style w:type="character" w:customStyle="1" w:styleId="47">
    <w:name w:val="font11"/>
    <w:basedOn w:val="25"/>
    <w:autoRedefine/>
    <w:qFormat/>
    <w:uiPriority w:val="0"/>
    <w:rPr>
      <w:rFonts w:hint="default" w:ascii="Times New Roman" w:hAnsi="Times New Roman" w:cs="Times New Roman"/>
      <w:color w:val="000000"/>
      <w:sz w:val="21"/>
      <w:szCs w:val="21"/>
      <w:u w:val="none"/>
    </w:rPr>
  </w:style>
  <w:style w:type="paragraph" w:customStyle="1" w:styleId="48">
    <w:name w:val="刘正文"/>
    <w:basedOn w:val="1"/>
    <w:autoRedefine/>
    <w:qFormat/>
    <w:uiPriority w:val="0"/>
    <w:pPr>
      <w:spacing w:line="460" w:lineRule="exact"/>
      <w:ind w:firstLine="480" w:firstLineChars="200"/>
      <w:jc w:val="left"/>
    </w:pPr>
    <w:rPr>
      <w:color w:val="000000"/>
      <w:sz w:val="24"/>
    </w:rPr>
  </w:style>
  <w:style w:type="paragraph" w:customStyle="1" w:styleId="49">
    <w:name w:val="05正文"/>
    <w:basedOn w:val="1"/>
    <w:autoRedefine/>
    <w:qFormat/>
    <w:uiPriority w:val="0"/>
    <w:pPr>
      <w:spacing w:line="500" w:lineRule="exact"/>
      <w:ind w:firstLine="200" w:firstLineChars="200"/>
    </w:pPr>
    <w:rPr>
      <w:sz w:val="24"/>
    </w:rPr>
  </w:style>
  <w:style w:type="paragraph" w:customStyle="1" w:styleId="50">
    <w:name w:val="张正文"/>
    <w:basedOn w:val="1"/>
    <w:autoRedefine/>
    <w:qFormat/>
    <w:uiPriority w:val="0"/>
    <w:pPr>
      <w:adjustRightInd w:val="0"/>
      <w:snapToGrid w:val="0"/>
      <w:spacing w:line="500" w:lineRule="exact"/>
      <w:ind w:firstLine="720" w:firstLineChars="200"/>
    </w:pPr>
    <w:rPr>
      <w:kern w:val="0"/>
      <w:sz w:val="24"/>
      <w:szCs w:val="22"/>
    </w:rPr>
  </w:style>
  <w:style w:type="paragraph" w:customStyle="1" w:styleId="51">
    <w:name w:val="刘表格居中"/>
    <w:basedOn w:val="1"/>
    <w:autoRedefine/>
    <w:qFormat/>
    <w:uiPriority w:val="0"/>
    <w:pPr>
      <w:jc w:val="center"/>
    </w:pPr>
    <w:rPr>
      <w:color w:val="000000"/>
      <w:szCs w:val="21"/>
    </w:rPr>
  </w:style>
  <w:style w:type="paragraph" w:customStyle="1" w:styleId="52">
    <w:name w:val="标准正文"/>
    <w:basedOn w:val="1"/>
    <w:autoRedefine/>
    <w:qFormat/>
    <w:uiPriority w:val="0"/>
    <w:pPr>
      <w:spacing w:line="360" w:lineRule="auto"/>
      <w:ind w:firstLine="480" w:firstLineChars="200"/>
      <w:jc w:val="left"/>
    </w:pPr>
    <w:rPr>
      <w:rFonts w:ascii="Times New Roman" w:hAnsi="Times New Roman" w:eastAsia="宋体" w:cs="Times New Roman"/>
    </w:rPr>
  </w:style>
  <w:style w:type="paragraph" w:customStyle="1" w:styleId="53">
    <w:name w:val="K表格中文字"/>
    <w:basedOn w:val="1"/>
    <w:next w:val="14"/>
    <w:autoRedefine/>
    <w:qFormat/>
    <w:uiPriority w:val="0"/>
    <w:pPr>
      <w:spacing w:line="360" w:lineRule="exact"/>
      <w:jc w:val="center"/>
    </w:pPr>
    <w:rPr>
      <w:szCs w:val="22"/>
      <w:lang w:val="zh-CN"/>
    </w:rPr>
  </w:style>
  <w:style w:type="paragraph" w:customStyle="1" w:styleId="54">
    <w:name w:val="报告书表格表头"/>
    <w:basedOn w:val="1"/>
    <w:autoRedefine/>
    <w:qFormat/>
    <w:uiPriority w:val="0"/>
    <w:pPr>
      <w:adjustRightInd w:val="0"/>
      <w:snapToGrid w:val="0"/>
    </w:pPr>
    <w:rPr>
      <w:rFonts w:ascii="Calibri" w:hAnsi="Calibri" w:eastAsia="黑体"/>
      <w:color w:val="000000"/>
      <w:szCs w:val="20"/>
    </w:rPr>
  </w:style>
  <w:style w:type="paragraph" w:customStyle="1" w:styleId="55">
    <w:name w:val="样式1"/>
    <w:basedOn w:val="1"/>
    <w:autoRedefine/>
    <w:qFormat/>
    <w:uiPriority w:val="0"/>
    <w:pPr>
      <w:adjustRightInd w:val="0"/>
      <w:snapToGrid w:val="0"/>
      <w:spacing w:line="360" w:lineRule="auto"/>
    </w:pPr>
    <w:rPr>
      <w:rFonts w:ascii="Times New Roman" w:hAnsi="Times New Roman" w:eastAsia="宋体"/>
      <w:sz w:val="24"/>
    </w:rPr>
  </w:style>
  <w:style w:type="paragraph" w:customStyle="1" w:styleId="56">
    <w:name w:val="报告书正文"/>
    <w:basedOn w:val="1"/>
    <w:autoRedefine/>
    <w:qFormat/>
    <w:uiPriority w:val="0"/>
    <w:pPr>
      <w:autoSpaceDE w:val="0"/>
      <w:autoSpaceDN w:val="0"/>
      <w:spacing w:line="520" w:lineRule="exact"/>
      <w:ind w:firstLine="200" w:firstLineChars="200"/>
    </w:pPr>
    <w:rPr>
      <w:rFonts w:eastAsia="宋体"/>
      <w:kern w:val="2"/>
      <w:sz w:val="28"/>
      <w:szCs w:val="28"/>
      <w:lang w:val="en-US" w:eastAsia="zh-CN" w:bidi="ar-SA"/>
    </w:rPr>
  </w:style>
  <w:style w:type="paragraph" w:customStyle="1" w:styleId="57">
    <w:name w:val="报告正文"/>
    <w:basedOn w:val="1"/>
    <w:autoRedefine/>
    <w:qFormat/>
    <w:uiPriority w:val="0"/>
    <w:pPr>
      <w:snapToGrid w:val="0"/>
      <w:spacing w:line="360" w:lineRule="auto"/>
      <w:ind w:firstLine="200" w:firstLineChars="200"/>
    </w:pPr>
    <w:rPr>
      <w:rFonts w:ascii="宋体" w:hAnsi="宋体"/>
      <w:sz w:val="28"/>
    </w:rPr>
  </w:style>
  <w:style w:type="paragraph" w:customStyle="1" w:styleId="58">
    <w:name w:val="样式 正文文本 + 首行缩进:  2 字符"/>
    <w:autoRedefine/>
    <w:qFormat/>
    <w:uiPriority w:val="99"/>
    <w:pPr>
      <w:spacing w:after="200" w:line="480" w:lineRule="exact"/>
      <w:ind w:firstLine="480" w:firstLineChars="200"/>
    </w:pPr>
    <w:rPr>
      <w:rFonts w:ascii="Times New Roman" w:hAnsi="Times New Roman" w:eastAsia="微软雅黑" w:cs="Times New Roman"/>
      <w:sz w:val="24"/>
      <w:szCs w:val="22"/>
      <w:lang w:val="en-US" w:eastAsia="zh-CN" w:bidi="ar-SA"/>
    </w:rPr>
  </w:style>
  <w:style w:type="paragraph" w:customStyle="1" w:styleId="59">
    <w:name w:val="样式12"/>
    <w:basedOn w:val="1"/>
    <w:next w:val="21"/>
    <w:autoRedefine/>
    <w:qFormat/>
    <w:uiPriority w:val="0"/>
    <w:pPr>
      <w:autoSpaceDE w:val="0"/>
      <w:autoSpaceDN w:val="0"/>
      <w:adjustRightInd w:val="0"/>
      <w:snapToGrid w:val="0"/>
      <w:spacing w:line="440" w:lineRule="exact"/>
      <w:jc w:val="center"/>
    </w:pPr>
    <w:rPr>
      <w:rFonts w:ascii="Times New Roman" w:hAnsi="Times New Roman" w:eastAsia="宋体" w:cs="Times New Roman"/>
      <w:b/>
      <w:bCs/>
      <w:color w:val="auto"/>
      <w:kern w:val="0"/>
      <w:sz w:val="24"/>
    </w:rPr>
  </w:style>
  <w:style w:type="paragraph" w:customStyle="1" w:styleId="60">
    <w:name w:val="段落"/>
    <w:basedOn w:val="14"/>
    <w:qFormat/>
    <w:uiPriority w:val="99"/>
    <w:pPr>
      <w:spacing w:line="500" w:lineRule="exact"/>
      <w:ind w:firstLine="578"/>
    </w:pPr>
    <w:rPr>
      <w:rFonts w:ascii="Times New Roman" w:hAnsi="Times New Roman"/>
      <w:color w:val="auto"/>
      <w:sz w:val="28"/>
      <w:szCs w:val="24"/>
    </w:rPr>
  </w:style>
  <w:style w:type="paragraph" w:customStyle="1" w:styleId="61">
    <w:name w:val="07表格内容"/>
    <w:autoRedefine/>
    <w:qFormat/>
    <w:uiPriority w:val="0"/>
    <w:pPr>
      <w:widowControl w:val="0"/>
      <w:spacing w:line="360" w:lineRule="exact"/>
      <w:jc w:val="center"/>
    </w:pPr>
    <w:rPr>
      <w:rFonts w:ascii="Times New Roman" w:hAnsi="Times New Roman" w:eastAsia="宋体" w:cs="Times New Roman"/>
      <w:szCs w:val="24"/>
      <w:lang w:val="en-US" w:eastAsia="zh-CN" w:bidi="ar-SA"/>
    </w:rPr>
  </w:style>
  <w:style w:type="paragraph" w:styleId="62">
    <w:name w:val="List Paragraph"/>
    <w:basedOn w:val="1"/>
    <w:qFormat/>
    <w:uiPriority w:val="0"/>
    <w:pPr>
      <w:spacing w:line="360" w:lineRule="auto"/>
      <w:jc w:val="left"/>
    </w:pPr>
    <w:rPr>
      <w:sz w:val="24"/>
      <w:szCs w:val="21"/>
    </w:rPr>
  </w:style>
  <w:style w:type="paragraph" w:customStyle="1" w:styleId="63">
    <w:name w:val="正文_5"/>
    <w:basedOn w:val="1"/>
    <w:qFormat/>
    <w:uiPriority w:val="0"/>
    <w:pPr>
      <w:keepNext w:val="0"/>
      <w:keepLines w:val="0"/>
      <w:widowControl w:val="0"/>
      <w:suppressLineNumbers w:val="0"/>
      <w:spacing w:before="0" w:beforeAutospacing="0" w:after="0" w:afterAutospacing="0" w:line="240" w:lineRule="auto"/>
      <w:ind w:left="0" w:right="0"/>
      <w:jc w:val="both"/>
    </w:pPr>
    <w:rPr>
      <w:rFonts w:hint="default" w:ascii="Calibri" w:hAnsi="Calibri" w:eastAsia="宋体" w:cs="Calibri"/>
      <w:kern w:val="2"/>
      <w:sz w:val="21"/>
      <w:szCs w:val="21"/>
      <w:lang w:val="en-US" w:eastAsia="zh-CN" w:bidi="ar"/>
    </w:rPr>
  </w:style>
  <w:style w:type="character" w:customStyle="1" w:styleId="64">
    <w:name w:val="10"/>
    <w:basedOn w:val="25"/>
    <w:qFormat/>
    <w:uiPriority w:val="0"/>
    <w:rPr>
      <w:rFonts w:hint="default" w:ascii="等线" w:hAnsi="等线" w:eastAsia="等线" w:cs="等线"/>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header" Target="header1.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emf"/><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126</Pages>
  <Words>18244</Words>
  <Characters>19226</Characters>
  <Lines>0</Lines>
  <Paragraphs>0</Paragraphs>
  <TotalTime>8</TotalTime>
  <ScaleCrop>false</ScaleCrop>
  <LinksUpToDate>false</LinksUpToDate>
  <CharactersWithSpaces>19266</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2023-11-23T04:03:00Z</dcterms:created>
  <dc:creator>XINL</dc:creator>
  <cp:lastModifiedBy>XINL</cp:lastModifiedBy>
  <cp:lastPrinted>2025-01-16T06:54:00Z</cp:lastPrinted>
  <dcterms:modified xsi:type="dcterms:W3CDTF">2025-02-21T11:52:19Z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B8DD68A819D9412FACF41A438E1480EF_13</vt:lpwstr>
  </property>
  <property fmtid="{D5CDD505-2E9C-101B-9397-08002B2CF9AE}" pid="4" name="KSOTemplateDocerSaveRecord">
    <vt:lpwstr>eyJoZGlkIjoiOWNlZmEzNTBkYzY1NjZkNjI1YWJiZjE4Mzk4ZjRmNmMifQ==</vt:lpwstr>
  </property>
</Properties>
</file>