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98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center"/>
        <w:rPr>
          <w:rFonts w:hint="eastAsia" w:ascii="方正小标宋_GBK" w:hAnsi="方正小标宋_GBK" w:eastAsia="方正小标宋_GBK" w:cs="方正小标宋_GBK"/>
          <w:b w:val="0"/>
          <w:bCs w:val="0"/>
          <w:spacing w:val="1"/>
          <w:kern w:val="2"/>
          <w:sz w:val="44"/>
          <w:szCs w:val="44"/>
          <w:lang w:val="en-US" w:eastAsia="zh-CN" w:bidi="ar-SA"/>
        </w:rPr>
      </w:pPr>
      <w:r>
        <w:rPr>
          <w:rFonts w:hint="eastAsia" w:ascii="方正小标宋_GBK" w:hAnsi="方正小标宋_GBK" w:eastAsia="方正小标宋_GBK" w:cs="方正小标宋_GBK"/>
          <w:b w:val="0"/>
          <w:bCs w:val="0"/>
          <w:spacing w:val="1"/>
          <w:kern w:val="2"/>
          <w:sz w:val="44"/>
          <w:szCs w:val="44"/>
          <w:lang w:val="en-US" w:eastAsia="zh-CN" w:bidi="ar-SA"/>
        </w:rPr>
        <w:t>涉企检查事项和依据</w:t>
      </w:r>
      <w:bookmarkStart w:id="0" w:name="_GoBack"/>
      <w:bookmarkEnd w:id="0"/>
    </w:p>
    <w:tbl>
      <w:tblPr>
        <w:tblStyle w:val="3"/>
        <w:tblW w:w="0" w:type="auto"/>
        <w:tblInd w:w="0" w:type="dxa"/>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4"/>
        <w:gridCol w:w="7787"/>
        <w:gridCol w:w="5646"/>
      </w:tblGrid>
      <w:tr w14:paraId="6A2F44D0">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A7092F1">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黑体" w:hAnsi="黑体" w:eastAsia="黑体" w:cs="黑体"/>
                <w:color w:val="auto"/>
                <w:kern w:val="2"/>
                <w:sz w:val="32"/>
                <w:szCs w:val="32"/>
                <w:u w:val="none" w:color="000000"/>
                <w:lang w:val="zh-CN" w:eastAsia="zh-CN" w:bidi="zh-CN"/>
              </w:rPr>
            </w:pPr>
            <w:r>
              <w:rPr>
                <w:rFonts w:hint="eastAsia" w:ascii="黑体" w:hAnsi="黑体" w:eastAsia="黑体" w:cs="黑体"/>
                <w:color w:val="auto"/>
                <w:kern w:val="2"/>
                <w:sz w:val="32"/>
                <w:szCs w:val="32"/>
                <w:u w:val="none" w:color="000000"/>
                <w:lang w:val="zh-CN" w:eastAsia="zh-CN" w:bidi="zh-CN"/>
              </w:rPr>
              <w:t>序号</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7E98A52">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黑体" w:hAnsi="黑体" w:eastAsia="黑体" w:cs="黑体"/>
                <w:color w:val="auto"/>
                <w:kern w:val="2"/>
                <w:sz w:val="32"/>
                <w:szCs w:val="32"/>
                <w:u w:val="none" w:color="000000"/>
                <w:lang w:val="zh-CN" w:eastAsia="zh-CN" w:bidi="zh-CN"/>
              </w:rPr>
            </w:pPr>
            <w:r>
              <w:rPr>
                <w:rFonts w:hint="eastAsia" w:ascii="黑体" w:hAnsi="黑体" w:eastAsia="黑体" w:cs="黑体"/>
                <w:color w:val="auto"/>
                <w:kern w:val="2"/>
                <w:sz w:val="32"/>
                <w:szCs w:val="32"/>
                <w:u w:val="none" w:color="000000"/>
                <w:lang w:val="zh-CN" w:eastAsia="zh-CN" w:bidi="zh-CN"/>
              </w:rPr>
              <w:t>行政检查事项名称</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06946328">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黑体" w:hAnsi="黑体" w:eastAsia="黑体" w:cs="黑体"/>
                <w:color w:val="auto"/>
                <w:kern w:val="2"/>
                <w:sz w:val="32"/>
                <w:szCs w:val="32"/>
                <w:u w:val="none" w:color="000000"/>
                <w:lang w:val="zh-CN" w:eastAsia="zh-CN" w:bidi="zh-CN"/>
              </w:rPr>
            </w:pPr>
            <w:r>
              <w:rPr>
                <w:rFonts w:hint="eastAsia" w:ascii="黑体" w:hAnsi="黑体" w:eastAsia="黑体" w:cs="黑体"/>
                <w:color w:val="auto"/>
                <w:kern w:val="2"/>
                <w:sz w:val="32"/>
                <w:szCs w:val="32"/>
                <w:u w:val="none" w:color="000000"/>
                <w:lang w:val="zh-CN" w:eastAsia="zh-CN" w:bidi="zh-CN"/>
              </w:rPr>
              <w:t>检查依据</w:t>
            </w:r>
          </w:p>
        </w:tc>
      </w:tr>
      <w:tr w14:paraId="72E31793">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9F02BFF">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507BB37">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对渔业养殖、捕捞等的行政检查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0120935D">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《中华人民共和国渔业法(2013)》</w:t>
            </w:r>
          </w:p>
        </w:tc>
      </w:tr>
      <w:tr w14:paraId="0B9C7CFF">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FDFE426">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7E264271">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对畜牧业的监督管理</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382CF70">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《中华人民共和国畜牧法(2022)》</w:t>
            </w:r>
          </w:p>
        </w:tc>
      </w:tr>
      <w:tr w14:paraId="6A568627">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8E1CA87">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DE2BA3D">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对农业植物检疫的行政检查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3648758C">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《河南省植物检疫条例(2001)》</w:t>
            </w:r>
          </w:p>
        </w:tc>
      </w:tr>
      <w:tr w14:paraId="755A251C">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D61A1F3">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05CE4161">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对县级以上人民政府畜牧兽医主管部门负责奶畜饲养以及生鲜乳生产环节、收购环节的监督管理的行政检查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86A8C68">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《乳品质量安全监督管理条例(2008)》</w:t>
            </w:r>
          </w:p>
        </w:tc>
      </w:tr>
      <w:tr w14:paraId="19EBD157">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762FFE4A">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275011B">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对饲养动物的单位和个人履行强制免疫义务的情况进行的行政检查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1D45671">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《中华人民共和国动物防疫法(2021)》</w:t>
            </w:r>
          </w:p>
        </w:tc>
      </w:tr>
      <w:tr w14:paraId="62CAE70D">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2B68860">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068DB051">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对种子生产经营场所进行的行政检查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7FE61EB">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《中华人民共和国种子法(2021)》</w:t>
            </w:r>
          </w:p>
        </w:tc>
      </w:tr>
      <w:tr w14:paraId="471E0264">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394A98C9">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670790A9">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对畜禽饲养环境、种畜禽质量、畜禽交易与运输、畜禽屠宰以及饲料、饲料添加剂、兽药等投入品的生产、经营、使用的监督管理的行政检查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57A07E6">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《中华人民共和国畜牧法(2022)》、《中华人民共和国动物防疫法(2021)》、《饲料和饲料添加剂管理条例(2017)》、《兽药管理条例(2020)》</w:t>
            </w:r>
          </w:p>
        </w:tc>
      </w:tr>
      <w:tr w14:paraId="1D25B2B1">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73B3D137">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EE0FBD4">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对水生野生动物及制品利用监督检查的行政检查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12E3757">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《中华人民共和国野生动物保护法(2022)》</w:t>
            </w:r>
          </w:p>
        </w:tc>
      </w:tr>
      <w:tr w14:paraId="3E016073">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525484D">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058F35C6">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对兽药质量监督抽查的行政检查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4B3D5DF">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《兽药管理条例(2020)》</w:t>
            </w:r>
          </w:p>
        </w:tc>
      </w:tr>
      <w:tr w14:paraId="3356B8BA">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78EE722">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3ACEA40D">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对饲料、饲料添加剂监督抽查的行政检查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6B0F0E4">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《饲料和饲料添加剂管理条例(2017)》</w:t>
            </w:r>
          </w:p>
        </w:tc>
      </w:tr>
      <w:tr w14:paraId="02441769">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32AC47F">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4CF67B5">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对生鲜乳质量安全监督检查的行政检查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80170A0">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《乳品质量安全监督管理条例(2008)》</w:t>
            </w:r>
          </w:p>
        </w:tc>
      </w:tr>
      <w:tr w14:paraId="15557AB9">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C7D6D5E">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114F1511">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对农业转基因生物安全监督检查的行政检查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78E7696B">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《农业转基因生物安全管理条例(2017）》</w:t>
            </w:r>
          </w:p>
        </w:tc>
      </w:tr>
      <w:tr w14:paraId="7C0A9B04">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C4CC62D">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EF29860">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对植物检疫的行政检查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26920D60">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《河南省植物检疫条例(2001)》</w:t>
            </w:r>
          </w:p>
        </w:tc>
      </w:tr>
      <w:tr w14:paraId="30CCEB14">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60F3E687">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D1E4415">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对渔业船员及培训机构监督检查的行政检查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64020C65">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《中华人民共和国渔业船员管理办法(2022)》</w:t>
            </w:r>
          </w:p>
        </w:tc>
      </w:tr>
      <w:tr w14:paraId="12AFA709">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2E529EF1">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29EED2E3">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对农产品质量安全监督检查的行政检查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558D4153">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《中华人民共和国农产品质量安全法(2022)》</w:t>
            </w:r>
          </w:p>
        </w:tc>
      </w:tr>
      <w:tr w14:paraId="55E31D38">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1A080D6">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45BBF4E7">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对肥料监督检查的行政检查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63978F17">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《肥料登记管理办法(2022)》</w:t>
            </w:r>
          </w:p>
        </w:tc>
      </w:tr>
      <w:tr w14:paraId="2170E058">
        <w:tblPrEx>
          <w:tblBorders>
            <w:top w:val="none" w:color="CCCCCC" w:sz="0" w:space="0"/>
            <w:left w:val="none" w:color="CCCCCC" w:sz="0" w:space="0"/>
            <w:bottom w:val="none" w:color="CCCCCC" w:sz="0" w:space="0"/>
            <w:right w:val="none" w:color="CCCCCC"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4"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7F6452B0">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7787"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2672AAFA">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对农药监督管理的行政检查</w:t>
            </w:r>
          </w:p>
        </w:tc>
        <w:tc>
          <w:tcPr>
            <w:tcW w:w="5646" w:type="dxa"/>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14:paraId="008870A2">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《农药管理条例(2022)》</w:t>
            </w:r>
          </w:p>
        </w:tc>
      </w:tr>
    </w:tbl>
    <w:p w14:paraId="03DD5773">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rPr>
          <w:rFonts w:hint="eastAsia" w:ascii="仿宋_GB2312" w:hAnsi="仿宋_GB2312" w:eastAsia="仿宋_GB2312" w:cs="仿宋_GB2312"/>
          <w:sz w:val="32"/>
          <w:szCs w:val="32"/>
          <w:lang w:val="en-US" w:eastAsia="zh-CN"/>
        </w:rPr>
      </w:pP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622FF"/>
    <w:rsid w:val="09F622FF"/>
    <w:rsid w:val="19726E03"/>
    <w:rsid w:val="2A015918"/>
    <w:rsid w:val="36000BAC"/>
    <w:rsid w:val="40E44F98"/>
    <w:rsid w:val="58C838B7"/>
    <w:rsid w:val="592A4D4B"/>
    <w:rsid w:val="5E0A5CF8"/>
    <w:rsid w:val="61C827FF"/>
    <w:rsid w:val="6DAF11D7"/>
    <w:rsid w:val="6E33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665</Words>
  <Characters>772</Characters>
  <Lines>0</Lines>
  <Paragraphs>0</Paragraphs>
  <TotalTime>2</TotalTime>
  <ScaleCrop>false</ScaleCrop>
  <LinksUpToDate>false</LinksUpToDate>
  <CharactersWithSpaces>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2025-09-29T09:11:00Z</dcterms:created>
  <dc:creator>司承</dc:creator>
  <cp:lastModifiedBy>司承</cp:lastModifiedBy>
  <dcterms:modified xsi:type="dcterms:W3CDTF">2025-09-30T01:00:51Z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459F29BE23564FFA8BCCF3AFD667878E_11</vt:lpwstr>
  </property>
  <property fmtid="{D5CDD505-2E9C-101B-9397-08002B2CF9AE}" pid="4" name="KSOTemplateDocerSaveRecord">
    <vt:lpwstr>eyJoZGlkIjoiN2MyYWJkNDU0ZjA5ZTcxMDRjNzQwZTQ0NTQ3NTYzNzMiLCJ1c2VySWQiOiI0MDA1OTU3ODIifQ==</vt:lpwstr>
  </property>
</Properties>
</file>