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796"/>
        <w:gridCol w:w="3509"/>
        <w:gridCol w:w="4256"/>
      </w:tblGrid>
      <w:tr w14:paraId="7E3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796" w:type="dxa"/>
            <w:vAlign w:val="center"/>
          </w:tcPr>
          <w:p w14:paraId="6B22F221">
            <w:pPr>
              <w:snapToGrid w:val="0"/>
              <w:jc w:val="center"/>
              <w:rPr>
                <w:rFonts w:hint="eastAsia" w:ascii="Calibri" w:eastAsia="宋体"/>
                <w:b/>
                <w:sz w:val="24"/>
                <w:vertAlign w:val="baseline"/>
                <w:lang w:val="en-US" w:eastAsia="zh-CN"/>
              </w:rPr>
            </w:pPr>
            <w:r>
              <w:rPr>
                <w:rFonts w:hint="eastAsia" w:ascii="Calibri" w:eastAsia="宋体"/>
                <w:b/>
                <w:sz w:val="24"/>
                <w:vertAlign w:val="baseline"/>
                <w:lang w:val="en-US" w:eastAsia="zh-CN"/>
              </w:rPr>
              <w:t>序号</w:t>
            </w:r>
          </w:p>
        </w:tc>
        <w:tc>
          <w:tcPr>
            <w:tcW w:w="3509" w:type="dxa"/>
            <w:vAlign w:val="center"/>
          </w:tcPr>
          <w:p w14:paraId="0A09EF36">
            <w:pPr>
              <w:snapToGrid w:val="0"/>
              <w:jc w:val="center"/>
              <w:rPr>
                <w:rFonts w:hint="eastAsia" w:ascii="Calibri" w:eastAsia="宋体"/>
                <w:b/>
                <w:sz w:val="24"/>
                <w:vertAlign w:val="baseline"/>
                <w:lang w:eastAsia="zh-CN"/>
              </w:rPr>
            </w:pPr>
            <w:r>
              <w:rPr>
                <w:rFonts w:hint="eastAsia" w:ascii="Calibri" w:hAnsi="微软雅黑" w:eastAsia="宋体" w:cs="微软雅黑"/>
                <w:b/>
                <w:i w:val="0"/>
                <w:iCs w:val="0"/>
                <w:caps w:val="0"/>
                <w:color w:val="666666"/>
                <w:spacing w:val="0"/>
                <w:sz w:val="24"/>
                <w:szCs w:val="24"/>
                <w:shd w:val="clear" w:fill="FFFFFF"/>
                <w:lang w:eastAsia="zh-CN"/>
              </w:rPr>
              <w:t>行政检查事项名称</w:t>
            </w:r>
          </w:p>
        </w:tc>
        <w:tc>
          <w:tcPr>
            <w:tcW w:w="4256" w:type="dxa"/>
            <w:vAlign w:val="center"/>
          </w:tcPr>
          <w:p w14:paraId="058EA604">
            <w:pPr>
              <w:snapToGrid w:val="0"/>
              <w:jc w:val="center"/>
              <w:rPr>
                <w:rFonts w:hint="eastAsia" w:ascii="Calibri" w:eastAsia="宋体"/>
                <w:b/>
                <w:sz w:val="24"/>
                <w:vertAlign w:val="baseline"/>
                <w:lang w:eastAsia="zh-CN"/>
              </w:rPr>
            </w:pPr>
            <w:r>
              <w:rPr>
                <w:rFonts w:hint="eastAsia" w:ascii="Calibri" w:hAnsi="微软雅黑" w:eastAsia="宋体" w:cs="微软雅黑"/>
                <w:b/>
                <w:i w:val="0"/>
                <w:iCs w:val="0"/>
                <w:caps w:val="0"/>
                <w:color w:val="666666"/>
                <w:spacing w:val="0"/>
                <w:sz w:val="24"/>
                <w:szCs w:val="24"/>
                <w:shd w:val="clear" w:fill="FFFFFF"/>
                <w:lang w:eastAsia="zh-CN"/>
              </w:rPr>
              <w:t>检查依据</w:t>
            </w:r>
          </w:p>
        </w:tc>
      </w:tr>
      <w:tr w14:paraId="77A7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6" w:type="dxa"/>
            <w:vAlign w:val="center"/>
          </w:tcPr>
          <w:p w14:paraId="5A9F3392">
            <w:pPr>
              <w:snapToGrid w:val="0"/>
              <w:jc w:val="left"/>
              <w:rPr>
                <w:rFonts w:hint="eastAsia" w:ascii="微软雅黑" w:eastAsia="微软雅黑"/>
                <w:sz w:val="24"/>
                <w:vertAlign w:val="baseline"/>
                <w:lang w:val="en-US" w:eastAsia="zh-CN"/>
              </w:rPr>
            </w:pPr>
            <w:r>
              <w:rPr>
                <w:rFonts w:hint="eastAsia" w:ascii="微软雅黑" w:hAnsi="微软雅黑" w:eastAsia="微软雅黑" w:cs="微软雅黑"/>
                <w:i w:val="0"/>
                <w:iCs w:val="0"/>
                <w:caps w:val="0"/>
                <w:color w:val="666666"/>
                <w:spacing w:val="0"/>
                <w:sz w:val="24"/>
                <w:szCs w:val="24"/>
                <w:shd w:val="clear" w:fill="FFFFFF"/>
                <w:lang w:val="en-US" w:eastAsia="zh-CN"/>
              </w:rPr>
              <w:t>1</w:t>
            </w:r>
          </w:p>
        </w:tc>
        <w:tc>
          <w:tcPr>
            <w:tcW w:w="3509" w:type="dxa"/>
            <w:vAlign w:val="center"/>
          </w:tcPr>
          <w:p w14:paraId="1CBC4FA4">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本辖区成品油市场的监督检查</w:t>
            </w:r>
          </w:p>
        </w:tc>
        <w:tc>
          <w:tcPr>
            <w:tcW w:w="4256" w:type="dxa"/>
            <w:vAlign w:val="center"/>
          </w:tcPr>
          <w:p w14:paraId="14306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napToGrid w:val="0"/>
              <w:spacing w:before="0" w:beforeAutospacing="0" w:after="0" w:afterAutospacing="0" w:line="30" w:lineRule="atLeast"/>
              <w:ind w:right="0"/>
              <w:jc w:val="left"/>
              <w:rPr>
                <w:rFonts w:hint="eastAsia" w:ascii="微软雅黑" w:hAnsi="微软雅黑" w:eastAsia="微软雅黑" w:cs="微软雅黑"/>
                <w:i w:val="0"/>
                <w:iCs w:val="0"/>
                <w:caps w:val="0"/>
                <w:color w:val="666666"/>
                <w:spacing w:val="0"/>
                <w:sz w:val="24"/>
                <w:szCs w:val="21"/>
              </w:rPr>
            </w:pPr>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《成品油流通管理办法》已经2025年7月21日商务部第22次部务会议审议通过，现予公布，自2025年9月1日起施行。</w:t>
            </w:r>
          </w:p>
          <w:p w14:paraId="1CF8C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napToGrid w:val="0"/>
              <w:spacing w:before="0" w:beforeAutospacing="0" w:after="0" w:afterAutospacing="0" w:line="30" w:lineRule="atLeast"/>
              <w:ind w:right="0"/>
              <w:jc w:val="left"/>
              <w:rPr>
                <w:rFonts w:hint="eastAsia" w:ascii="微软雅黑" w:hAnsi="微软雅黑" w:eastAsia="微软雅黑" w:cs="微软雅黑"/>
                <w:i w:val="0"/>
                <w:iCs w:val="0"/>
                <w:caps w:val="0"/>
                <w:color w:val="666666"/>
                <w:spacing w:val="0"/>
                <w:sz w:val="24"/>
                <w:szCs w:val="21"/>
              </w:rPr>
            </w:pPr>
            <w:bookmarkStart w:id="0" w:name="_GoBack"/>
            <w:bookmarkEnd w:id="0"/>
            <w:r>
              <w:rPr>
                <w:rFonts w:hint="eastAsia" w:ascii="微软雅黑" w:hAnsi="微软雅黑" w:eastAsia="微软雅黑" w:cs="微软雅黑"/>
                <w:i w:val="0"/>
                <w:iCs w:val="0"/>
                <w:caps w:val="0"/>
                <w:color w:val="666666"/>
                <w:spacing w:val="0"/>
                <w:sz w:val="24"/>
                <w:szCs w:val="24"/>
                <w:bdr w:val="none" w:color="auto" w:sz="0" w:space="0"/>
                <w:shd w:val="clear" w:fill="FFFFFF"/>
                <w:lang w:eastAsia="zh-CN"/>
              </w:rPr>
              <w:t>第二十九条  县级以上地方商务主管部门应当按照本办法对本行政区域内成品油经营企业进行监督检查。对检查中发现违反本办法规定的及时查处，并将查处情况向社会公开；对检查中发现涉及其他部门监管职责的，应当通报同级相关部门予以查处。</w:t>
            </w:r>
          </w:p>
          <w:p w14:paraId="263BF31A">
            <w:pPr>
              <w:snapToGrid w:val="0"/>
              <w:jc w:val="left"/>
              <w:rPr>
                <w:rFonts w:ascii="微软雅黑" w:eastAsia="微软雅黑"/>
                <w:sz w:val="24"/>
                <w:vertAlign w:val="baseline"/>
              </w:rPr>
            </w:pPr>
          </w:p>
        </w:tc>
      </w:tr>
      <w:tr w14:paraId="02C5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6" w:type="dxa"/>
            <w:vAlign w:val="center"/>
          </w:tcPr>
          <w:p w14:paraId="3E63632A">
            <w:pPr>
              <w:snapToGrid w:val="0"/>
              <w:jc w:val="left"/>
              <w:rPr>
                <w:rFonts w:hint="eastAsia" w:ascii="微软雅黑" w:eastAsia="微软雅黑"/>
                <w:sz w:val="24"/>
                <w:vertAlign w:val="baseline"/>
                <w:lang w:val="en-US" w:eastAsia="zh-CN"/>
              </w:rPr>
            </w:pPr>
            <w:r>
              <w:rPr>
                <w:rFonts w:hint="eastAsia" w:ascii="微软雅黑" w:hAnsi="微软雅黑" w:eastAsia="微软雅黑" w:cs="微软雅黑"/>
                <w:i w:val="0"/>
                <w:iCs w:val="0"/>
                <w:caps w:val="0"/>
                <w:color w:val="666666"/>
                <w:spacing w:val="0"/>
                <w:sz w:val="24"/>
                <w:szCs w:val="24"/>
                <w:shd w:val="clear" w:fill="FFFFFF"/>
                <w:lang w:val="en-US" w:eastAsia="zh-CN"/>
              </w:rPr>
              <w:t>2</w:t>
            </w:r>
          </w:p>
        </w:tc>
        <w:tc>
          <w:tcPr>
            <w:tcW w:w="3509" w:type="dxa"/>
            <w:vAlign w:val="center"/>
          </w:tcPr>
          <w:p w14:paraId="3D8EAA23">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汽车供应商、经销商、售后服务商的监督检查</w:t>
            </w:r>
          </w:p>
        </w:tc>
        <w:tc>
          <w:tcPr>
            <w:tcW w:w="4256" w:type="dxa"/>
            <w:vAlign w:val="center"/>
          </w:tcPr>
          <w:p w14:paraId="7F8D0AD3">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商务部令2017年第1号《汽车销售管理办法》 第七条第二款：“县级以上地方商务主管部门依据本办法对本行政区域内汽车销售及其相关服务活动进行监督管理。”</w:t>
            </w:r>
          </w:p>
        </w:tc>
      </w:tr>
      <w:tr w14:paraId="64AE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6" w:type="dxa"/>
            <w:vAlign w:val="center"/>
          </w:tcPr>
          <w:p w14:paraId="5A3072F2">
            <w:pPr>
              <w:snapToGrid w:val="0"/>
              <w:jc w:val="left"/>
              <w:rPr>
                <w:rFonts w:hint="eastAsia" w:ascii="微软雅黑" w:eastAsia="微软雅黑"/>
                <w:sz w:val="24"/>
                <w:vertAlign w:val="baseline"/>
                <w:lang w:val="en-US" w:eastAsia="zh-CN"/>
              </w:rPr>
            </w:pPr>
            <w:r>
              <w:rPr>
                <w:rFonts w:hint="eastAsia" w:ascii="微软雅黑" w:hAnsi="微软雅黑" w:eastAsia="微软雅黑" w:cs="微软雅黑"/>
                <w:i w:val="0"/>
                <w:iCs w:val="0"/>
                <w:caps w:val="0"/>
                <w:color w:val="666666"/>
                <w:spacing w:val="0"/>
                <w:sz w:val="24"/>
                <w:szCs w:val="24"/>
                <w:shd w:val="clear" w:fill="FFFFFF"/>
                <w:lang w:val="en-US" w:eastAsia="zh-CN"/>
              </w:rPr>
              <w:t>3</w:t>
            </w:r>
          </w:p>
        </w:tc>
        <w:tc>
          <w:tcPr>
            <w:tcW w:w="3509" w:type="dxa"/>
            <w:vAlign w:val="center"/>
          </w:tcPr>
          <w:p w14:paraId="1B3ACE7A">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报废机动车回收企业的监督检查</w:t>
            </w:r>
          </w:p>
        </w:tc>
        <w:tc>
          <w:tcPr>
            <w:tcW w:w="4256" w:type="dxa"/>
            <w:vAlign w:val="center"/>
          </w:tcPr>
          <w:p w14:paraId="45DFFF6F">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国务院令2019年第715号《报废机动车回收管理办法》第十六条：“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tc>
      </w:tr>
      <w:tr w14:paraId="22D4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6" w:type="dxa"/>
            <w:vAlign w:val="center"/>
          </w:tcPr>
          <w:p w14:paraId="28F254FA">
            <w:pPr>
              <w:snapToGrid w:val="0"/>
              <w:jc w:val="left"/>
              <w:rPr>
                <w:rFonts w:hint="eastAsia" w:ascii="微软雅黑" w:eastAsia="微软雅黑"/>
                <w:sz w:val="24"/>
                <w:vertAlign w:val="baseline"/>
                <w:lang w:val="en-US" w:eastAsia="zh-CN"/>
              </w:rPr>
            </w:pPr>
            <w:r>
              <w:rPr>
                <w:rFonts w:hint="eastAsia" w:ascii="微软雅黑" w:hAnsi="微软雅黑" w:eastAsia="微软雅黑" w:cs="微软雅黑"/>
                <w:i w:val="0"/>
                <w:iCs w:val="0"/>
                <w:caps w:val="0"/>
                <w:color w:val="666666"/>
                <w:spacing w:val="0"/>
                <w:sz w:val="24"/>
                <w:szCs w:val="24"/>
                <w:shd w:val="clear" w:fill="FFFFFF"/>
                <w:lang w:val="en-US" w:eastAsia="zh-CN"/>
              </w:rPr>
              <w:t>4</w:t>
            </w:r>
          </w:p>
        </w:tc>
        <w:tc>
          <w:tcPr>
            <w:tcW w:w="3509" w:type="dxa"/>
            <w:vAlign w:val="center"/>
          </w:tcPr>
          <w:p w14:paraId="7A5AE7DE">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预付卡发卡企业的检查</w:t>
            </w:r>
          </w:p>
        </w:tc>
        <w:tc>
          <w:tcPr>
            <w:tcW w:w="4256" w:type="dxa"/>
            <w:vAlign w:val="center"/>
          </w:tcPr>
          <w:p w14:paraId="56C83651">
            <w:pPr>
              <w:snapToGrid w:val="0"/>
              <w:jc w:val="left"/>
              <w:rPr>
                <w:rFonts w:ascii="微软雅黑" w:eastAsia="微软雅黑"/>
                <w:sz w:val="24"/>
                <w:vertAlign w:val="baseline"/>
              </w:rPr>
            </w:pPr>
            <w:r>
              <w:rPr>
                <w:rFonts w:ascii="微软雅黑" w:hAnsi="微软雅黑" w:eastAsia="微软雅黑" w:cs="微软雅黑"/>
                <w:i w:val="0"/>
                <w:iCs w:val="0"/>
                <w:caps w:val="0"/>
                <w:color w:val="666666"/>
                <w:spacing w:val="0"/>
                <w:sz w:val="24"/>
                <w:szCs w:val="24"/>
                <w:shd w:val="clear" w:fill="FFFFFF"/>
              </w:rPr>
              <w:t>商务部令2012第9号《单用途商业预付卡管理办法》</w:t>
            </w:r>
            <w:r>
              <w:rPr>
                <w:rFonts w:hint="eastAsia" w:ascii="微软雅黑" w:hAnsi="微软雅黑" w:eastAsia="微软雅黑" w:cs="微软雅黑"/>
                <w:i w:val="0"/>
                <w:iCs w:val="0"/>
                <w:caps w:val="0"/>
                <w:color w:val="666666"/>
                <w:spacing w:val="0"/>
                <w:sz w:val="24"/>
                <w:szCs w:val="24"/>
                <w:shd w:val="clear" w:fill="FFFFFF"/>
                <w:lang w:eastAsia="zh-CN"/>
              </w:rPr>
              <w:t>（试行）</w:t>
            </w:r>
            <w:r>
              <w:rPr>
                <w:rFonts w:hint="eastAsia" w:ascii="微软雅黑" w:hAnsi="微软雅黑" w:eastAsia="微软雅黑" w:cs="微软雅黑"/>
                <w:i w:val="0"/>
                <w:iCs w:val="0"/>
                <w:caps w:val="0"/>
                <w:color w:val="666666"/>
                <w:spacing w:val="0"/>
                <w:sz w:val="24"/>
                <w:szCs w:val="24"/>
                <w:shd w:val="clear" w:fill="FFFFFF"/>
              </w:rPr>
              <w:t> 第五条：“商务部负责全国单用途卡行业管理工作。县级以上地方人民政府商务主管部门负责本行政区域内单用途卡监督管理工作。”   第三十三条:“商务部和地方人民政府商务主管部门应对发卡企业和售卡企业的单用途卡业务活动、内部控制和风险状况等进行定期或不定期的现场及非现场检查。发卡企业和售卡企业应配合商务主管部门的检查。”</w:t>
            </w:r>
          </w:p>
        </w:tc>
      </w:tr>
    </w:tbl>
    <w:p w14:paraId="5AD5C1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A357F"/>
    <w:rsid w:val="2FAA3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2025-09-18T01:40:00Z</dcterms:created>
  <dc:creator>i</dc:creator>
  <cp:lastModifiedBy>i</cp:lastModifiedBy>
  <dcterms:modified xsi:type="dcterms:W3CDTF">2025-09-18T01:44:26Z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DFE41CBCF3A34D0193269CC2BBD65351_11</vt:lpwstr>
  </property>
  <property fmtid="{D5CDD505-2E9C-101B-9397-08002B2CF9AE}" pid="4" name="KSOTemplateDocerSaveRecord">
    <vt:lpwstr>eyJoZGlkIjoiNjk5N2FlMjg0MzY4NDcyMjNjNzZmOWNlOWI2ZWEwZTciLCJ1c2VySWQiOiIzMTU4Mzk2OTYifQ==</vt:lpwstr>
  </property>
</Properties>
</file>