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C7788">
      <w:pPr>
        <w:jc w:val="cente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年</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1-3月</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叶县经济运行</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情况</w:t>
      </w:r>
    </w:p>
    <w:p w14:paraId="4D02ABAC">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今年以来，叶县各部门深入贯彻落实习近平新时代中国特色社会主义思想，认真学习贯彻习近平总书记视察河南时的重要讲话精神和党的二十大精神，牢牢把握稳中求进工作总基调，扎实推进高质量发展，全县经济运行保持总体平稳的良好态势。</w:t>
      </w:r>
    </w:p>
    <w:p w14:paraId="1D1CD3BE">
      <w:pPr>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初步核算，一季度全县地区生产总值完成60.48亿元，按可比价格计算，同比增长4.3%。其中，第一产业增加值完成7.74亿元，同比增长3.1%；第二产业增加值完成24.33亿元，同比增长7%；第三产业增加值完成28.41亿元，同比增长2.3%，三次产业比重为12.8:40.2:47。</w:t>
      </w:r>
    </w:p>
    <w:p w14:paraId="1B603507">
      <w:pPr>
        <w:ind w:firstLine="643" w:firstLineChars="200"/>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一、</w:t>
      </w:r>
      <w:r>
        <w:rPr>
          <w:rFonts w:hint="eastAsia" w:ascii="黑体" w:hAnsi="黑体" w:eastAsia="黑体" w:cs="黑体"/>
          <w:b/>
          <w:bCs/>
          <w:color w:val="000000" w:themeColor="text1"/>
          <w:sz w:val="32"/>
          <w:szCs w:val="32"/>
          <w14:textFill>
            <w14:solidFill>
              <w14:schemeClr w14:val="tx1"/>
            </w14:solidFill>
          </w14:textFill>
        </w:rPr>
        <w:t>规模以上工业</w:t>
      </w:r>
    </w:p>
    <w:p w14:paraId="1B8C318E">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规模以上工业增加值同比增长14.2%，高于全市平均增速（6.7%）7.5个百分点。分经济类型看，国有控股企业增加值同比增长13.1%，外商及港澳台商投资企业同比增长18.4%。分轻重工业看，轻工业增加值同比增长27.2%,重工业增加值同比增长10.7%。分企业类型看，大型企业同比增长10.4%，中型企业同比增长20.5%，小型企业同比增长13.8%，微型企业同比增长2.1%。分行业看，制造业增加值同比增长16.5%，占全部规模以上工业增加值比重88.7%。战略性新兴产业增加值同比增长12.8%，占全部规模以上工业增加值比重30%。高新技术产业增加值同比增长11.9%，占全部规模以上工业增加值比重85.8%。</w:t>
      </w:r>
    </w:p>
    <w:p w14:paraId="7CE53F0F">
      <w:pPr>
        <w:ind w:firstLine="643" w:firstLineChars="200"/>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二、</w:t>
      </w:r>
      <w:r>
        <w:rPr>
          <w:rFonts w:hint="eastAsia" w:ascii="黑体" w:hAnsi="黑体" w:eastAsia="黑体" w:cs="黑体"/>
          <w:b/>
          <w:bCs/>
          <w:color w:val="000000" w:themeColor="text1"/>
          <w:sz w:val="32"/>
          <w:szCs w:val="32"/>
          <w14:textFill>
            <w14:solidFill>
              <w14:schemeClr w14:val="tx1"/>
            </w14:solidFill>
          </w14:textFill>
        </w:rPr>
        <w:t>社会消费品零售总额</w:t>
      </w:r>
    </w:p>
    <w:p w14:paraId="02AD1D81">
      <w:pPr>
        <w:ind w:left="0" w:leftChars="0"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社会消费品零售总额完成28.6亿元，同比下降2.1%，低于全市平均增速（-1.8%）0.3个百分点。限额以上企业消费品零售总额完成4.5亿元，同比下降43%，低于全市平均增速（-33.5%）9.5个百分点。批发业销售额完成0.97亿元，同比增长2.4%；零售业销售额完成24.2亿元，同比增长1.2%；住宿业销售额完成0.26亿元，同比增长2.6%；餐饮业销售额完成3.7亿元，同比增长1.9%。</w:t>
      </w:r>
    </w:p>
    <w:p w14:paraId="1B89E7B7">
      <w:pPr>
        <w:ind w:firstLine="643" w:firstLineChars="200"/>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三、</w:t>
      </w:r>
      <w:r>
        <w:rPr>
          <w:rFonts w:hint="eastAsia" w:ascii="黑体" w:hAnsi="黑体" w:eastAsia="黑体" w:cs="黑体"/>
          <w:b/>
          <w:bCs/>
          <w:color w:val="000000" w:themeColor="text1"/>
          <w:sz w:val="32"/>
          <w:szCs w:val="32"/>
          <w14:textFill>
            <w14:solidFill>
              <w14:schemeClr w14:val="tx1"/>
            </w14:solidFill>
          </w14:textFill>
        </w:rPr>
        <w:t>固定资产投资</w:t>
      </w:r>
    </w:p>
    <w:p w14:paraId="5AE95C5B">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全县固定资产投资同比增长9.6%，高于全市平均增速（5.1%）4.5个百分点。其中，工业投资同比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下降19.6%</w:t>
      </w:r>
      <w:r>
        <w:rPr>
          <w:rFonts w:hint="eastAsia" w:ascii="仿宋_GB2312" w:hAnsi="仿宋_GB2312" w:eastAsia="仿宋_GB2312" w:cs="仿宋_GB2312"/>
          <w:color w:val="000000" w:themeColor="text1"/>
          <w:sz w:val="32"/>
          <w:szCs w:val="32"/>
          <w14:textFill>
            <w14:solidFill>
              <w14:schemeClr w14:val="tx1"/>
            </w14:solidFill>
          </w14:textFill>
        </w:rPr>
        <w:t>，房地产开发投资同比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增长125</w:t>
      </w:r>
      <w:r>
        <w:rPr>
          <w:rFonts w:hint="eastAsia" w:ascii="仿宋_GB2312" w:hAnsi="仿宋_GB2312" w:eastAsia="仿宋_GB2312" w:cs="仿宋_GB2312"/>
          <w:color w:val="000000" w:themeColor="text1"/>
          <w:sz w:val="32"/>
          <w:szCs w:val="32"/>
          <w14:textFill>
            <w14:solidFill>
              <w14:schemeClr w14:val="tx1"/>
            </w14:solidFill>
          </w14:textFill>
        </w:rPr>
        <w:t>%，基础设施投资同比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增长236.7</w:t>
      </w:r>
      <w:r>
        <w:rPr>
          <w:rFonts w:hint="eastAsia" w:ascii="仿宋_GB2312" w:hAnsi="仿宋_GB2312" w:eastAsia="仿宋_GB2312" w:cs="仿宋_GB2312"/>
          <w:color w:val="000000" w:themeColor="text1"/>
          <w:sz w:val="32"/>
          <w:szCs w:val="32"/>
          <w14:textFill>
            <w14:solidFill>
              <w14:schemeClr w14:val="tx1"/>
            </w14:solidFill>
          </w14:textFill>
        </w:rPr>
        <w:t>%,民间投资同比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下降46</w:t>
      </w:r>
      <w:r>
        <w:rPr>
          <w:rFonts w:hint="eastAsia" w:ascii="仿宋_GB2312" w:hAnsi="仿宋_GB2312" w:eastAsia="仿宋_GB2312" w:cs="仿宋_GB2312"/>
          <w:color w:val="000000" w:themeColor="text1"/>
          <w:sz w:val="32"/>
          <w:szCs w:val="32"/>
          <w14:textFill>
            <w14:solidFill>
              <w14:schemeClr w14:val="tx1"/>
            </w14:solidFill>
          </w14:textFill>
        </w:rPr>
        <w:t>%。工业企业技术改造项目同比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下降40.4</w:t>
      </w:r>
      <w:r>
        <w:rPr>
          <w:rFonts w:hint="eastAsia" w:ascii="仿宋_GB2312" w:hAnsi="仿宋_GB2312" w:eastAsia="仿宋_GB2312" w:cs="仿宋_GB2312"/>
          <w:color w:val="000000" w:themeColor="text1"/>
          <w:sz w:val="32"/>
          <w:szCs w:val="32"/>
          <w14:textFill>
            <w14:solidFill>
              <w14:schemeClr w14:val="tx1"/>
            </w14:solidFill>
          </w14:textFill>
        </w:rPr>
        <w:t>%。分产业看，第一产业投资本期为零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同比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下降100</w:t>
      </w:r>
      <w:r>
        <w:rPr>
          <w:rFonts w:hint="eastAsia" w:ascii="仿宋_GB2312" w:hAnsi="仿宋_GB2312" w:eastAsia="仿宋_GB2312" w:cs="仿宋_GB2312"/>
          <w:color w:val="000000" w:themeColor="text1"/>
          <w:sz w:val="32"/>
          <w:szCs w:val="32"/>
          <w14:textFill>
            <w14:solidFill>
              <w14:schemeClr w14:val="tx1"/>
            </w14:solidFill>
          </w14:textFill>
        </w:rPr>
        <w:t>%。第二产业投资同比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下降21.9</w:t>
      </w:r>
      <w:r>
        <w:rPr>
          <w:rFonts w:hint="eastAsia" w:ascii="仿宋_GB2312" w:hAnsi="仿宋_GB2312" w:eastAsia="仿宋_GB2312" w:cs="仿宋_GB2312"/>
          <w:color w:val="000000" w:themeColor="text1"/>
          <w:sz w:val="32"/>
          <w:szCs w:val="32"/>
          <w14:textFill>
            <w14:solidFill>
              <w14:schemeClr w14:val="tx1"/>
            </w14:solidFill>
          </w14:textFill>
        </w:rPr>
        <w:t>%，占全县投资比重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61.6</w:t>
      </w:r>
      <w:r>
        <w:rPr>
          <w:rFonts w:hint="eastAsia" w:ascii="仿宋_GB2312" w:hAnsi="仿宋_GB2312" w:eastAsia="仿宋_GB2312" w:cs="仿宋_GB2312"/>
          <w:color w:val="000000" w:themeColor="text1"/>
          <w:sz w:val="32"/>
          <w:szCs w:val="32"/>
          <w14:textFill>
            <w14:solidFill>
              <w14:schemeClr w14:val="tx1"/>
            </w14:solidFill>
          </w14:textFill>
        </w:rPr>
        <w:t>%。第三产业投资同比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增长234.6</w:t>
      </w:r>
      <w:r>
        <w:rPr>
          <w:rFonts w:hint="eastAsia" w:ascii="仿宋_GB2312" w:hAnsi="仿宋_GB2312" w:eastAsia="仿宋_GB2312" w:cs="仿宋_GB2312"/>
          <w:color w:val="000000" w:themeColor="text1"/>
          <w:sz w:val="32"/>
          <w:szCs w:val="32"/>
          <w14:textFill>
            <w14:solidFill>
              <w14:schemeClr w14:val="tx1"/>
            </w14:solidFill>
          </w14:textFill>
        </w:rPr>
        <w:t>%，占全县投资比重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38.4</w:t>
      </w:r>
      <w:r>
        <w:rPr>
          <w:rFonts w:hint="eastAsia" w:ascii="仿宋_GB2312" w:hAnsi="仿宋_GB2312" w:eastAsia="仿宋_GB2312" w:cs="仿宋_GB2312"/>
          <w:color w:val="000000" w:themeColor="text1"/>
          <w:sz w:val="32"/>
          <w:szCs w:val="32"/>
          <w14:textFill>
            <w14:solidFill>
              <w14:schemeClr w14:val="tx1"/>
            </w14:solidFill>
          </w14:textFill>
        </w:rPr>
        <w:t>%。</w:t>
      </w:r>
    </w:p>
    <w:p w14:paraId="1095B5F8">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叶县先进制造业开发区同比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下降7.5</w:t>
      </w:r>
      <w:r>
        <w:rPr>
          <w:rFonts w:hint="eastAsia" w:ascii="仿宋_GB2312" w:hAnsi="仿宋_GB2312" w:eastAsia="仿宋_GB2312" w:cs="仿宋_GB2312"/>
          <w:color w:val="000000" w:themeColor="text1"/>
          <w:sz w:val="32"/>
          <w:szCs w:val="32"/>
          <w14:textFill>
            <w14:solidFill>
              <w14:schemeClr w14:val="tx1"/>
            </w14:solidFill>
          </w14:textFill>
        </w:rPr>
        <w:t>%。平顶山尼龙新材料开发区同比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下降19.5</w:t>
      </w:r>
      <w:r>
        <w:rPr>
          <w:rFonts w:hint="eastAsia" w:ascii="仿宋_GB2312" w:hAnsi="仿宋_GB2312" w:eastAsia="仿宋_GB2312" w:cs="仿宋_GB2312"/>
          <w:color w:val="000000" w:themeColor="text1"/>
          <w:sz w:val="32"/>
          <w:szCs w:val="32"/>
          <w14:textFill>
            <w14:solidFill>
              <w14:schemeClr w14:val="tx1"/>
            </w14:solidFill>
          </w14:textFill>
        </w:rPr>
        <w:t>%。</w:t>
      </w:r>
    </w:p>
    <w:p w14:paraId="464E7F14">
      <w:pPr>
        <w:ind w:firstLine="643" w:firstLineChars="200"/>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四</w:t>
      </w:r>
      <w:r>
        <w:rPr>
          <w:rFonts w:hint="eastAsia" w:ascii="黑体" w:hAnsi="黑体" w:eastAsia="黑体" w:cs="黑体"/>
          <w:b/>
          <w:bCs/>
          <w:color w:val="000000" w:themeColor="text1"/>
          <w:sz w:val="32"/>
          <w:szCs w:val="32"/>
          <w14:textFill>
            <w14:solidFill>
              <w14:schemeClr w14:val="tx1"/>
            </w14:solidFill>
          </w14:textFill>
        </w:rPr>
        <w:t>、规上</w:t>
      </w:r>
      <w:r>
        <w:rPr>
          <w:rFonts w:hint="eastAsia" w:ascii="黑体" w:hAnsi="黑体" w:eastAsia="黑体" w:cs="黑体"/>
          <w:b/>
          <w:bCs/>
          <w:color w:val="000000" w:themeColor="text1"/>
          <w:sz w:val="32"/>
          <w:szCs w:val="32"/>
          <w:lang w:val="en-US" w:eastAsia="zh-CN"/>
          <w14:textFill>
            <w14:solidFill>
              <w14:schemeClr w14:val="tx1"/>
            </w14:solidFill>
          </w14:textFill>
        </w:rPr>
        <w:t>企业</w:t>
      </w:r>
      <w:r>
        <w:rPr>
          <w:rFonts w:hint="eastAsia" w:ascii="黑体" w:hAnsi="黑体" w:eastAsia="黑体" w:cs="黑体"/>
          <w:b/>
          <w:bCs/>
          <w:color w:val="000000" w:themeColor="text1"/>
          <w:sz w:val="32"/>
          <w:szCs w:val="32"/>
          <w14:textFill>
            <w14:solidFill>
              <w14:schemeClr w14:val="tx1"/>
            </w14:solidFill>
          </w14:textFill>
        </w:rPr>
        <w:t>、投资法人单位在库及入库情况</w:t>
      </w:r>
    </w:p>
    <w:p w14:paraId="11968739">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截止3月末，</w:t>
      </w:r>
      <w:r>
        <w:rPr>
          <w:rFonts w:hint="eastAsia" w:ascii="仿宋_GB2312" w:hAnsi="仿宋_GB2312" w:eastAsia="仿宋_GB2312" w:cs="仿宋_GB2312"/>
          <w:color w:val="000000" w:themeColor="text1"/>
          <w:sz w:val="32"/>
          <w:szCs w:val="32"/>
          <w14:textFill>
            <w14:solidFill>
              <w14:schemeClr w14:val="tx1"/>
            </w14:solidFill>
          </w14:textFill>
        </w:rPr>
        <w:t>规上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w:t>
      </w:r>
      <w:r>
        <w:rPr>
          <w:rFonts w:hint="eastAsia" w:ascii="仿宋_GB2312" w:hAnsi="仿宋_GB2312" w:eastAsia="仿宋_GB2312" w:cs="仿宋_GB2312"/>
          <w:color w:val="000000" w:themeColor="text1"/>
          <w:sz w:val="32"/>
          <w:szCs w:val="32"/>
          <w14:textFill>
            <w14:solidFill>
              <w14:schemeClr w14:val="tx1"/>
            </w14:solidFill>
          </w14:textFill>
        </w:rPr>
        <w:t>在库合计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397</w:t>
      </w:r>
      <w:r>
        <w:rPr>
          <w:rFonts w:hint="eastAsia" w:ascii="仿宋_GB2312" w:hAnsi="仿宋_GB2312" w:eastAsia="仿宋_GB2312" w:cs="仿宋_GB2312"/>
          <w:color w:val="000000" w:themeColor="text1"/>
          <w:sz w:val="32"/>
          <w:szCs w:val="32"/>
          <w14:textFill>
            <w14:solidFill>
              <w14:schemeClr w14:val="tx1"/>
            </w14:solidFill>
          </w14:textFill>
        </w:rPr>
        <w:t>个。其中，工业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124</w:t>
      </w:r>
      <w:r>
        <w:rPr>
          <w:rFonts w:hint="eastAsia" w:ascii="仿宋_GB2312" w:hAnsi="仿宋_GB2312" w:eastAsia="仿宋_GB2312" w:cs="仿宋_GB2312"/>
          <w:color w:val="000000" w:themeColor="text1"/>
          <w:sz w:val="32"/>
          <w:szCs w:val="32"/>
          <w14:textFill>
            <w14:solidFill>
              <w14:schemeClr w14:val="tx1"/>
            </w14:solidFill>
          </w14:textFill>
        </w:rPr>
        <w:t>个，建筑业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个，批零住餐业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145</w:t>
      </w:r>
      <w:r>
        <w:rPr>
          <w:rFonts w:hint="eastAsia" w:ascii="仿宋_GB2312" w:hAnsi="仿宋_GB2312" w:eastAsia="仿宋_GB2312" w:cs="仿宋_GB2312"/>
          <w:color w:val="000000" w:themeColor="text1"/>
          <w:sz w:val="32"/>
          <w:szCs w:val="32"/>
          <w14:textFill>
            <w14:solidFill>
              <w14:schemeClr w14:val="tx1"/>
            </w14:solidFill>
          </w14:textFill>
        </w:rPr>
        <w:t>个，服务业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45</w:t>
      </w:r>
      <w:r>
        <w:rPr>
          <w:rFonts w:hint="eastAsia" w:ascii="仿宋_GB2312" w:hAnsi="仿宋_GB2312" w:eastAsia="仿宋_GB2312" w:cs="仿宋_GB2312"/>
          <w:color w:val="000000" w:themeColor="text1"/>
          <w:sz w:val="32"/>
          <w:szCs w:val="32"/>
          <w14:textFill>
            <w14:solidFill>
              <w14:schemeClr w14:val="tx1"/>
            </w14:solidFill>
          </w14:textFill>
        </w:rPr>
        <w:t>个，房地产业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53</w:t>
      </w:r>
      <w:r>
        <w:rPr>
          <w:rFonts w:hint="eastAsia" w:ascii="仿宋_GB2312" w:hAnsi="仿宋_GB2312" w:eastAsia="仿宋_GB2312" w:cs="仿宋_GB2312"/>
          <w:color w:val="000000" w:themeColor="text1"/>
          <w:sz w:val="32"/>
          <w:szCs w:val="32"/>
          <w14:textFill>
            <w14:solidFill>
              <w14:schemeClr w14:val="tx1"/>
            </w14:solidFill>
          </w14:textFill>
        </w:rPr>
        <w:t>个。投资项目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个。</w:t>
      </w:r>
    </w:p>
    <w:p w14:paraId="0B3F8C31">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新增入库规上企业16个，其中，工业5个，批零住餐业10个，服务业1个。新增</w:t>
      </w:r>
      <w:r>
        <w:rPr>
          <w:rFonts w:hint="eastAsia" w:ascii="仿宋_GB2312" w:hAnsi="仿宋_GB2312" w:eastAsia="仿宋_GB2312" w:cs="仿宋_GB2312"/>
          <w:color w:val="000000" w:themeColor="text1"/>
          <w:sz w:val="32"/>
          <w:szCs w:val="32"/>
          <w14:textFill>
            <w14:solidFill>
              <w14:schemeClr w14:val="tx1"/>
            </w14:solidFill>
          </w14:textFill>
        </w:rPr>
        <w:t>投资项目入库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个</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不含房地产</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14:paraId="16F3C3D5">
      <w:pPr>
        <w:ind w:firstLine="643" w:firstLineChars="200"/>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五、</w:t>
      </w:r>
      <w:r>
        <w:rPr>
          <w:rFonts w:hint="eastAsia" w:ascii="黑体" w:hAnsi="黑体" w:eastAsia="黑体" w:cs="黑体"/>
          <w:b/>
          <w:bCs/>
          <w:color w:val="000000" w:themeColor="text1"/>
          <w:sz w:val="32"/>
          <w:szCs w:val="32"/>
          <w14:textFill>
            <w14:solidFill>
              <w14:schemeClr w14:val="tx1"/>
            </w14:solidFill>
          </w14:textFill>
        </w:rPr>
        <w:t>财政收支</w:t>
      </w:r>
    </w:p>
    <w:p w14:paraId="1D8C4A85">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全县财政收入累计完成5.7亿元，同比增长12.8%。一般公共预算收入累计完成4.8亿元，同比增长4.7%,高于全市平均增速（4.1%）0.6个百分点</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中，税收收入累计完成4.1亿元，同比增长20%，非税收入累计完成0.75亿元，同比下降38.1%，税收占一般公共预算收入的比重为84.5%。财政支出累计完成16.9亿元，同比增长1%，一般公共预算支出累计完成13.2亿元，同比下降1.5%。</w:t>
      </w:r>
    </w:p>
    <w:p w14:paraId="453CCC96">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总的来看，叶县经济运行总体平稳、持续向好，但经济回升向好的基础仍需进一步夯实。下一步，全县上下将深入贯彻党的二十大精神，坚持稳中求进、以进促稳，聚焦目标任务，细化工作举措，加快补齐短板弱项，持续推动经济实现质的有效提升和量的合理增长。</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B03D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C4761">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5C4761">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MmFkY2YyYTQxYzEyODllMGRkNzM3NGU1Y2VhYmIifQ=="/>
  </w:docVars>
  <w:rsids>
    <w:rsidRoot w:val="27B866FB"/>
    <w:rsid w:val="000216D8"/>
    <w:rsid w:val="0002480F"/>
    <w:rsid w:val="00272850"/>
    <w:rsid w:val="003D4663"/>
    <w:rsid w:val="00A174E2"/>
    <w:rsid w:val="00F53DE8"/>
    <w:rsid w:val="01062EEC"/>
    <w:rsid w:val="010E6411"/>
    <w:rsid w:val="022E553A"/>
    <w:rsid w:val="026438AB"/>
    <w:rsid w:val="026D49E0"/>
    <w:rsid w:val="02A35876"/>
    <w:rsid w:val="031C07A5"/>
    <w:rsid w:val="033D596B"/>
    <w:rsid w:val="038A1948"/>
    <w:rsid w:val="03A42634"/>
    <w:rsid w:val="04DD3F64"/>
    <w:rsid w:val="04F35535"/>
    <w:rsid w:val="051A02E8"/>
    <w:rsid w:val="05355B4E"/>
    <w:rsid w:val="053C512E"/>
    <w:rsid w:val="059D7E63"/>
    <w:rsid w:val="05B84D2F"/>
    <w:rsid w:val="05BB7C0A"/>
    <w:rsid w:val="069D7E4F"/>
    <w:rsid w:val="06B064AD"/>
    <w:rsid w:val="06F00E25"/>
    <w:rsid w:val="073F557B"/>
    <w:rsid w:val="074C3435"/>
    <w:rsid w:val="0761040A"/>
    <w:rsid w:val="07A56FBB"/>
    <w:rsid w:val="07B264DD"/>
    <w:rsid w:val="07FB6BDB"/>
    <w:rsid w:val="084F6F27"/>
    <w:rsid w:val="08F31FA8"/>
    <w:rsid w:val="09032C47"/>
    <w:rsid w:val="092E1232"/>
    <w:rsid w:val="095347F5"/>
    <w:rsid w:val="09644C54"/>
    <w:rsid w:val="09B31E32"/>
    <w:rsid w:val="09B42E8B"/>
    <w:rsid w:val="09EC7123"/>
    <w:rsid w:val="0B1C7C8B"/>
    <w:rsid w:val="0B303DB8"/>
    <w:rsid w:val="0BB36EDB"/>
    <w:rsid w:val="0BE36304"/>
    <w:rsid w:val="0C430B50"/>
    <w:rsid w:val="0C9B3772"/>
    <w:rsid w:val="0CBF7E62"/>
    <w:rsid w:val="0CFA3905"/>
    <w:rsid w:val="0D8A27C9"/>
    <w:rsid w:val="0EE859DF"/>
    <w:rsid w:val="0FAB0DB8"/>
    <w:rsid w:val="0FEB39D9"/>
    <w:rsid w:val="10740C63"/>
    <w:rsid w:val="10A23700"/>
    <w:rsid w:val="10AB148B"/>
    <w:rsid w:val="10AF3DB8"/>
    <w:rsid w:val="10D66437"/>
    <w:rsid w:val="115E033A"/>
    <w:rsid w:val="11716160"/>
    <w:rsid w:val="11BA07BE"/>
    <w:rsid w:val="126D4942"/>
    <w:rsid w:val="127F48AC"/>
    <w:rsid w:val="129A530E"/>
    <w:rsid w:val="1371364F"/>
    <w:rsid w:val="13785584"/>
    <w:rsid w:val="141C1D14"/>
    <w:rsid w:val="147B1DF7"/>
    <w:rsid w:val="149158A9"/>
    <w:rsid w:val="15237771"/>
    <w:rsid w:val="15453B8B"/>
    <w:rsid w:val="155A2696"/>
    <w:rsid w:val="15A50AB1"/>
    <w:rsid w:val="15DF46AE"/>
    <w:rsid w:val="16111742"/>
    <w:rsid w:val="16D57191"/>
    <w:rsid w:val="16E1534A"/>
    <w:rsid w:val="175B2428"/>
    <w:rsid w:val="17EE050A"/>
    <w:rsid w:val="17F774F0"/>
    <w:rsid w:val="180B37EA"/>
    <w:rsid w:val="189A0812"/>
    <w:rsid w:val="18BA36DA"/>
    <w:rsid w:val="1927744C"/>
    <w:rsid w:val="19783929"/>
    <w:rsid w:val="1980590A"/>
    <w:rsid w:val="19EF056A"/>
    <w:rsid w:val="1A18361C"/>
    <w:rsid w:val="1A2147ED"/>
    <w:rsid w:val="1B5D47BC"/>
    <w:rsid w:val="1B7156DA"/>
    <w:rsid w:val="1B896009"/>
    <w:rsid w:val="1BEB1EB0"/>
    <w:rsid w:val="1D9A5968"/>
    <w:rsid w:val="1E282143"/>
    <w:rsid w:val="1EA850C4"/>
    <w:rsid w:val="1F1D3483"/>
    <w:rsid w:val="1FAA740D"/>
    <w:rsid w:val="20424F77"/>
    <w:rsid w:val="21586366"/>
    <w:rsid w:val="21AB121A"/>
    <w:rsid w:val="221A4CD6"/>
    <w:rsid w:val="228F4698"/>
    <w:rsid w:val="23635E1A"/>
    <w:rsid w:val="23722DA3"/>
    <w:rsid w:val="23F944BF"/>
    <w:rsid w:val="2480698E"/>
    <w:rsid w:val="24DD66A7"/>
    <w:rsid w:val="24E261BC"/>
    <w:rsid w:val="253A4D8F"/>
    <w:rsid w:val="26B97F35"/>
    <w:rsid w:val="26F373E6"/>
    <w:rsid w:val="272A2BE1"/>
    <w:rsid w:val="274C6FFB"/>
    <w:rsid w:val="27785126"/>
    <w:rsid w:val="2790513A"/>
    <w:rsid w:val="27B866FB"/>
    <w:rsid w:val="287C7AB4"/>
    <w:rsid w:val="28E5328D"/>
    <w:rsid w:val="2A41492E"/>
    <w:rsid w:val="2A9C0E1D"/>
    <w:rsid w:val="2ACD69F9"/>
    <w:rsid w:val="2B084FE7"/>
    <w:rsid w:val="2B353333"/>
    <w:rsid w:val="2B367DA6"/>
    <w:rsid w:val="2B7C236D"/>
    <w:rsid w:val="2B9066BD"/>
    <w:rsid w:val="2BA2543C"/>
    <w:rsid w:val="2BEC4909"/>
    <w:rsid w:val="2BF314F3"/>
    <w:rsid w:val="2C445EDF"/>
    <w:rsid w:val="2CEB696E"/>
    <w:rsid w:val="2D4A2E38"/>
    <w:rsid w:val="2DFB4EDC"/>
    <w:rsid w:val="2E2A1718"/>
    <w:rsid w:val="2E4432E7"/>
    <w:rsid w:val="2E4E13B4"/>
    <w:rsid w:val="2EA84704"/>
    <w:rsid w:val="2FC1022D"/>
    <w:rsid w:val="303A604D"/>
    <w:rsid w:val="305B3E0B"/>
    <w:rsid w:val="306A22A0"/>
    <w:rsid w:val="30BF4DDE"/>
    <w:rsid w:val="30E56588"/>
    <w:rsid w:val="31101099"/>
    <w:rsid w:val="31273E2B"/>
    <w:rsid w:val="313F641B"/>
    <w:rsid w:val="32FC0EAF"/>
    <w:rsid w:val="331F2E53"/>
    <w:rsid w:val="335F1E64"/>
    <w:rsid w:val="3370189C"/>
    <w:rsid w:val="34257CAC"/>
    <w:rsid w:val="34F7058F"/>
    <w:rsid w:val="354D466A"/>
    <w:rsid w:val="354E03E2"/>
    <w:rsid w:val="359C114E"/>
    <w:rsid w:val="35A3428A"/>
    <w:rsid w:val="36013FBD"/>
    <w:rsid w:val="362058DB"/>
    <w:rsid w:val="365B6913"/>
    <w:rsid w:val="37691503"/>
    <w:rsid w:val="37D518C8"/>
    <w:rsid w:val="381C47C8"/>
    <w:rsid w:val="382B2ED5"/>
    <w:rsid w:val="384855BD"/>
    <w:rsid w:val="384A4E91"/>
    <w:rsid w:val="38997BC6"/>
    <w:rsid w:val="389D76B7"/>
    <w:rsid w:val="38DB461D"/>
    <w:rsid w:val="392A6A70"/>
    <w:rsid w:val="397C5542"/>
    <w:rsid w:val="3A2A6694"/>
    <w:rsid w:val="3A4F678F"/>
    <w:rsid w:val="3AE25855"/>
    <w:rsid w:val="3B440988"/>
    <w:rsid w:val="3B4564F3"/>
    <w:rsid w:val="3BAE1BDB"/>
    <w:rsid w:val="3BE949C1"/>
    <w:rsid w:val="3BFD1385"/>
    <w:rsid w:val="3C8E3EA3"/>
    <w:rsid w:val="3C9056B7"/>
    <w:rsid w:val="3C94492D"/>
    <w:rsid w:val="3CA562E6"/>
    <w:rsid w:val="3CD9251F"/>
    <w:rsid w:val="3D242985"/>
    <w:rsid w:val="3D4D0C83"/>
    <w:rsid w:val="3E71476B"/>
    <w:rsid w:val="3EB219E2"/>
    <w:rsid w:val="3F483491"/>
    <w:rsid w:val="3FB23E1A"/>
    <w:rsid w:val="3FB452E6"/>
    <w:rsid w:val="409A40B5"/>
    <w:rsid w:val="40DA56D9"/>
    <w:rsid w:val="4105404B"/>
    <w:rsid w:val="41C45EC5"/>
    <w:rsid w:val="41CC4B69"/>
    <w:rsid w:val="42E67EAC"/>
    <w:rsid w:val="43003913"/>
    <w:rsid w:val="4335673E"/>
    <w:rsid w:val="43564D6D"/>
    <w:rsid w:val="437152C3"/>
    <w:rsid w:val="43F75BE4"/>
    <w:rsid w:val="43F919F5"/>
    <w:rsid w:val="44906321"/>
    <w:rsid w:val="452C4845"/>
    <w:rsid w:val="45BF649C"/>
    <w:rsid w:val="463448BA"/>
    <w:rsid w:val="464F13A7"/>
    <w:rsid w:val="4652669D"/>
    <w:rsid w:val="4737477B"/>
    <w:rsid w:val="47394A4E"/>
    <w:rsid w:val="479B3C42"/>
    <w:rsid w:val="4843326B"/>
    <w:rsid w:val="487877F8"/>
    <w:rsid w:val="488F069E"/>
    <w:rsid w:val="48904B56"/>
    <w:rsid w:val="49246C51"/>
    <w:rsid w:val="49B52386"/>
    <w:rsid w:val="4A9A47CE"/>
    <w:rsid w:val="4A9E07C7"/>
    <w:rsid w:val="4AAE66B7"/>
    <w:rsid w:val="4B0836CE"/>
    <w:rsid w:val="4B287959"/>
    <w:rsid w:val="4B3043BA"/>
    <w:rsid w:val="4B986BFD"/>
    <w:rsid w:val="4BD50ABE"/>
    <w:rsid w:val="4BF01AFE"/>
    <w:rsid w:val="4BF128BB"/>
    <w:rsid w:val="4C2A2BB8"/>
    <w:rsid w:val="4C330EE4"/>
    <w:rsid w:val="4D1C3D99"/>
    <w:rsid w:val="4D4B1161"/>
    <w:rsid w:val="4DFA73FA"/>
    <w:rsid w:val="4F4E0610"/>
    <w:rsid w:val="4FB215D0"/>
    <w:rsid w:val="50A0169A"/>
    <w:rsid w:val="50FF5AB4"/>
    <w:rsid w:val="519C3EC5"/>
    <w:rsid w:val="5244074B"/>
    <w:rsid w:val="531C7C5F"/>
    <w:rsid w:val="53CA4C80"/>
    <w:rsid w:val="53E977FC"/>
    <w:rsid w:val="541E1EBA"/>
    <w:rsid w:val="543547EF"/>
    <w:rsid w:val="545624D3"/>
    <w:rsid w:val="545E5942"/>
    <w:rsid w:val="55717CD6"/>
    <w:rsid w:val="558477DD"/>
    <w:rsid w:val="571B5F1F"/>
    <w:rsid w:val="575F6AA5"/>
    <w:rsid w:val="578D5A52"/>
    <w:rsid w:val="579F0027"/>
    <w:rsid w:val="586450E2"/>
    <w:rsid w:val="58704048"/>
    <w:rsid w:val="58D77C23"/>
    <w:rsid w:val="594436D4"/>
    <w:rsid w:val="5998713C"/>
    <w:rsid w:val="5A902780"/>
    <w:rsid w:val="5AEB347A"/>
    <w:rsid w:val="5C5D34BE"/>
    <w:rsid w:val="5C8956D8"/>
    <w:rsid w:val="5CB5220A"/>
    <w:rsid w:val="5CCF02E3"/>
    <w:rsid w:val="5D7047D5"/>
    <w:rsid w:val="5DAD53F7"/>
    <w:rsid w:val="5E266145"/>
    <w:rsid w:val="5E7952BC"/>
    <w:rsid w:val="5EE4753E"/>
    <w:rsid w:val="5F803436"/>
    <w:rsid w:val="5F8605F5"/>
    <w:rsid w:val="5FC82AED"/>
    <w:rsid w:val="60913656"/>
    <w:rsid w:val="60925A9F"/>
    <w:rsid w:val="614F22CC"/>
    <w:rsid w:val="61764A40"/>
    <w:rsid w:val="61D254B8"/>
    <w:rsid w:val="627B3D15"/>
    <w:rsid w:val="628726BA"/>
    <w:rsid w:val="63123361"/>
    <w:rsid w:val="632A3AC1"/>
    <w:rsid w:val="635F42CD"/>
    <w:rsid w:val="637B3DDE"/>
    <w:rsid w:val="649B244D"/>
    <w:rsid w:val="64DA3A74"/>
    <w:rsid w:val="650A5332"/>
    <w:rsid w:val="652C7549"/>
    <w:rsid w:val="65562818"/>
    <w:rsid w:val="659A2704"/>
    <w:rsid w:val="66080C44"/>
    <w:rsid w:val="66140709"/>
    <w:rsid w:val="675608AD"/>
    <w:rsid w:val="682E169E"/>
    <w:rsid w:val="683F3A37"/>
    <w:rsid w:val="688651C2"/>
    <w:rsid w:val="689A0C6D"/>
    <w:rsid w:val="68B860A6"/>
    <w:rsid w:val="68F91E38"/>
    <w:rsid w:val="69A842DD"/>
    <w:rsid w:val="69F54938"/>
    <w:rsid w:val="69F60125"/>
    <w:rsid w:val="6A435730"/>
    <w:rsid w:val="6A9A31A7"/>
    <w:rsid w:val="6B482C03"/>
    <w:rsid w:val="6BA22823"/>
    <w:rsid w:val="6C1337E0"/>
    <w:rsid w:val="6D6E3B2D"/>
    <w:rsid w:val="6D787CA5"/>
    <w:rsid w:val="6E1C37E3"/>
    <w:rsid w:val="6E492FEB"/>
    <w:rsid w:val="6E7B75BF"/>
    <w:rsid w:val="6EDC35ED"/>
    <w:rsid w:val="6FAF3250"/>
    <w:rsid w:val="70860455"/>
    <w:rsid w:val="708B5A6B"/>
    <w:rsid w:val="70A92D28"/>
    <w:rsid w:val="710F579B"/>
    <w:rsid w:val="71B13A1A"/>
    <w:rsid w:val="71D92F67"/>
    <w:rsid w:val="71F51230"/>
    <w:rsid w:val="72203DF9"/>
    <w:rsid w:val="722E3AC4"/>
    <w:rsid w:val="7252074F"/>
    <w:rsid w:val="729036DC"/>
    <w:rsid w:val="73786310"/>
    <w:rsid w:val="73DC038C"/>
    <w:rsid w:val="746E4368"/>
    <w:rsid w:val="748D4987"/>
    <w:rsid w:val="75B32295"/>
    <w:rsid w:val="76BB2A9F"/>
    <w:rsid w:val="76C43A85"/>
    <w:rsid w:val="77A318EC"/>
    <w:rsid w:val="77E67A2B"/>
    <w:rsid w:val="77ED2B68"/>
    <w:rsid w:val="77F526FB"/>
    <w:rsid w:val="77FC2DAB"/>
    <w:rsid w:val="780600CD"/>
    <w:rsid w:val="79256331"/>
    <w:rsid w:val="79393B8B"/>
    <w:rsid w:val="79A12094"/>
    <w:rsid w:val="7A2F78D2"/>
    <w:rsid w:val="7A810C91"/>
    <w:rsid w:val="7AE83ABA"/>
    <w:rsid w:val="7AEA5A84"/>
    <w:rsid w:val="7B1C4E34"/>
    <w:rsid w:val="7B3502BB"/>
    <w:rsid w:val="7B51165F"/>
    <w:rsid w:val="7C3A6597"/>
    <w:rsid w:val="7C6F6A70"/>
    <w:rsid w:val="7CD82038"/>
    <w:rsid w:val="7CE309DD"/>
    <w:rsid w:val="7D1E3873"/>
    <w:rsid w:val="7D40373A"/>
    <w:rsid w:val="7E9A50CB"/>
    <w:rsid w:val="7F3A0764"/>
    <w:rsid w:val="7F424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1524</Words>
  <Characters>1934</Characters>
  <Lines>0</Lines>
  <Paragraphs>0</Paragraphs>
  <TotalTime>272</TotalTime>
  <ScaleCrop>false</ScaleCrop>
  <LinksUpToDate>false</LinksUpToDate>
  <CharactersWithSpaces>1934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2023-02-07T14:13:00Z</dcterms:created>
  <dc:creator>得未曾有</dc:creator>
  <cp:lastModifiedBy>得未曾有</cp:lastModifiedBy>
  <cp:lastPrinted>2023-02-08T01:52:00Z</cp:lastPrinted>
  <dcterms:modified xsi:type="dcterms:W3CDTF">2026-04-27T01:49:21Z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4C27DFB1AD7F43718C040C2D5EA2F719</vt:lpwstr>
  </property>
  <property fmtid="{D5CDD505-2E9C-101B-9397-08002B2CF9AE}" pid="4" name="KSOTemplateDocerSaveRecord">
    <vt:lpwstr>eyJoZGlkIjoiNDk2MmFkY2YyYTQxYzEyODllMGRkNzM3NGU1Y2VhYmIiLCJ1c2VySWQiOiI1MjY5OTExMDIifQ==</vt:lpwstr>
  </property>
</Properties>
</file>