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9090" w:type="dxa"/>
        <w:jc w:val="center"/>
        <w:tblInd w:w="0" w:type="dxa"/>
        <w:tblLayout w:type="fixed"/>
        <w:tblCellMar>
          <w:top w:w="0" w:type="dxa"/>
          <w:left w:w="108" w:type="dxa"/>
          <w:bottom w:w="0" w:type="dxa"/>
          <w:right w:w="108" w:type="dxa"/>
        </w:tblCellMar>
      </w:tblPr>
      <w:tblGrid>
        <w:gridCol w:w="2700"/>
        <w:gridCol w:w="459"/>
        <w:gridCol w:w="1383"/>
        <w:gridCol w:w="2498"/>
        <w:gridCol w:w="397"/>
        <w:gridCol w:w="1653"/>
      </w:tblGrid>
      <w:tr>
        <w:tblPrEx>
          <w:tblLayout w:type="fixed"/>
          <w:tblCellMar>
            <w:top w:w="0" w:type="dxa"/>
            <w:left w:w="108" w:type="dxa"/>
            <w:bottom w:w="0" w:type="dxa"/>
            <w:right w:w="108" w:type="dxa"/>
          </w:tblCellMar>
        </w:tblPrEx>
        <w:trPr>
          <w:trHeight w:val="409" w:hRule="atLeast"/>
          <w:jc w:val="center"/>
        </w:trPr>
        <w:tc>
          <w:tcPr>
            <w:tcW w:w="2700" w:type="dxa"/>
            <w:tcBorders>
              <w:top w:val="nil"/>
              <w:left w:val="nil"/>
              <w:bottom w:val="nil"/>
              <w:right w:val="nil"/>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32"/>
                <w:szCs w:val="32"/>
              </w:rPr>
              <w:t>表一</w:t>
            </w:r>
          </w:p>
        </w:tc>
        <w:tc>
          <w:tcPr>
            <w:tcW w:w="1842" w:type="dxa"/>
            <w:gridSpan w:val="2"/>
            <w:tcBorders>
              <w:top w:val="nil"/>
              <w:left w:val="nil"/>
              <w:bottom w:val="nil"/>
              <w:right w:val="nil"/>
            </w:tcBorders>
            <w:shd w:val="clear" w:color="auto" w:fill="auto"/>
            <w:vAlign w:val="center"/>
          </w:tcPr>
          <w:p>
            <w:pPr>
              <w:widowControl/>
              <w:jc w:val="left"/>
              <w:rPr>
                <w:rFonts w:ascii="黑体" w:hAnsi="黑体" w:eastAsia="黑体" w:cs="宋体"/>
                <w:kern w:val="0"/>
                <w:sz w:val="24"/>
                <w:szCs w:val="24"/>
              </w:rPr>
            </w:pPr>
          </w:p>
        </w:tc>
        <w:tc>
          <w:tcPr>
            <w:tcW w:w="2498" w:type="dxa"/>
            <w:tcBorders>
              <w:top w:val="nil"/>
              <w:left w:val="nil"/>
              <w:bottom w:val="nil"/>
              <w:right w:val="nil"/>
            </w:tcBorders>
            <w:shd w:val="clear" w:color="auto" w:fill="auto"/>
            <w:vAlign w:val="center"/>
          </w:tcPr>
          <w:p>
            <w:pPr>
              <w:widowControl/>
              <w:jc w:val="left"/>
              <w:rPr>
                <w:rFonts w:ascii="黑体" w:hAnsi="黑体" w:eastAsia="黑体" w:cs="宋体"/>
                <w:kern w:val="0"/>
                <w:sz w:val="24"/>
                <w:szCs w:val="24"/>
              </w:rPr>
            </w:pPr>
          </w:p>
        </w:tc>
        <w:tc>
          <w:tcPr>
            <w:tcW w:w="2050" w:type="dxa"/>
            <w:gridSpan w:val="2"/>
            <w:tcBorders>
              <w:top w:val="nil"/>
              <w:left w:val="nil"/>
              <w:bottom w:val="nil"/>
              <w:right w:val="nil"/>
            </w:tcBorders>
            <w:shd w:val="clear" w:color="auto" w:fill="auto"/>
            <w:vAlign w:val="center"/>
          </w:tcPr>
          <w:p>
            <w:pPr>
              <w:widowControl/>
              <w:tabs>
                <w:tab w:val="left" w:pos="210"/>
              </w:tabs>
              <w:jc w:val="left"/>
              <w:rPr>
                <w:rFonts w:ascii="黑体" w:hAnsi="黑体" w:eastAsia="黑体" w:cs="宋体"/>
                <w:kern w:val="0"/>
                <w:sz w:val="24"/>
                <w:szCs w:val="24"/>
              </w:rPr>
            </w:pPr>
          </w:p>
        </w:tc>
      </w:tr>
      <w:tr>
        <w:tblPrEx>
          <w:tblLayout w:type="fixed"/>
          <w:tblCellMar>
            <w:top w:w="0" w:type="dxa"/>
            <w:left w:w="108" w:type="dxa"/>
            <w:bottom w:w="0" w:type="dxa"/>
            <w:right w:w="108" w:type="dxa"/>
          </w:tblCellMar>
        </w:tblPrEx>
        <w:trPr>
          <w:trHeight w:val="990" w:hRule="atLeast"/>
          <w:jc w:val="center"/>
        </w:trPr>
        <w:tc>
          <w:tcPr>
            <w:tcW w:w="9090" w:type="dxa"/>
            <w:gridSpan w:val="6"/>
            <w:tcBorders>
              <w:top w:val="nil"/>
              <w:left w:val="nil"/>
              <w:bottom w:val="nil"/>
              <w:right w:val="nil"/>
            </w:tcBorders>
            <w:shd w:val="clear" w:color="auto" w:fill="auto"/>
            <w:vAlign w:val="center"/>
          </w:tcPr>
          <w:p>
            <w:pPr>
              <w:pStyle w:val="48"/>
              <w:rPr>
                <w:sz w:val="24"/>
                <w:szCs w:val="24"/>
              </w:rPr>
            </w:pPr>
            <w:r>
              <w:rPr>
                <w:rFonts w:hint="eastAsia"/>
                <w:sz w:val="44"/>
                <w:szCs w:val="44"/>
              </w:rPr>
              <w:t>20</w:t>
            </w:r>
            <w:r>
              <w:rPr>
                <w:rFonts w:hint="eastAsia"/>
                <w:sz w:val="44"/>
                <w:szCs w:val="44"/>
                <w:lang w:val="en-US" w:eastAsia="zh-CN"/>
              </w:rPr>
              <w:t>25</w:t>
            </w:r>
            <w:r>
              <w:rPr>
                <w:rFonts w:hint="eastAsia"/>
                <w:sz w:val="44"/>
                <w:szCs w:val="44"/>
              </w:rPr>
              <w:t>年一般公共预算收支执行情况总表</w:t>
            </w:r>
          </w:p>
        </w:tc>
      </w:tr>
      <w:tr>
        <w:tblPrEx>
          <w:tblLayout w:type="fixed"/>
          <w:tblCellMar>
            <w:top w:w="0" w:type="dxa"/>
            <w:left w:w="108" w:type="dxa"/>
            <w:bottom w:w="0" w:type="dxa"/>
            <w:right w:w="108" w:type="dxa"/>
          </w:tblCellMar>
        </w:tblPrEx>
        <w:trPr>
          <w:trHeight w:val="615" w:hRule="atLeast"/>
          <w:jc w:val="center"/>
        </w:trPr>
        <w:tc>
          <w:tcPr>
            <w:tcW w:w="9090" w:type="dxa"/>
            <w:gridSpan w:val="6"/>
            <w:tcBorders>
              <w:top w:val="nil"/>
              <w:left w:val="nil"/>
              <w:bottom w:val="nil"/>
              <w:right w:val="nil"/>
            </w:tcBorders>
            <w:shd w:val="clear" w:color="auto" w:fill="auto"/>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tblPrEx>
          <w:tblLayout w:type="fixed"/>
          <w:tblCellMar>
            <w:top w:w="0" w:type="dxa"/>
            <w:left w:w="108" w:type="dxa"/>
            <w:bottom w:w="0" w:type="dxa"/>
            <w:right w:w="108" w:type="dxa"/>
          </w:tblCellMar>
        </w:tblPrEx>
        <w:trPr>
          <w:trHeight w:val="790" w:hRule="atLeast"/>
          <w:jc w:val="center"/>
        </w:trPr>
        <w:tc>
          <w:tcPr>
            <w:tcW w:w="31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执行数</w:t>
            </w:r>
          </w:p>
        </w:tc>
        <w:tc>
          <w:tcPr>
            <w:tcW w:w="28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6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执行数</w:t>
            </w:r>
          </w:p>
        </w:tc>
      </w:tr>
      <w:tr>
        <w:tblPrEx>
          <w:tblLayout w:type="fixed"/>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本级收入</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169585</w:t>
            </w:r>
          </w:p>
        </w:tc>
        <w:tc>
          <w:tcPr>
            <w:tcW w:w="2895"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本级支出</w:t>
            </w:r>
          </w:p>
        </w:tc>
        <w:tc>
          <w:tcPr>
            <w:tcW w:w="16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459198</w:t>
            </w:r>
          </w:p>
        </w:tc>
      </w:tr>
      <w:tr>
        <w:tblPrEx>
          <w:tblLayout w:type="fixed"/>
          <w:tblCellMar>
            <w:top w:w="0" w:type="dxa"/>
            <w:left w:w="108" w:type="dxa"/>
            <w:bottom w:w="0" w:type="dxa"/>
            <w:right w:w="108" w:type="dxa"/>
          </w:tblCellMar>
        </w:tblPrEx>
        <w:trPr>
          <w:trHeight w:val="606"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上级补助收入</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307009</w:t>
            </w:r>
          </w:p>
        </w:tc>
        <w:tc>
          <w:tcPr>
            <w:tcW w:w="289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p>
        </w:tc>
        <w:tc>
          <w:tcPr>
            <w:tcW w:w="16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Layout w:type="fixed"/>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返还性收入</w:t>
            </w:r>
          </w:p>
        </w:tc>
        <w:tc>
          <w:tcPr>
            <w:tcW w:w="13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5910</w:t>
            </w:r>
          </w:p>
        </w:tc>
        <w:tc>
          <w:tcPr>
            <w:tcW w:w="289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上解上级支出</w:t>
            </w:r>
          </w:p>
        </w:tc>
        <w:tc>
          <w:tcPr>
            <w:tcW w:w="16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40031</w:t>
            </w:r>
          </w:p>
        </w:tc>
      </w:tr>
      <w:tr>
        <w:tblPrEx>
          <w:tblLayout w:type="fixed"/>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一般性转移支付收入</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278699</w:t>
            </w:r>
          </w:p>
        </w:tc>
        <w:tc>
          <w:tcPr>
            <w:tcW w:w="2895"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地方政府一般债务还本支出（含再融资）</w:t>
            </w:r>
          </w:p>
        </w:tc>
        <w:tc>
          <w:tcPr>
            <w:tcW w:w="16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31751</w:t>
            </w:r>
          </w:p>
        </w:tc>
      </w:tr>
      <w:tr>
        <w:tblPrEx>
          <w:tblLayout w:type="fixed"/>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专项转移支付收入</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22400</w:t>
            </w:r>
          </w:p>
        </w:tc>
        <w:tc>
          <w:tcPr>
            <w:tcW w:w="289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结转结余</w:t>
            </w:r>
          </w:p>
        </w:tc>
        <w:tc>
          <w:tcPr>
            <w:tcW w:w="16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506</w:t>
            </w:r>
          </w:p>
        </w:tc>
      </w:tr>
      <w:tr>
        <w:tblPrEx>
          <w:tblLayout w:type="fixed"/>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上年结余收入</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289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p>
        </w:tc>
        <w:tc>
          <w:tcPr>
            <w:tcW w:w="165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p>
        </w:tc>
        <w:tc>
          <w:tcPr>
            <w:tcW w:w="289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p>
        </w:tc>
        <w:tc>
          <w:tcPr>
            <w:tcW w:w="1653"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地方政府一般债务转贷收入</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28600</w:t>
            </w:r>
          </w:p>
        </w:tc>
        <w:tc>
          <w:tcPr>
            <w:tcW w:w="289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安排预算稳定调节基金</w:t>
            </w:r>
          </w:p>
        </w:tc>
        <w:tc>
          <w:tcPr>
            <w:tcW w:w="16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3585</w:t>
            </w:r>
          </w:p>
        </w:tc>
      </w:tr>
      <w:tr>
        <w:tblPrEx>
          <w:tblLayout w:type="fixed"/>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调入资金</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27945</w:t>
            </w:r>
          </w:p>
        </w:tc>
        <w:tc>
          <w:tcPr>
            <w:tcW w:w="289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调出资金</w:t>
            </w:r>
          </w:p>
        </w:tc>
        <w:tc>
          <w:tcPr>
            <w:tcW w:w="1653"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动用</w:t>
            </w:r>
            <w:r>
              <w:rPr>
                <w:rFonts w:hint="eastAsia" w:ascii="宋体" w:hAnsi="宋体" w:eastAsia="宋体" w:cs="宋体"/>
                <w:kern w:val="0"/>
                <w:sz w:val="24"/>
                <w:szCs w:val="24"/>
              </w:rPr>
              <w:t>预算稳定调节基金　</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1921</w:t>
            </w:r>
          </w:p>
        </w:tc>
        <w:tc>
          <w:tcPr>
            <w:tcW w:w="2895"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p>
        </w:tc>
        <w:tc>
          <w:tcPr>
            <w:tcW w:w="165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615" w:hRule="atLeast"/>
          <w:jc w:val="center"/>
        </w:trPr>
        <w:tc>
          <w:tcPr>
            <w:tcW w:w="31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收入总计</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535071</w:t>
            </w:r>
          </w:p>
        </w:tc>
        <w:tc>
          <w:tcPr>
            <w:tcW w:w="289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支出总计</w:t>
            </w:r>
          </w:p>
        </w:tc>
        <w:tc>
          <w:tcPr>
            <w:tcW w:w="165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535071</w:t>
            </w:r>
          </w:p>
        </w:tc>
      </w:tr>
    </w:tbl>
    <w:p>
      <w:pPr>
        <w:rPr>
          <w:rFonts w:hint="eastAsia"/>
        </w:rPr>
      </w:pPr>
      <w:r>
        <w:rPr>
          <w:rFonts w:hint="eastAsia"/>
          <w:sz w:val="24"/>
          <w:szCs w:val="24"/>
        </w:rPr>
        <w:br w:type="page"/>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rPr>
          <w:rFonts w:hint="eastAsia"/>
          <w:sz w:val="44"/>
          <w:szCs w:val="44"/>
        </w:rPr>
      </w:pPr>
      <w:r>
        <w:rPr>
          <w:rFonts w:hint="eastAsia"/>
          <w:sz w:val="44"/>
          <w:szCs w:val="44"/>
        </w:rPr>
        <w:t>关于202</w:t>
      </w:r>
      <w:r>
        <w:rPr>
          <w:rFonts w:hint="eastAsia"/>
          <w:sz w:val="44"/>
          <w:szCs w:val="44"/>
          <w:lang w:val="en-US" w:eastAsia="zh-CN"/>
        </w:rPr>
        <w:t>5</w:t>
      </w:r>
      <w:r>
        <w:rPr>
          <w:rFonts w:hint="eastAsia"/>
          <w:sz w:val="44"/>
          <w:szCs w:val="44"/>
        </w:rPr>
        <w:t>年一般公共预算收支执行情况的</w:t>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rPr>
          <w:sz w:val="44"/>
          <w:szCs w:val="44"/>
        </w:rPr>
      </w:pPr>
      <w:r>
        <w:rPr>
          <w:rFonts w:hint="eastAsia"/>
          <w:sz w:val="44"/>
          <w:szCs w:val="44"/>
        </w:rPr>
        <w:t>说明</w:t>
      </w:r>
    </w:p>
    <w:p>
      <w:pPr>
        <w:keepNext w:val="0"/>
        <w:keepLines w:val="0"/>
        <w:pageBreakBefore w:val="0"/>
        <w:widowControl w:val="0"/>
        <w:kinsoku/>
        <w:wordWrap/>
        <w:overflowPunct/>
        <w:topLinePunct w:val="0"/>
        <w:autoSpaceDE/>
        <w:autoSpaceDN/>
        <w:bidi w:val="0"/>
        <w:adjustRightInd/>
        <w:snapToGrid/>
        <w:spacing w:line="572" w:lineRule="exact"/>
        <w:ind w:firstLine="880" w:firstLineChars="200"/>
        <w:jc w:val="both"/>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年，全县一般公共预算收入总计</w:t>
      </w:r>
      <w:r>
        <w:rPr>
          <w:rFonts w:hint="eastAsia" w:ascii="仿宋_GB2312" w:hAnsi="仿宋" w:eastAsia="仿宋_GB2312"/>
          <w:sz w:val="32"/>
          <w:szCs w:val="32"/>
          <w:lang w:val="en-US" w:eastAsia="zh-CN"/>
        </w:rPr>
        <w:t>535071</w:t>
      </w:r>
      <w:r>
        <w:rPr>
          <w:rFonts w:hint="eastAsia" w:ascii="仿宋_GB2312" w:hAnsi="仿宋" w:eastAsia="仿宋_GB2312"/>
          <w:sz w:val="32"/>
          <w:szCs w:val="32"/>
        </w:rPr>
        <w:t>万元，其中：一般公共预算收入</w:t>
      </w:r>
      <w:r>
        <w:rPr>
          <w:rFonts w:hint="eastAsia" w:ascii="仿宋_GB2312" w:hAnsi="仿宋" w:eastAsia="仿宋_GB2312"/>
          <w:color w:val="000000"/>
          <w:sz w:val="32"/>
          <w:szCs w:val="32"/>
          <w:lang w:val="en-US" w:eastAsia="zh-CN"/>
        </w:rPr>
        <w:t>169585</w:t>
      </w:r>
      <w:r>
        <w:rPr>
          <w:rFonts w:hint="eastAsia" w:ascii="仿宋_GB2312" w:hAnsi="仿宋" w:eastAsia="仿宋_GB2312"/>
          <w:sz w:val="32"/>
          <w:szCs w:val="32"/>
        </w:rPr>
        <w:t>万元，上级补助收入</w:t>
      </w:r>
      <w:r>
        <w:rPr>
          <w:rFonts w:hint="eastAsia" w:ascii="仿宋_GB2312" w:hAnsi="仿宋" w:eastAsia="仿宋_GB2312"/>
          <w:sz w:val="32"/>
          <w:szCs w:val="32"/>
          <w:lang w:val="en-US" w:eastAsia="zh-CN"/>
        </w:rPr>
        <w:t>307009</w:t>
      </w:r>
      <w:r>
        <w:rPr>
          <w:rFonts w:hint="eastAsia" w:ascii="仿宋_GB2312" w:hAnsi="仿宋" w:eastAsia="仿宋_GB2312"/>
          <w:sz w:val="32"/>
          <w:szCs w:val="32"/>
        </w:rPr>
        <w:t>万元</w:t>
      </w:r>
      <w:r>
        <w:rPr>
          <w:rFonts w:hint="eastAsia" w:ascii="仿宋_GB2312" w:hAnsi="仿宋" w:eastAsia="仿宋_GB2312"/>
          <w:color w:val="000000"/>
          <w:sz w:val="32"/>
          <w:szCs w:val="32"/>
        </w:rPr>
        <w:t>（返还性收入5910万元，一般性转移支付收入</w:t>
      </w:r>
      <w:r>
        <w:rPr>
          <w:rFonts w:hint="eastAsia" w:ascii="仿宋_GB2312" w:hAnsi="仿宋" w:eastAsia="仿宋_GB2312"/>
          <w:color w:val="000000"/>
          <w:sz w:val="32"/>
          <w:szCs w:val="32"/>
          <w:lang w:val="en-US" w:eastAsia="zh-CN"/>
        </w:rPr>
        <w:t>278699</w:t>
      </w:r>
      <w:r>
        <w:rPr>
          <w:rFonts w:hint="eastAsia" w:ascii="仿宋_GB2312" w:hAnsi="仿宋" w:eastAsia="仿宋_GB2312"/>
          <w:color w:val="000000"/>
          <w:sz w:val="32"/>
          <w:szCs w:val="32"/>
        </w:rPr>
        <w:t>万元，专项转移支付收入</w:t>
      </w:r>
      <w:r>
        <w:rPr>
          <w:rFonts w:hint="eastAsia" w:ascii="仿宋_GB2312" w:hAnsi="仿宋" w:eastAsia="仿宋_GB2312"/>
          <w:color w:val="000000"/>
          <w:sz w:val="32"/>
          <w:szCs w:val="32"/>
          <w:lang w:val="en-US" w:eastAsia="zh-CN"/>
        </w:rPr>
        <w:t>22400</w:t>
      </w:r>
      <w:r>
        <w:rPr>
          <w:rFonts w:hint="eastAsia" w:ascii="仿宋_GB2312" w:hAnsi="仿宋" w:eastAsia="仿宋_GB2312"/>
          <w:color w:val="000000"/>
          <w:sz w:val="32"/>
          <w:szCs w:val="32"/>
        </w:rPr>
        <w:t>万元），</w:t>
      </w:r>
      <w:r>
        <w:rPr>
          <w:rFonts w:hint="eastAsia" w:ascii="仿宋_GB2312" w:hAnsi="仿宋" w:eastAsia="仿宋_GB2312"/>
          <w:sz w:val="32"/>
          <w:szCs w:val="32"/>
        </w:rPr>
        <w:t>上年结余收入</w:t>
      </w:r>
      <w:r>
        <w:rPr>
          <w:rFonts w:hint="eastAsia" w:ascii="仿宋_GB2312" w:hAnsi="仿宋" w:eastAsia="仿宋_GB2312"/>
          <w:sz w:val="32"/>
          <w:szCs w:val="32"/>
          <w:lang w:val="en-US" w:eastAsia="zh-CN"/>
        </w:rPr>
        <w:t>11</w:t>
      </w:r>
      <w:r>
        <w:rPr>
          <w:rFonts w:hint="eastAsia" w:ascii="仿宋_GB2312" w:hAnsi="仿宋" w:eastAsia="仿宋_GB2312"/>
          <w:sz w:val="32"/>
          <w:szCs w:val="32"/>
        </w:rPr>
        <w:t>万元，地方政府一般债务转贷收入</w:t>
      </w:r>
      <w:r>
        <w:rPr>
          <w:rFonts w:hint="eastAsia" w:ascii="仿宋_GB2312" w:hAnsi="仿宋" w:eastAsia="仿宋_GB2312"/>
          <w:sz w:val="32"/>
          <w:szCs w:val="32"/>
          <w:lang w:val="en-US" w:eastAsia="zh-CN"/>
        </w:rPr>
        <w:t>28600</w:t>
      </w:r>
      <w:r>
        <w:rPr>
          <w:rFonts w:hint="eastAsia" w:ascii="仿宋_GB2312" w:hAnsi="仿宋" w:eastAsia="仿宋_GB2312"/>
          <w:sz w:val="32"/>
          <w:szCs w:val="32"/>
        </w:rPr>
        <w:t>万元，调入资金</w:t>
      </w:r>
      <w:r>
        <w:rPr>
          <w:rFonts w:hint="eastAsia" w:ascii="仿宋_GB2312" w:hAnsi="仿宋" w:eastAsia="仿宋_GB2312"/>
          <w:sz w:val="32"/>
          <w:szCs w:val="32"/>
          <w:lang w:val="en-US" w:eastAsia="zh-CN"/>
        </w:rPr>
        <w:t>27945</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动用预算稳定调节基金1921万元</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全县一般公共预算支出总计</w:t>
      </w:r>
      <w:r>
        <w:rPr>
          <w:rFonts w:hint="eastAsia" w:ascii="仿宋_GB2312" w:hAnsi="仿宋" w:eastAsia="仿宋_GB2312"/>
          <w:sz w:val="32"/>
          <w:szCs w:val="32"/>
          <w:lang w:val="en-US" w:eastAsia="zh-CN"/>
        </w:rPr>
        <w:t>535071</w:t>
      </w:r>
      <w:r>
        <w:rPr>
          <w:rFonts w:hint="eastAsia" w:ascii="仿宋_GB2312" w:hAnsi="仿宋" w:eastAsia="仿宋_GB2312"/>
          <w:sz w:val="32"/>
          <w:szCs w:val="32"/>
        </w:rPr>
        <w:t>万元，其中：一般公共预算支出</w:t>
      </w:r>
      <w:r>
        <w:rPr>
          <w:rFonts w:hint="eastAsia" w:ascii="仿宋_GB2312" w:hAnsi="仿宋" w:eastAsia="仿宋_GB2312"/>
          <w:sz w:val="32"/>
          <w:szCs w:val="32"/>
          <w:lang w:val="en-US" w:eastAsia="zh-CN"/>
        </w:rPr>
        <w:t>459198</w:t>
      </w:r>
      <w:r>
        <w:rPr>
          <w:rFonts w:hint="eastAsia" w:ascii="仿宋_GB2312" w:hAnsi="仿宋" w:eastAsia="仿宋_GB2312"/>
          <w:sz w:val="32"/>
          <w:szCs w:val="32"/>
        </w:rPr>
        <w:t>万元，上解上级支出</w:t>
      </w:r>
      <w:r>
        <w:rPr>
          <w:rFonts w:hint="eastAsia" w:ascii="仿宋_GB2312" w:hAnsi="仿宋" w:eastAsia="仿宋_GB2312"/>
          <w:sz w:val="32"/>
          <w:szCs w:val="32"/>
          <w:lang w:val="en-US" w:eastAsia="zh-CN"/>
        </w:rPr>
        <w:t>40031</w:t>
      </w:r>
      <w:r>
        <w:rPr>
          <w:rFonts w:hint="eastAsia" w:ascii="仿宋_GB2312" w:hAnsi="仿宋" w:eastAsia="仿宋_GB2312"/>
          <w:sz w:val="32"/>
          <w:szCs w:val="32"/>
        </w:rPr>
        <w:t>万元，地方政府一般债务还本支出</w:t>
      </w:r>
      <w:r>
        <w:rPr>
          <w:rFonts w:hint="eastAsia" w:ascii="仿宋_GB2312" w:hAnsi="仿宋" w:eastAsia="仿宋_GB2312"/>
          <w:sz w:val="32"/>
          <w:szCs w:val="32"/>
          <w:lang w:val="en-US" w:eastAsia="zh-CN"/>
        </w:rPr>
        <w:t>31751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含再融资）</w:t>
      </w:r>
      <w:r>
        <w:rPr>
          <w:rFonts w:hint="eastAsia" w:ascii="仿宋_GB2312" w:hAnsi="仿宋" w:eastAsia="仿宋_GB2312"/>
          <w:sz w:val="32"/>
          <w:szCs w:val="32"/>
        </w:rPr>
        <w:t>万元，结转结余</w:t>
      </w:r>
      <w:r>
        <w:rPr>
          <w:rFonts w:hint="eastAsia" w:ascii="仿宋_GB2312" w:hAnsi="仿宋" w:eastAsia="仿宋_GB2312"/>
          <w:sz w:val="32"/>
          <w:szCs w:val="32"/>
          <w:lang w:val="en-US" w:eastAsia="zh-CN"/>
        </w:rPr>
        <w:t>506</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安排预算稳定调节基金3585万元</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 w:eastAsia="仿宋_GB2312"/>
          <w:sz w:val="32"/>
          <w:szCs w:val="32"/>
        </w:rPr>
      </w:pPr>
    </w:p>
    <w:p>
      <w:pPr>
        <w:spacing w:line="600" w:lineRule="exact"/>
        <w:ind w:firstLine="640" w:firstLineChars="200"/>
        <w:rPr>
          <w:rFonts w:hint="eastAsia" w:ascii="仿宋_GB2312" w:hAnsi="仿宋" w:eastAsia="仿宋_GB2312"/>
          <w:sz w:val="32"/>
          <w:szCs w:val="32"/>
        </w:rPr>
      </w:pPr>
    </w:p>
    <w:p>
      <w:pPr>
        <w:spacing w:line="600" w:lineRule="exact"/>
        <w:rPr>
          <w:rFonts w:hint="eastAsia" w:ascii="仿宋_GB2312" w:hAnsi="仿宋" w:eastAsia="仿宋_GB2312"/>
          <w:sz w:val="32"/>
          <w:szCs w:val="32"/>
        </w:rPr>
      </w:pPr>
    </w:p>
    <w:tbl>
      <w:tblPr>
        <w:tblStyle w:val="20"/>
        <w:tblpPr w:leftFromText="180" w:rightFromText="180" w:vertAnchor="text" w:horzAnchor="page" w:tblpXSpec="center" w:tblpY="29"/>
        <w:tblOverlap w:val="never"/>
        <w:tblW w:w="8920" w:type="dxa"/>
        <w:jc w:val="center"/>
        <w:tblInd w:w="0" w:type="dxa"/>
        <w:tblLayout w:type="fixed"/>
        <w:tblCellMar>
          <w:top w:w="0" w:type="dxa"/>
          <w:left w:w="108" w:type="dxa"/>
          <w:bottom w:w="0" w:type="dxa"/>
          <w:right w:w="108" w:type="dxa"/>
        </w:tblCellMar>
      </w:tblPr>
      <w:tblGrid>
        <w:gridCol w:w="3946"/>
        <w:gridCol w:w="1732"/>
        <w:gridCol w:w="1535"/>
        <w:gridCol w:w="1594"/>
        <w:gridCol w:w="113"/>
      </w:tblGrid>
      <w:tr>
        <w:tblPrEx>
          <w:tblLayout w:type="fixed"/>
          <w:tblCellMar>
            <w:top w:w="0" w:type="dxa"/>
            <w:left w:w="108" w:type="dxa"/>
            <w:bottom w:w="0" w:type="dxa"/>
            <w:right w:w="108" w:type="dxa"/>
          </w:tblCellMar>
        </w:tblPrEx>
        <w:trPr>
          <w:cantSplit/>
          <w:trHeight w:val="1615" w:hRule="atLeast"/>
          <w:jc w:val="center"/>
        </w:trPr>
        <w:tc>
          <w:tcPr>
            <w:tcW w:w="8920" w:type="dxa"/>
            <w:gridSpan w:val="5"/>
            <w:tcBorders>
              <w:top w:val="nil"/>
              <w:left w:val="nil"/>
              <w:bottom w:val="nil"/>
              <w:right w:val="nil"/>
            </w:tcBorders>
            <w:shd w:val="clear" w:color="auto" w:fill="auto"/>
            <w:vAlign w:val="center"/>
          </w:tcPr>
          <w:p>
            <w:pPr>
              <w:widowControl/>
              <w:ind w:left="960" w:right="-2392" w:rightChars="-1139" w:hanging="960" w:hangingChars="300"/>
              <w:jc w:val="left"/>
              <w:rPr>
                <w:rFonts w:hint="eastAsia" w:ascii="黑体" w:hAnsi="黑体" w:eastAsia="黑体" w:cs="黑体"/>
                <w:b w:val="0"/>
                <w:bCs w:val="0"/>
                <w:kern w:val="0"/>
                <w:sz w:val="32"/>
                <w:szCs w:val="32"/>
              </w:rPr>
            </w:pPr>
            <w:bookmarkStart w:id="0" w:name="RANGE!A1:E31"/>
            <w:r>
              <w:rPr>
                <w:rFonts w:hint="eastAsia" w:ascii="黑体" w:hAnsi="黑体" w:eastAsia="黑体" w:cs="黑体"/>
                <w:b w:val="0"/>
                <w:bCs w:val="0"/>
                <w:kern w:val="0"/>
                <w:sz w:val="32"/>
                <w:szCs w:val="32"/>
              </w:rPr>
              <w:t>表二</w:t>
            </w:r>
            <w:bookmarkEnd w:id="0"/>
          </w:p>
          <w:p>
            <w:pPr>
              <w:widowControl/>
              <w:ind w:left="1318" w:leftChars="418" w:right="-2392" w:rightChars="-1139" w:hanging="440" w:hangingChars="100"/>
              <w:jc w:val="left"/>
              <w:rPr>
                <w:rFonts w:hint="eastAsia" w:ascii="黑体" w:hAnsi="黑体" w:eastAsia="黑体" w:cs="黑体"/>
                <w:b w:val="0"/>
                <w:bCs w:val="0"/>
                <w:kern w:val="0"/>
                <w:sz w:val="32"/>
                <w:szCs w:val="32"/>
              </w:rPr>
            </w:pP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202</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5</w:t>
            </w: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年一般公共预算</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收入</w:t>
            </w: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执行情况表</w:t>
            </w:r>
          </w:p>
        </w:tc>
      </w:tr>
      <w:tr>
        <w:tblPrEx>
          <w:tblLayout w:type="fixed"/>
          <w:tblCellMar>
            <w:top w:w="0" w:type="dxa"/>
            <w:left w:w="108" w:type="dxa"/>
            <w:bottom w:w="0" w:type="dxa"/>
            <w:right w:w="108" w:type="dxa"/>
          </w:tblCellMar>
        </w:tblPrEx>
        <w:trPr>
          <w:cantSplit/>
          <w:trHeight w:val="323" w:hRule="atLeast"/>
          <w:jc w:val="center"/>
        </w:trPr>
        <w:tc>
          <w:tcPr>
            <w:tcW w:w="8920" w:type="dxa"/>
            <w:gridSpan w:val="5"/>
            <w:tcBorders>
              <w:top w:val="nil"/>
              <w:left w:val="nil"/>
              <w:bottom w:val="nil"/>
              <w:right w:val="nil"/>
            </w:tcBorders>
            <w:shd w:val="clear" w:color="auto" w:fill="auto"/>
            <w:vAlign w:val="center"/>
          </w:tcPr>
          <w:p>
            <w:pPr>
              <w:widowControl/>
              <w:tabs>
                <w:tab w:val="left" w:pos="7830"/>
              </w:tabs>
              <w:ind w:right="-2392" w:rightChars="-1139"/>
              <w:jc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单位：万元</w:t>
            </w:r>
          </w:p>
        </w:tc>
      </w:tr>
      <w:tr>
        <w:tblPrEx>
          <w:tblLayout w:type="fixed"/>
          <w:tblCellMar>
            <w:top w:w="0" w:type="dxa"/>
            <w:left w:w="108" w:type="dxa"/>
            <w:bottom w:w="0" w:type="dxa"/>
            <w:right w:w="108" w:type="dxa"/>
          </w:tblCellMar>
        </w:tblPrEx>
        <w:trPr>
          <w:gridAfter w:val="1"/>
          <w:wAfter w:w="113" w:type="dxa"/>
          <w:cantSplit/>
          <w:trHeight w:val="403" w:hRule="atLeast"/>
          <w:jc w:val="center"/>
        </w:trPr>
        <w:tc>
          <w:tcPr>
            <w:tcW w:w="39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项   目</w:t>
            </w:r>
          </w:p>
        </w:tc>
        <w:tc>
          <w:tcPr>
            <w:tcW w:w="17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预算数</w:t>
            </w:r>
          </w:p>
        </w:tc>
        <w:tc>
          <w:tcPr>
            <w:tcW w:w="15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执行数</w:t>
            </w:r>
          </w:p>
        </w:tc>
        <w:tc>
          <w:tcPr>
            <w:tcW w:w="159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为预算数%</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税收收入</w:t>
            </w:r>
          </w:p>
        </w:tc>
        <w:tc>
          <w:tcPr>
            <w:tcW w:w="173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116000</w:t>
            </w:r>
          </w:p>
        </w:tc>
        <w:tc>
          <w:tcPr>
            <w:tcW w:w="153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116329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100.3%</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增值税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28700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28747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100.2%</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企业所得税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9800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6969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71.1%</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 xml:space="preserve">      个人所得税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1500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1302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86.8%</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资源税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12000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6117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城市维护建设税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2800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1926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68.8%</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房产税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4500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4332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96.3%</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印花税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2300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1919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83.4%</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城镇土地使用税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17300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7350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42.5%</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 xml:space="preserve">      土地增值税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11000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26136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237.6%</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 xml:space="preserve">      车船税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3600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4007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111.3%</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耕地占用税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3500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13382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382.3%</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契税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13000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10431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80.2%</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烟叶税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1000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910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91%</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环境保护税</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5000 </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2801 </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其他税收收入</w:t>
            </w:r>
          </w:p>
        </w:tc>
        <w:tc>
          <w:tcPr>
            <w:tcW w:w="173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ascii="宋体" w:hAnsi="宋体" w:eastAsia="宋体" w:cs="宋体"/>
                <w:sz w:val="24"/>
                <w:szCs w:val="24"/>
              </w:rPr>
              <w:t>—</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非税收入</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50000</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53256</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106.5%</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专项收入</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7000</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6144</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87.8%</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行政事业性收费收入</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3200</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4311</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134.7%</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罚没收入</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3300</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4559</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138.2%</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国有资源(资产)有偿使用收入</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32000</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27426</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85.7%</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捐赠收入</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130</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sz w:val="24"/>
                <w:szCs w:val="24"/>
              </w:rPr>
              <w:t>—</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政府住房基金收入</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141</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188%</w:t>
            </w:r>
          </w:p>
        </w:tc>
      </w:tr>
      <w:tr>
        <w:tblPrEx>
          <w:tblLayout w:type="fixed"/>
          <w:tblCellMar>
            <w:top w:w="0" w:type="dxa"/>
            <w:left w:w="108" w:type="dxa"/>
            <w:bottom w:w="0" w:type="dxa"/>
            <w:right w:w="108" w:type="dxa"/>
          </w:tblCellMar>
        </w:tblPrEx>
        <w:trPr>
          <w:gridAfter w:val="1"/>
          <w:wAfter w:w="113" w:type="dxa"/>
          <w:cantSplit/>
          <w:trHeight w:val="397"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      其他收入</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4425</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10545</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238.3%</w:t>
            </w:r>
          </w:p>
        </w:tc>
      </w:tr>
      <w:tr>
        <w:tblPrEx>
          <w:tblLayout w:type="fixed"/>
          <w:tblCellMar>
            <w:top w:w="0" w:type="dxa"/>
            <w:left w:w="108" w:type="dxa"/>
            <w:bottom w:w="0" w:type="dxa"/>
            <w:right w:w="108" w:type="dxa"/>
          </w:tblCellMar>
        </w:tblPrEx>
        <w:trPr>
          <w:gridAfter w:val="1"/>
          <w:wAfter w:w="113" w:type="dxa"/>
          <w:cantSplit/>
          <w:trHeight w:val="408" w:hRule="atLeast"/>
          <w:jc w:val="center"/>
        </w:trPr>
        <w:tc>
          <w:tcPr>
            <w:tcW w:w="39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合   计</w:t>
            </w:r>
          </w:p>
        </w:tc>
        <w:tc>
          <w:tcPr>
            <w:tcW w:w="17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166000</w:t>
            </w:r>
          </w:p>
        </w:tc>
        <w:tc>
          <w:tcPr>
            <w:tcW w:w="15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169585</w:t>
            </w:r>
          </w:p>
        </w:tc>
        <w:tc>
          <w:tcPr>
            <w:tcW w:w="15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102.2%</w:t>
            </w:r>
          </w:p>
        </w:tc>
      </w:tr>
    </w:tbl>
    <w:p>
      <w:pPr>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br w:type="page"/>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关于202</w:t>
      </w:r>
      <w:r>
        <w:rPr>
          <w:rFonts w:hint="eastAsia" w:hAnsi="方正小标宋简体" w:cs="方正小标宋简体"/>
          <w:color w:val="000000" w:themeColor="text1"/>
          <w:sz w:val="44"/>
          <w:szCs w:val="44"/>
          <w:lang w:val="en-US" w:eastAsia="zh-CN"/>
        </w:rPr>
        <w:t>5</w:t>
      </w:r>
      <w:r>
        <w:rPr>
          <w:rFonts w:hint="eastAsia" w:ascii="方正小标宋简体" w:hAnsi="方正小标宋简体" w:eastAsia="方正小标宋简体" w:cs="方正小标宋简体"/>
          <w:color w:val="000000" w:themeColor="text1"/>
          <w:sz w:val="44"/>
          <w:szCs w:val="44"/>
        </w:rPr>
        <w:t>年一般公共预算收入执行情况的</w:t>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说明</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年全县一般公共预算收入预算</w:t>
      </w:r>
      <w:r>
        <w:rPr>
          <w:rFonts w:hint="eastAsia" w:ascii="仿宋_GB2312" w:hAnsi="仿宋_GB2312" w:eastAsia="仿宋_GB2312" w:cs="仿宋_GB2312"/>
          <w:color w:val="000000" w:themeColor="text1"/>
          <w:sz w:val="32"/>
          <w:szCs w:val="32"/>
          <w:lang w:val="en-US" w:eastAsia="zh-CN"/>
        </w:rPr>
        <w:t>166000</w:t>
      </w:r>
      <w:r>
        <w:rPr>
          <w:rFonts w:hint="eastAsia" w:ascii="仿宋_GB2312" w:hAnsi="仿宋_GB2312" w:eastAsia="仿宋_GB2312" w:cs="仿宋_GB2312"/>
          <w:color w:val="000000" w:themeColor="text1"/>
          <w:sz w:val="32"/>
          <w:szCs w:val="32"/>
        </w:rPr>
        <w:t>万元，实际完成</w:t>
      </w:r>
      <w:r>
        <w:rPr>
          <w:rFonts w:hint="eastAsia" w:ascii="仿宋_GB2312" w:hAnsi="仿宋_GB2312" w:eastAsia="仿宋_GB2312" w:cs="仿宋_GB2312"/>
          <w:color w:val="000000" w:themeColor="text1"/>
          <w:sz w:val="32"/>
          <w:szCs w:val="32"/>
          <w:lang w:val="en-US" w:eastAsia="zh-CN"/>
        </w:rPr>
        <w:t>169585</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为年初预算的102.2%。</w:t>
      </w:r>
      <w:r>
        <w:rPr>
          <w:rFonts w:hint="eastAsia" w:ascii="仿宋_GB2312" w:hAnsi="仿宋_GB2312" w:eastAsia="仿宋_GB2312" w:cs="仿宋_GB2312"/>
          <w:color w:val="000000" w:themeColor="text1"/>
          <w:sz w:val="32"/>
          <w:szCs w:val="32"/>
        </w:rPr>
        <w:t>其中：税收收入</w:t>
      </w:r>
      <w:r>
        <w:rPr>
          <w:rFonts w:hint="eastAsia" w:ascii="仿宋_GB2312" w:hAnsi="仿宋_GB2312" w:eastAsia="仿宋_GB2312" w:cs="仿宋_GB2312"/>
          <w:color w:val="000000" w:themeColor="text1"/>
          <w:sz w:val="32"/>
          <w:szCs w:val="32"/>
          <w:lang w:val="en-US" w:eastAsia="zh-CN"/>
        </w:rPr>
        <w:t>116329</w:t>
      </w:r>
      <w:r>
        <w:rPr>
          <w:rFonts w:hint="eastAsia" w:ascii="仿宋_GB2312" w:hAnsi="仿宋_GB2312" w:eastAsia="仿宋_GB2312" w:cs="仿宋_GB2312"/>
          <w:color w:val="000000" w:themeColor="text1"/>
          <w:sz w:val="32"/>
          <w:szCs w:val="32"/>
        </w:rPr>
        <w:t>万元，非税收入</w:t>
      </w:r>
      <w:r>
        <w:rPr>
          <w:rFonts w:hint="eastAsia" w:ascii="仿宋_GB2312" w:hAnsi="仿宋_GB2312" w:eastAsia="仿宋_GB2312" w:cs="仿宋_GB2312"/>
          <w:color w:val="000000" w:themeColor="text1"/>
          <w:sz w:val="32"/>
          <w:szCs w:val="32"/>
          <w:lang w:val="en-US" w:eastAsia="zh-CN"/>
        </w:rPr>
        <w:t>53256</w:t>
      </w:r>
      <w:r>
        <w:rPr>
          <w:rFonts w:hint="eastAsia" w:ascii="仿宋_GB2312" w:hAnsi="仿宋_GB2312" w:eastAsia="仿宋_GB2312" w:cs="仿宋_GB2312"/>
          <w:color w:val="000000" w:themeColor="text1"/>
          <w:sz w:val="32"/>
          <w:szCs w:val="32"/>
        </w:rPr>
        <w:t xml:space="preserve">万元。 </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主要项目执行情况是：</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000000" w:themeColor="text1"/>
          <w:sz w:val="32"/>
          <w:szCs w:val="32"/>
        </w:rPr>
        <w:t>1.增值税</w:t>
      </w:r>
      <w:r>
        <w:rPr>
          <w:rFonts w:hint="eastAsia" w:ascii="仿宋_GB2312" w:hAnsi="仿宋_GB2312" w:eastAsia="仿宋_GB2312" w:cs="仿宋_GB2312"/>
          <w:color w:val="000000" w:themeColor="text1"/>
          <w:sz w:val="32"/>
          <w:szCs w:val="32"/>
          <w:lang w:val="en-US" w:eastAsia="zh-CN"/>
        </w:rPr>
        <w:t>28747</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为年初预算的</w:t>
      </w:r>
      <w:bookmarkStart w:id="1" w:name="OLE_LINK1"/>
      <w:r>
        <w:rPr>
          <w:rFonts w:hint="eastAsia" w:ascii="仿宋_GB2312" w:hAnsi="仿宋_GB2312" w:eastAsia="仿宋_GB2312" w:cs="仿宋_GB2312"/>
          <w:color w:val="000000" w:themeColor="text1"/>
          <w:sz w:val="32"/>
          <w:szCs w:val="32"/>
          <w:lang w:val="en-US" w:eastAsia="zh-CN"/>
        </w:rPr>
        <w:t>100.2%</w:t>
      </w:r>
      <w:bookmarkEnd w:id="1"/>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2.企业所得税</w:t>
      </w:r>
      <w:r>
        <w:rPr>
          <w:rFonts w:hint="eastAsia" w:ascii="仿宋_GB2312" w:hAnsi="仿宋_GB2312" w:eastAsia="仿宋_GB2312" w:cs="仿宋_GB2312"/>
          <w:color w:val="000000" w:themeColor="text1"/>
          <w:sz w:val="32"/>
          <w:szCs w:val="32"/>
          <w:lang w:val="en-US" w:eastAsia="zh-CN"/>
        </w:rPr>
        <w:t>6969</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71.1%</w:t>
      </w:r>
      <w:r>
        <w:rPr>
          <w:rFonts w:hint="eastAsia" w:ascii="仿宋_GB2312" w:hAnsi="仿宋_GB2312" w:eastAsia="仿宋_GB2312" w:cs="仿宋_GB2312"/>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3.资源税</w:t>
      </w:r>
      <w:r>
        <w:rPr>
          <w:rFonts w:hint="eastAsia" w:ascii="仿宋_GB2312" w:hAnsi="仿宋_GB2312" w:eastAsia="仿宋_GB2312" w:cs="仿宋_GB2312"/>
          <w:color w:val="000000" w:themeColor="text1"/>
          <w:sz w:val="32"/>
          <w:szCs w:val="32"/>
          <w:lang w:val="en-US" w:eastAsia="zh-CN"/>
        </w:rPr>
        <w:t>6117</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51%</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4.个人所得税</w:t>
      </w:r>
      <w:r>
        <w:rPr>
          <w:rFonts w:hint="eastAsia" w:ascii="仿宋_GB2312" w:hAnsi="仿宋_GB2312" w:eastAsia="仿宋_GB2312" w:cs="仿宋_GB2312"/>
          <w:color w:val="000000" w:themeColor="text1"/>
          <w:sz w:val="32"/>
          <w:szCs w:val="32"/>
          <w:lang w:val="en-US" w:eastAsia="zh-CN"/>
        </w:rPr>
        <w:t>1302</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86.8%</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5.城市维护建设税</w:t>
      </w:r>
      <w:r>
        <w:rPr>
          <w:rFonts w:hint="eastAsia" w:ascii="仿宋_GB2312" w:hAnsi="仿宋_GB2312" w:eastAsia="仿宋_GB2312" w:cs="仿宋_GB2312"/>
          <w:color w:val="000000" w:themeColor="text1"/>
          <w:sz w:val="32"/>
          <w:szCs w:val="32"/>
          <w:lang w:val="en-US" w:eastAsia="zh-CN"/>
        </w:rPr>
        <w:t>1926</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68.8%</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6.房产税</w:t>
      </w:r>
      <w:r>
        <w:rPr>
          <w:rFonts w:hint="eastAsia" w:ascii="仿宋_GB2312" w:hAnsi="仿宋_GB2312" w:eastAsia="仿宋_GB2312" w:cs="仿宋_GB2312"/>
          <w:color w:val="000000" w:themeColor="text1"/>
          <w:sz w:val="32"/>
          <w:szCs w:val="32"/>
          <w:lang w:val="en-US" w:eastAsia="zh-CN"/>
        </w:rPr>
        <w:t>4332</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96.3%</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7.印花税</w:t>
      </w:r>
      <w:r>
        <w:rPr>
          <w:rFonts w:hint="eastAsia" w:ascii="仿宋_GB2312" w:hAnsi="仿宋_GB2312" w:eastAsia="仿宋_GB2312" w:cs="仿宋_GB2312"/>
          <w:color w:val="000000" w:themeColor="text1"/>
          <w:sz w:val="32"/>
          <w:szCs w:val="32"/>
          <w:lang w:val="en-US" w:eastAsia="zh-CN"/>
        </w:rPr>
        <w:t>1919</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83.4</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8.城镇土地使用税</w:t>
      </w:r>
      <w:r>
        <w:rPr>
          <w:rFonts w:hint="eastAsia" w:ascii="仿宋_GB2312" w:hAnsi="仿宋_GB2312" w:eastAsia="仿宋_GB2312" w:cs="仿宋_GB2312"/>
          <w:color w:val="000000" w:themeColor="text1"/>
          <w:sz w:val="32"/>
          <w:szCs w:val="32"/>
          <w:lang w:val="en-US" w:eastAsia="zh-CN"/>
        </w:rPr>
        <w:t>7350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42.5</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9.土地增值税</w:t>
      </w:r>
      <w:r>
        <w:rPr>
          <w:rFonts w:hint="eastAsia" w:ascii="仿宋_GB2312" w:hAnsi="仿宋_GB2312" w:eastAsia="仿宋_GB2312" w:cs="仿宋_GB2312"/>
          <w:color w:val="000000" w:themeColor="text1"/>
          <w:sz w:val="32"/>
          <w:szCs w:val="32"/>
          <w:lang w:val="en-US" w:eastAsia="zh-CN"/>
        </w:rPr>
        <w:t>26136</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237.6</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10.车船税</w:t>
      </w:r>
      <w:r>
        <w:rPr>
          <w:rFonts w:hint="eastAsia" w:ascii="仿宋_GB2312" w:hAnsi="仿宋_GB2312" w:eastAsia="仿宋_GB2312" w:cs="仿宋_GB2312"/>
          <w:color w:val="000000" w:themeColor="text1"/>
          <w:sz w:val="32"/>
          <w:szCs w:val="32"/>
          <w:lang w:val="en-US" w:eastAsia="zh-CN"/>
        </w:rPr>
        <w:t>4007</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111.3</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11.耕地占用税</w:t>
      </w:r>
      <w:r>
        <w:rPr>
          <w:rFonts w:hint="eastAsia" w:ascii="仿宋_GB2312" w:hAnsi="仿宋_GB2312" w:eastAsia="仿宋_GB2312" w:cs="仿宋_GB2312"/>
          <w:color w:val="000000" w:themeColor="text1"/>
          <w:sz w:val="32"/>
          <w:szCs w:val="32"/>
          <w:lang w:val="en-US" w:eastAsia="zh-CN"/>
        </w:rPr>
        <w:t>13382</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382.3</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12.契税</w:t>
      </w:r>
      <w:r>
        <w:rPr>
          <w:rFonts w:hint="eastAsia" w:ascii="仿宋_GB2312" w:hAnsi="仿宋_GB2312" w:eastAsia="仿宋_GB2312" w:cs="仿宋_GB2312"/>
          <w:color w:val="000000" w:themeColor="text1"/>
          <w:sz w:val="32"/>
          <w:szCs w:val="32"/>
          <w:lang w:val="en-US" w:eastAsia="zh-CN"/>
        </w:rPr>
        <w:t>10431</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80.2</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13.烟叶税</w:t>
      </w:r>
      <w:r>
        <w:rPr>
          <w:rFonts w:hint="eastAsia" w:ascii="仿宋_GB2312" w:hAnsi="仿宋_GB2312" w:eastAsia="仿宋_GB2312" w:cs="仿宋_GB2312"/>
          <w:color w:val="000000" w:themeColor="text1"/>
          <w:sz w:val="32"/>
          <w:szCs w:val="32"/>
          <w:lang w:val="en-US" w:eastAsia="zh-CN"/>
        </w:rPr>
        <w:t>910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91</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14.环境保护税</w:t>
      </w:r>
      <w:r>
        <w:rPr>
          <w:rFonts w:hint="eastAsia" w:ascii="仿宋_GB2312" w:hAnsi="仿宋_GB2312" w:eastAsia="仿宋_GB2312" w:cs="仿宋_GB2312"/>
          <w:color w:val="000000" w:themeColor="text1"/>
          <w:sz w:val="32"/>
          <w:szCs w:val="32"/>
          <w:lang w:val="en-US" w:eastAsia="zh-CN"/>
        </w:rPr>
        <w:t>2801</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56</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pacing w:val="-6"/>
          <w:sz w:val="32"/>
          <w:szCs w:val="32"/>
          <w:lang w:eastAsia="zh-CN"/>
        </w:rPr>
      </w:pPr>
      <w:r>
        <w:rPr>
          <w:rFonts w:hint="eastAsia" w:ascii="仿宋_GB2312" w:hAnsi="仿宋_GB2312" w:eastAsia="仿宋_GB2312" w:cs="仿宋_GB2312"/>
          <w:color w:val="000000" w:themeColor="text1"/>
          <w:sz w:val="32"/>
          <w:szCs w:val="32"/>
        </w:rPr>
        <w:t>15.</w:t>
      </w:r>
      <w:r>
        <w:rPr>
          <w:rFonts w:hint="eastAsia" w:ascii="仿宋_GB2312" w:hAnsi="仿宋_GB2312" w:eastAsia="仿宋_GB2312" w:cs="仿宋_GB2312"/>
          <w:color w:val="000000" w:themeColor="text1"/>
          <w:spacing w:val="-6"/>
          <w:sz w:val="32"/>
          <w:szCs w:val="32"/>
        </w:rPr>
        <w:t>专项收入</w:t>
      </w:r>
      <w:r>
        <w:rPr>
          <w:rFonts w:hint="eastAsia" w:ascii="仿宋_GB2312" w:hAnsi="仿宋_GB2312" w:eastAsia="仿宋_GB2312" w:cs="仿宋_GB2312"/>
          <w:color w:val="000000" w:themeColor="text1"/>
          <w:spacing w:val="-6"/>
          <w:sz w:val="32"/>
          <w:szCs w:val="32"/>
          <w:lang w:val="en-US" w:eastAsia="zh-CN"/>
        </w:rPr>
        <w:t>6144</w:t>
      </w:r>
      <w:r>
        <w:rPr>
          <w:rFonts w:hint="eastAsia" w:ascii="仿宋_GB2312" w:hAnsi="仿宋_GB2312" w:eastAsia="仿宋_GB2312" w:cs="仿宋_GB2312"/>
          <w:color w:val="000000" w:themeColor="text1"/>
          <w:spacing w:val="-6"/>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87.8</w:t>
      </w:r>
      <w:r>
        <w:rPr>
          <w:rFonts w:hint="eastAsia" w:ascii="仿宋_GB2312" w:hAnsi="仿宋_GB2312" w:eastAsia="仿宋_GB2312" w:cs="仿宋_GB2312"/>
          <w:color w:val="000000" w:themeColor="text1"/>
          <w:spacing w:val="-6"/>
          <w:sz w:val="32"/>
          <w:szCs w:val="32"/>
        </w:rPr>
        <w:t>%</w:t>
      </w:r>
      <w:r>
        <w:rPr>
          <w:rFonts w:hint="eastAsia" w:ascii="仿宋_GB2312" w:hAnsi="仿宋_GB2312" w:eastAsia="仿宋_GB2312" w:cs="仿宋_GB2312"/>
          <w:color w:val="000000" w:themeColor="text1"/>
          <w:spacing w:val="-6"/>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16.行政事业性收费收入</w:t>
      </w:r>
      <w:r>
        <w:rPr>
          <w:rFonts w:hint="eastAsia" w:ascii="仿宋_GB2312" w:hAnsi="仿宋_GB2312" w:eastAsia="仿宋_GB2312" w:cs="仿宋_GB2312"/>
          <w:color w:val="000000" w:themeColor="text1"/>
          <w:sz w:val="32"/>
          <w:szCs w:val="32"/>
          <w:lang w:val="en-US" w:eastAsia="zh-CN"/>
        </w:rPr>
        <w:t>4311</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134.7</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17.罚没收入</w:t>
      </w:r>
      <w:r>
        <w:rPr>
          <w:rFonts w:hint="eastAsia" w:ascii="仿宋_GB2312" w:hAnsi="仿宋_GB2312" w:eastAsia="仿宋_GB2312" w:cs="仿宋_GB2312"/>
          <w:color w:val="000000" w:themeColor="text1"/>
          <w:sz w:val="32"/>
          <w:szCs w:val="32"/>
          <w:lang w:val="en-US" w:eastAsia="zh-CN"/>
        </w:rPr>
        <w:t>4559</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138.2</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18.国有资源(资产)有偿使用收入</w:t>
      </w:r>
      <w:r>
        <w:rPr>
          <w:rFonts w:hint="eastAsia" w:ascii="仿宋_GB2312" w:hAnsi="仿宋_GB2312" w:eastAsia="仿宋_GB2312" w:cs="仿宋_GB2312"/>
          <w:color w:val="000000" w:themeColor="text1"/>
          <w:sz w:val="32"/>
          <w:szCs w:val="32"/>
          <w:lang w:val="en-US" w:eastAsia="zh-CN"/>
        </w:rPr>
        <w:t>27426</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为年初预算的85.7</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19.捐赠收入</w:t>
      </w:r>
      <w:r>
        <w:rPr>
          <w:rFonts w:hint="eastAsia" w:ascii="仿宋_GB2312" w:hAnsi="仿宋_GB2312" w:eastAsia="仿宋_GB2312" w:cs="仿宋_GB2312"/>
          <w:color w:val="000000" w:themeColor="text1"/>
          <w:sz w:val="32"/>
          <w:szCs w:val="32"/>
          <w:lang w:val="en-US" w:eastAsia="zh-CN"/>
        </w:rPr>
        <w:t>130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20.政府住房基金收入</w:t>
      </w:r>
      <w:r>
        <w:rPr>
          <w:rFonts w:hint="eastAsia" w:ascii="仿宋_GB2312" w:hAnsi="仿宋_GB2312" w:eastAsia="仿宋_GB2312" w:cs="仿宋_GB2312"/>
          <w:color w:val="000000" w:themeColor="text1"/>
          <w:sz w:val="32"/>
          <w:szCs w:val="32"/>
          <w:lang w:val="en-US" w:eastAsia="zh-CN"/>
        </w:rPr>
        <w:t>141</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为年初预算的188</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21.其他收入</w:t>
      </w:r>
      <w:r>
        <w:rPr>
          <w:rFonts w:hint="eastAsia" w:ascii="仿宋_GB2312" w:hAnsi="仿宋_GB2312" w:eastAsia="仿宋_GB2312" w:cs="仿宋_GB2312"/>
          <w:color w:val="000000" w:themeColor="text1"/>
          <w:sz w:val="32"/>
          <w:szCs w:val="32"/>
          <w:lang w:val="en-US" w:eastAsia="zh-CN"/>
        </w:rPr>
        <w:t>10545</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为年初预算的</w:t>
      </w:r>
      <w:r>
        <w:rPr>
          <w:rFonts w:hint="eastAsia" w:ascii="仿宋_GB2312" w:hAnsi="仿宋_GB2312" w:eastAsia="仿宋_GB2312" w:cs="仿宋_GB2312"/>
          <w:color w:val="000000" w:themeColor="text1"/>
          <w:sz w:val="32"/>
          <w:szCs w:val="32"/>
          <w:lang w:val="en-US" w:eastAsia="zh-CN"/>
        </w:rPr>
        <w:t>238.3</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6"/>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000000" w:themeColor="text1"/>
          <w:sz w:val="32"/>
          <w:szCs w:val="32"/>
        </w:rPr>
      </w:pPr>
    </w:p>
    <w:p>
      <w:pPr>
        <w:pStyle w:val="26"/>
        <w:keepNext w:val="0"/>
        <w:keepLines w:val="0"/>
        <w:pageBreakBefore w:val="0"/>
        <w:widowControl w:val="0"/>
        <w:kinsoku/>
        <w:wordWrap/>
        <w:overflowPunct/>
        <w:topLinePunct w:val="0"/>
        <w:autoSpaceDE/>
        <w:autoSpaceDN/>
        <w:bidi w:val="0"/>
        <w:adjustRightInd/>
        <w:snapToGrid/>
        <w:spacing w:line="572" w:lineRule="exact"/>
        <w:ind w:firstLine="480" w:firstLineChars="150"/>
        <w:textAlignment w:val="auto"/>
        <w:rPr>
          <w:rFonts w:hint="eastAsia" w:ascii="仿宋_GB2312" w:hAnsi="仿宋" w:eastAsia="仿宋_GB2312"/>
          <w:color w:val="000000"/>
          <w:sz w:val="32"/>
          <w:szCs w:val="32"/>
        </w:rPr>
      </w:pPr>
    </w:p>
    <w:p>
      <w:pPr>
        <w:pStyle w:val="26"/>
        <w:keepNext w:val="0"/>
        <w:keepLines w:val="0"/>
        <w:pageBreakBefore w:val="0"/>
        <w:widowControl w:val="0"/>
        <w:kinsoku/>
        <w:wordWrap/>
        <w:overflowPunct/>
        <w:topLinePunct w:val="0"/>
        <w:autoSpaceDE/>
        <w:autoSpaceDN/>
        <w:bidi w:val="0"/>
        <w:adjustRightInd/>
        <w:snapToGrid/>
        <w:spacing w:line="572" w:lineRule="exact"/>
        <w:ind w:firstLine="480" w:firstLineChars="150"/>
        <w:textAlignment w:val="auto"/>
        <w:rPr>
          <w:rFonts w:hint="eastAsia" w:ascii="仿宋_GB2312" w:hAnsi="仿宋" w:eastAsia="仿宋_GB2312"/>
          <w:color w:val="000000"/>
          <w:sz w:val="32"/>
          <w:szCs w:val="32"/>
        </w:rPr>
      </w:pPr>
    </w:p>
    <w:p>
      <w:pPr>
        <w:pStyle w:val="26"/>
        <w:spacing w:line="600" w:lineRule="exact"/>
        <w:ind w:firstLine="480" w:firstLineChars="150"/>
        <w:rPr>
          <w:rFonts w:hint="eastAsia" w:ascii="仿宋_GB2312" w:hAnsi="仿宋" w:eastAsia="仿宋_GB2312"/>
          <w:color w:val="000000"/>
          <w:sz w:val="32"/>
          <w:szCs w:val="32"/>
        </w:rPr>
      </w:pPr>
    </w:p>
    <w:p>
      <w:pPr>
        <w:pStyle w:val="26"/>
        <w:spacing w:line="600" w:lineRule="exact"/>
        <w:ind w:firstLine="480" w:firstLineChars="150"/>
        <w:rPr>
          <w:rFonts w:hint="eastAsia" w:ascii="仿宋_GB2312" w:hAnsi="仿宋" w:eastAsia="仿宋_GB2312"/>
          <w:color w:val="000000"/>
          <w:sz w:val="32"/>
          <w:szCs w:val="32"/>
        </w:rPr>
      </w:pPr>
    </w:p>
    <w:p>
      <w:pPr>
        <w:pStyle w:val="26"/>
        <w:spacing w:line="600" w:lineRule="exact"/>
        <w:ind w:firstLine="480" w:firstLineChars="150"/>
        <w:rPr>
          <w:rFonts w:hint="eastAsia" w:ascii="仿宋_GB2312" w:hAnsi="仿宋" w:eastAsia="仿宋_GB2312"/>
          <w:color w:val="000000"/>
          <w:sz w:val="32"/>
          <w:szCs w:val="32"/>
        </w:rPr>
      </w:pPr>
    </w:p>
    <w:p>
      <w:pPr>
        <w:pStyle w:val="26"/>
        <w:spacing w:line="600" w:lineRule="exact"/>
        <w:ind w:firstLine="480" w:firstLineChars="150"/>
        <w:rPr>
          <w:rFonts w:hint="eastAsia" w:ascii="仿宋_GB2312" w:hAnsi="仿宋" w:eastAsia="仿宋_GB2312"/>
          <w:color w:val="000000"/>
          <w:sz w:val="32"/>
          <w:szCs w:val="32"/>
        </w:rPr>
      </w:pPr>
    </w:p>
    <w:p>
      <w:pPr>
        <w:pStyle w:val="26"/>
        <w:spacing w:line="600" w:lineRule="exact"/>
        <w:ind w:firstLine="480" w:firstLineChars="150"/>
        <w:rPr>
          <w:rFonts w:hint="eastAsia" w:ascii="仿宋_GB2312" w:hAnsi="仿宋" w:eastAsia="仿宋_GB2312"/>
          <w:color w:val="000000"/>
          <w:sz w:val="32"/>
          <w:szCs w:val="32"/>
        </w:rPr>
      </w:pPr>
    </w:p>
    <w:p>
      <w:pPr>
        <w:pStyle w:val="26"/>
        <w:spacing w:line="600" w:lineRule="exact"/>
        <w:ind w:firstLine="480" w:firstLineChars="150"/>
        <w:rPr>
          <w:rFonts w:hint="eastAsia" w:ascii="仿宋_GB2312" w:hAnsi="仿宋" w:eastAsia="仿宋_GB2312"/>
          <w:color w:val="000000"/>
          <w:sz w:val="32"/>
          <w:szCs w:val="32"/>
        </w:rPr>
      </w:pPr>
    </w:p>
    <w:p>
      <w:pPr>
        <w:pStyle w:val="26"/>
        <w:spacing w:line="600" w:lineRule="exact"/>
        <w:ind w:firstLine="480" w:firstLineChars="150"/>
        <w:rPr>
          <w:rFonts w:hint="eastAsia" w:ascii="仿宋_GB2312" w:hAnsi="仿宋" w:eastAsia="仿宋_GB2312"/>
          <w:color w:val="000000"/>
          <w:sz w:val="32"/>
          <w:szCs w:val="32"/>
        </w:rPr>
      </w:pPr>
    </w:p>
    <w:p>
      <w:pPr>
        <w:pStyle w:val="26"/>
        <w:spacing w:line="600" w:lineRule="exact"/>
        <w:ind w:firstLine="480" w:firstLineChars="150"/>
        <w:rPr>
          <w:rFonts w:hint="eastAsia" w:ascii="仿宋_GB2312" w:hAnsi="仿宋" w:eastAsia="仿宋_GB2312"/>
          <w:color w:val="000000"/>
          <w:sz w:val="32"/>
          <w:szCs w:val="32"/>
        </w:rPr>
      </w:pPr>
    </w:p>
    <w:p>
      <w:pPr>
        <w:pStyle w:val="26"/>
        <w:spacing w:line="600" w:lineRule="exact"/>
        <w:ind w:firstLine="480" w:firstLineChars="150"/>
        <w:rPr>
          <w:rFonts w:hint="eastAsia" w:ascii="仿宋_GB2312" w:hAnsi="仿宋" w:eastAsia="仿宋_GB2312"/>
          <w:color w:val="000000"/>
          <w:sz w:val="32"/>
          <w:szCs w:val="32"/>
        </w:rPr>
      </w:pPr>
    </w:p>
    <w:p>
      <w:pPr>
        <w:pStyle w:val="26"/>
        <w:spacing w:line="600" w:lineRule="exact"/>
        <w:ind w:firstLine="480" w:firstLineChars="150"/>
        <w:rPr>
          <w:rFonts w:hint="eastAsia" w:ascii="仿宋_GB2312" w:hAnsi="仿宋" w:eastAsia="仿宋_GB2312"/>
          <w:color w:val="000000"/>
          <w:sz w:val="32"/>
          <w:szCs w:val="32"/>
        </w:rPr>
      </w:pPr>
    </w:p>
    <w:p>
      <w:pPr>
        <w:pStyle w:val="26"/>
        <w:spacing w:line="600" w:lineRule="exact"/>
        <w:ind w:left="0" w:leftChars="0" w:firstLine="0" w:firstLineChars="0"/>
        <w:rPr>
          <w:rFonts w:hint="eastAsia" w:ascii="仿宋_GB2312" w:hAnsi="仿宋" w:eastAsia="仿宋_GB2312"/>
          <w:color w:val="000000"/>
          <w:sz w:val="32"/>
          <w:szCs w:val="32"/>
        </w:rPr>
      </w:pPr>
    </w:p>
    <w:tbl>
      <w:tblPr>
        <w:tblStyle w:val="20"/>
        <w:tblW w:w="907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41"/>
        <w:gridCol w:w="1930"/>
        <w:gridCol w:w="1749"/>
        <w:gridCol w:w="2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5071"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表三</w:t>
            </w:r>
          </w:p>
        </w:tc>
        <w:tc>
          <w:tcPr>
            <w:tcW w:w="4008"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57" w:hRule="atLeast"/>
          <w:jc w:val="center"/>
        </w:trPr>
        <w:tc>
          <w:tcPr>
            <w:tcW w:w="9079"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202</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5</w:t>
            </w:r>
            <w:r>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t>年一般公共预算支出执行情况表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5" w:hRule="atLeast"/>
          <w:jc w:val="center"/>
        </w:trPr>
        <w:tc>
          <w:tcPr>
            <w:tcW w:w="3141"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679" w:type="dxa"/>
            <w:gridSpan w:val="2"/>
            <w:tcBorders>
              <w:top w:val="nil"/>
              <w:left w:val="nil"/>
              <w:bottom w:val="nil"/>
              <w:right w:val="nil"/>
            </w:tcBorders>
            <w:shd w:val="clear" w:color="auto" w:fill="auto"/>
            <w:vAlign w:val="center"/>
          </w:tcPr>
          <w:p>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w:t>
            </w:r>
          </w:p>
        </w:tc>
        <w:tc>
          <w:tcPr>
            <w:tcW w:w="2259" w:type="dxa"/>
            <w:tcBorders>
              <w:top w:val="nil"/>
              <w:left w:val="nil"/>
              <w:bottom w:val="single" w:color="000000" w:sz="8" w:space="0"/>
              <w:right w:val="nil"/>
            </w:tcBorders>
            <w:shd w:val="clear" w:color="auto" w:fill="auto"/>
            <w:vAlign w:val="center"/>
          </w:tcPr>
          <w:p>
            <w:pPr>
              <w:keepNext w:val="0"/>
              <w:keepLines w:val="0"/>
              <w:widowControl/>
              <w:suppressLineNumbers w:val="0"/>
              <w:ind w:firstLine="720" w:firstLineChars="3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852" w:hRule="atLeast"/>
          <w:jc w:val="center"/>
        </w:trPr>
        <w:tc>
          <w:tcPr>
            <w:tcW w:w="31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1930"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调整预算数</w:t>
            </w:r>
          </w:p>
        </w:tc>
        <w:tc>
          <w:tcPr>
            <w:tcW w:w="17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执行数</w:t>
            </w:r>
          </w:p>
        </w:tc>
        <w:tc>
          <w:tcPr>
            <w:tcW w:w="225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为调整预算数%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一般公共服务支出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53724</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54899</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sz w:val="24"/>
                <w:szCs w:val="24"/>
                <w:u w:val="none"/>
                <w:lang w:val="en-US" w:eastAsia="zh-CN"/>
              </w:rPr>
            </w:pPr>
            <w:r>
              <w:rPr>
                <w:rFonts w:hint="eastAsia" w:ascii="宋体" w:hAnsi="宋体" w:eastAsia="宋体" w:cs="宋体"/>
                <w:b w:val="0"/>
                <w:bCs/>
                <w:i w:val="0"/>
                <w:iCs w:val="0"/>
                <w:color w:val="000000"/>
                <w:sz w:val="24"/>
                <w:szCs w:val="24"/>
                <w:u w:val="none"/>
                <w:lang w:val="en-US" w:eastAsia="zh-CN"/>
              </w:rPr>
              <w:t>国防支出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102</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102</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公共安全支出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14770</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14813</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教育支出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93286</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94673</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科学技术支出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21131</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21183</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文化旅游体育与传媒支出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4189</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4390</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社会保障和就业支出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70717</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67396</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卫生健康支出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27478</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33717</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节能环保支出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8528</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8975</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城乡社区支出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13736</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48038</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349.7%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农林水支出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68781</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69802</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交通运输支出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7688</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9828</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资源勘探工业信息等支出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1843</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1826</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商业服务业等支出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262</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279</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自然资源海洋气象等支出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3202</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3389</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住房保障支出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14840</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14797</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粮油物资储备支出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693</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778</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灾害防治及应急管理支出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2214</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2404</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26" w:hRule="atLeast"/>
          <w:jc w:val="center"/>
        </w:trPr>
        <w:tc>
          <w:tcPr>
            <w:tcW w:w="31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债务付息支出</w:t>
            </w:r>
          </w:p>
        </w:tc>
        <w:tc>
          <w:tcPr>
            <w:tcW w:w="1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5566</w:t>
            </w:r>
          </w:p>
        </w:tc>
        <w:tc>
          <w:tcPr>
            <w:tcW w:w="17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5566</w:t>
            </w:r>
          </w:p>
        </w:tc>
        <w:tc>
          <w:tcPr>
            <w:tcW w:w="22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47" w:hRule="atLeast"/>
          <w:jc w:val="center"/>
        </w:trPr>
        <w:tc>
          <w:tcPr>
            <w:tcW w:w="31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其它支出</w:t>
            </w:r>
          </w:p>
        </w:tc>
        <w:tc>
          <w:tcPr>
            <w:tcW w:w="19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2328</w:t>
            </w:r>
          </w:p>
        </w:tc>
        <w:tc>
          <w:tcPr>
            <w:tcW w:w="174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2343</w:t>
            </w:r>
          </w:p>
        </w:tc>
        <w:tc>
          <w:tcPr>
            <w:tcW w:w="225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47" w:hRule="atLeast"/>
          <w:jc w:val="center"/>
        </w:trPr>
        <w:tc>
          <w:tcPr>
            <w:tcW w:w="31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   计</w:t>
            </w:r>
          </w:p>
        </w:tc>
        <w:tc>
          <w:tcPr>
            <w:tcW w:w="19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415078</w:t>
            </w:r>
          </w:p>
        </w:tc>
        <w:tc>
          <w:tcPr>
            <w:tcW w:w="174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459198</w:t>
            </w:r>
          </w:p>
        </w:tc>
        <w:tc>
          <w:tcPr>
            <w:tcW w:w="225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110.6%</w:t>
            </w:r>
          </w:p>
        </w:tc>
      </w:tr>
    </w:tbl>
    <w:p>
      <w:pPr>
        <w:pStyle w:val="26"/>
        <w:keepNext w:val="0"/>
        <w:keepLines w:val="0"/>
        <w:pageBreakBefore w:val="0"/>
        <w:widowControl w:val="0"/>
        <w:kinsoku/>
        <w:wordWrap/>
        <w:overflowPunct/>
        <w:topLinePunct w:val="0"/>
        <w:autoSpaceDE/>
        <w:autoSpaceDN/>
        <w:bidi w:val="0"/>
        <w:adjustRightInd/>
        <w:snapToGrid/>
        <w:spacing w:line="20" w:lineRule="exact"/>
        <w:ind w:firstLine="480" w:firstLineChars="150"/>
        <w:textAlignment w:val="auto"/>
        <w:rPr>
          <w:rFonts w:hint="eastAsia" w:ascii="仿宋_GB2312" w:hAnsi="仿宋" w:eastAsia="仿宋_GB2312"/>
          <w:color w:val="000000"/>
          <w:sz w:val="32"/>
          <w:szCs w:val="32"/>
        </w:rPr>
      </w:pP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ascii="宋体" w:eastAsia="宋体"/>
          <w:b/>
        </w:rPr>
      </w:pPr>
      <w:r>
        <w:rPr>
          <w:rFonts w:ascii="宋体" w:eastAsia="宋体"/>
          <w:b/>
        </w:rPr>
        <w:br w:type="page"/>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关于202</w:t>
      </w:r>
      <w:r>
        <w:rPr>
          <w:rFonts w:hint="eastAsia" w:hAnsi="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年一般公共预算支出执行情况的</w:t>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说明</w:t>
      </w:r>
    </w:p>
    <w:p>
      <w:pPr>
        <w:pStyle w:val="26"/>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年全县一般公共预算支出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rPr>
        <w:t>预算合计</w:t>
      </w:r>
      <w:r>
        <w:rPr>
          <w:rFonts w:hint="eastAsia" w:ascii="仿宋_GB2312" w:hAnsi="仿宋_GB2312" w:eastAsia="仿宋_GB2312" w:cs="仿宋_GB2312"/>
          <w:color w:val="auto"/>
          <w:sz w:val="32"/>
          <w:szCs w:val="32"/>
          <w:lang w:val="en-US" w:eastAsia="zh-CN"/>
        </w:rPr>
        <w:t>415078</w:t>
      </w:r>
      <w:r>
        <w:rPr>
          <w:rFonts w:hint="eastAsia" w:ascii="仿宋_GB2312" w:hAnsi="仿宋_GB2312" w:eastAsia="仿宋_GB2312" w:cs="仿宋_GB2312"/>
          <w:color w:val="auto"/>
          <w:sz w:val="32"/>
          <w:szCs w:val="32"/>
        </w:rPr>
        <w:t>万元，实际完成</w:t>
      </w:r>
      <w:r>
        <w:rPr>
          <w:rFonts w:hint="eastAsia" w:ascii="仿宋_GB2312" w:hAnsi="仿宋_GB2312" w:eastAsia="仿宋_GB2312" w:cs="仿宋_GB2312"/>
          <w:color w:val="auto"/>
          <w:sz w:val="32"/>
          <w:szCs w:val="32"/>
          <w:lang w:val="en-US" w:eastAsia="zh-CN"/>
        </w:rPr>
        <w:t>459198</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110.6</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主要项目执行情况是：</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1.一般公共服务支出</w:t>
      </w:r>
      <w:r>
        <w:rPr>
          <w:rFonts w:hint="eastAsia" w:ascii="仿宋_GB2312" w:hAnsi="仿宋_GB2312" w:eastAsia="仿宋_GB2312" w:cs="仿宋_GB2312"/>
          <w:color w:val="auto"/>
          <w:sz w:val="32"/>
          <w:szCs w:val="32"/>
          <w:lang w:val="en-US" w:eastAsia="zh-CN"/>
        </w:rPr>
        <w:t>54899</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2.国防支出102万元，为调整预算的100%；</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公共安全支出</w:t>
      </w:r>
      <w:r>
        <w:rPr>
          <w:rFonts w:hint="eastAsia" w:ascii="仿宋_GB2312" w:hAnsi="仿宋_GB2312" w:eastAsia="仿宋_GB2312" w:cs="仿宋_GB2312"/>
          <w:color w:val="auto"/>
          <w:sz w:val="32"/>
          <w:szCs w:val="32"/>
          <w:lang w:val="en-US" w:eastAsia="zh-CN"/>
        </w:rPr>
        <w:t>14813</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.教育支出</w:t>
      </w:r>
      <w:r>
        <w:rPr>
          <w:rFonts w:hint="eastAsia" w:ascii="仿宋_GB2312" w:hAnsi="仿宋_GB2312" w:eastAsia="仿宋_GB2312" w:cs="仿宋_GB2312"/>
          <w:color w:val="auto"/>
          <w:sz w:val="32"/>
          <w:szCs w:val="32"/>
          <w:lang w:val="en-US" w:eastAsia="zh-CN"/>
        </w:rPr>
        <w:t>94673</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.科学技术支出</w:t>
      </w:r>
      <w:r>
        <w:rPr>
          <w:rFonts w:hint="eastAsia" w:ascii="仿宋_GB2312" w:hAnsi="仿宋_GB2312" w:eastAsia="仿宋_GB2312" w:cs="仿宋_GB2312"/>
          <w:color w:val="auto"/>
          <w:sz w:val="32"/>
          <w:szCs w:val="32"/>
          <w:lang w:val="en-US" w:eastAsia="zh-CN"/>
        </w:rPr>
        <w:t>21183</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文化旅游体育与传媒支出</w:t>
      </w:r>
      <w:r>
        <w:rPr>
          <w:rFonts w:hint="eastAsia" w:ascii="仿宋_GB2312" w:hAnsi="仿宋_GB2312" w:eastAsia="仿宋_GB2312" w:cs="仿宋_GB2312"/>
          <w:color w:val="auto"/>
          <w:sz w:val="32"/>
          <w:szCs w:val="32"/>
          <w:lang w:val="en-US" w:eastAsia="zh-CN"/>
        </w:rPr>
        <w:t>4390</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104.8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.社会保障和就业支出</w:t>
      </w:r>
      <w:r>
        <w:rPr>
          <w:rFonts w:hint="eastAsia" w:ascii="仿宋_GB2312" w:hAnsi="仿宋_GB2312" w:eastAsia="仿宋_GB2312" w:cs="仿宋_GB2312"/>
          <w:color w:val="auto"/>
          <w:sz w:val="32"/>
          <w:szCs w:val="32"/>
          <w:lang w:val="en-US" w:eastAsia="zh-CN"/>
        </w:rPr>
        <w:t>67396</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95.3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.卫生健康支出</w:t>
      </w:r>
      <w:r>
        <w:rPr>
          <w:rFonts w:hint="eastAsia" w:ascii="仿宋_GB2312" w:hAnsi="仿宋_GB2312" w:eastAsia="仿宋_GB2312" w:cs="仿宋_GB2312"/>
          <w:color w:val="auto"/>
          <w:sz w:val="32"/>
          <w:szCs w:val="32"/>
          <w:lang w:val="en-US" w:eastAsia="zh-CN"/>
        </w:rPr>
        <w:t>33717</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122.7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.节能环保支出</w:t>
      </w:r>
      <w:r>
        <w:rPr>
          <w:rFonts w:hint="eastAsia" w:ascii="仿宋_GB2312" w:hAnsi="仿宋_GB2312" w:eastAsia="仿宋_GB2312" w:cs="仿宋_GB2312"/>
          <w:color w:val="auto"/>
          <w:sz w:val="32"/>
          <w:szCs w:val="32"/>
          <w:lang w:val="en-US" w:eastAsia="zh-CN"/>
        </w:rPr>
        <w:t>8975</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105.2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.城乡社区支出</w:t>
      </w:r>
      <w:r>
        <w:rPr>
          <w:rFonts w:hint="eastAsia" w:ascii="仿宋_GB2312" w:hAnsi="仿宋_GB2312" w:eastAsia="仿宋_GB2312" w:cs="仿宋_GB2312"/>
          <w:color w:val="auto"/>
          <w:sz w:val="32"/>
          <w:szCs w:val="32"/>
          <w:lang w:val="en-US" w:eastAsia="zh-CN"/>
        </w:rPr>
        <w:t>48038</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349.7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.农林水支出</w:t>
      </w:r>
      <w:r>
        <w:rPr>
          <w:rFonts w:hint="eastAsia" w:ascii="仿宋_GB2312" w:hAnsi="仿宋_GB2312" w:eastAsia="仿宋_GB2312" w:cs="仿宋_GB2312"/>
          <w:color w:val="auto"/>
          <w:sz w:val="32"/>
          <w:szCs w:val="32"/>
          <w:lang w:val="en-US" w:eastAsia="zh-CN"/>
        </w:rPr>
        <w:t>69802</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.交通运输支出</w:t>
      </w:r>
      <w:r>
        <w:rPr>
          <w:rFonts w:hint="eastAsia" w:ascii="仿宋_GB2312" w:hAnsi="仿宋_GB2312" w:eastAsia="仿宋_GB2312" w:cs="仿宋_GB2312"/>
          <w:color w:val="auto"/>
          <w:sz w:val="32"/>
          <w:szCs w:val="32"/>
          <w:lang w:val="en-US" w:eastAsia="zh-CN"/>
        </w:rPr>
        <w:t>9828</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127.8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.资源勘探工业信息等支出</w:t>
      </w:r>
      <w:r>
        <w:rPr>
          <w:rFonts w:hint="eastAsia" w:ascii="仿宋_GB2312" w:hAnsi="仿宋_GB2312" w:eastAsia="仿宋_GB2312" w:cs="仿宋_GB2312"/>
          <w:color w:val="auto"/>
          <w:sz w:val="32"/>
          <w:szCs w:val="32"/>
          <w:lang w:val="en-US" w:eastAsia="zh-CN"/>
        </w:rPr>
        <w:t>1826</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99.1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.商业服务业等支出</w:t>
      </w:r>
      <w:r>
        <w:rPr>
          <w:rFonts w:hint="eastAsia" w:ascii="仿宋_GB2312" w:hAnsi="仿宋_GB2312" w:eastAsia="仿宋_GB2312" w:cs="仿宋_GB2312"/>
          <w:color w:val="auto"/>
          <w:sz w:val="32"/>
          <w:szCs w:val="32"/>
          <w:lang w:val="en-US" w:eastAsia="zh-CN"/>
        </w:rPr>
        <w:t>279</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106.5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.自然资源海洋气象等支出</w:t>
      </w:r>
      <w:r>
        <w:rPr>
          <w:rFonts w:hint="eastAsia" w:ascii="仿宋_GB2312" w:hAnsi="仿宋_GB2312" w:eastAsia="仿宋_GB2312" w:cs="仿宋_GB2312"/>
          <w:color w:val="auto"/>
          <w:sz w:val="32"/>
          <w:szCs w:val="32"/>
          <w:lang w:val="en-US" w:eastAsia="zh-CN"/>
        </w:rPr>
        <w:t>3389</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105.8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eastAsia="zh-CN"/>
        </w:rPr>
        <w:t>14797</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99.7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.粮</w:t>
      </w:r>
      <w:r>
        <w:rPr>
          <w:rFonts w:hint="eastAsia" w:ascii="仿宋_GB2312" w:hAnsi="仿宋_GB2312" w:eastAsia="仿宋_GB2312" w:cs="仿宋_GB2312"/>
          <w:color w:val="auto"/>
          <w:sz w:val="32"/>
          <w:szCs w:val="32"/>
          <w:lang w:val="en-US" w:eastAsia="zh-CN"/>
        </w:rPr>
        <w:t>油</w:t>
      </w:r>
      <w:r>
        <w:rPr>
          <w:rFonts w:hint="eastAsia" w:ascii="仿宋_GB2312" w:hAnsi="仿宋_GB2312" w:eastAsia="仿宋_GB2312" w:cs="仿宋_GB2312"/>
          <w:color w:val="auto"/>
          <w:sz w:val="32"/>
          <w:szCs w:val="32"/>
        </w:rPr>
        <w:t>物资储备支出</w:t>
      </w:r>
      <w:r>
        <w:rPr>
          <w:rFonts w:hint="eastAsia" w:ascii="仿宋_GB2312" w:hAnsi="仿宋_GB2312" w:eastAsia="仿宋_GB2312" w:cs="仿宋_GB2312"/>
          <w:color w:val="auto"/>
          <w:sz w:val="32"/>
          <w:szCs w:val="32"/>
          <w:lang w:val="en-US" w:eastAsia="zh-CN"/>
        </w:rPr>
        <w:t>778</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112.3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.灾害防治及应急管理支出</w:t>
      </w:r>
      <w:r>
        <w:rPr>
          <w:rFonts w:hint="eastAsia" w:ascii="仿宋_GB2312" w:hAnsi="仿宋_GB2312" w:eastAsia="仿宋_GB2312" w:cs="仿宋_GB2312"/>
          <w:color w:val="auto"/>
          <w:sz w:val="32"/>
          <w:szCs w:val="32"/>
          <w:lang w:val="en-US" w:eastAsia="zh-CN"/>
        </w:rPr>
        <w:t>2404</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108.6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.其他支出</w:t>
      </w:r>
      <w:r>
        <w:rPr>
          <w:rFonts w:hint="eastAsia" w:ascii="仿宋_GB2312" w:hAnsi="仿宋_GB2312" w:eastAsia="仿宋_GB2312" w:cs="仿宋_GB2312"/>
          <w:color w:val="auto"/>
          <w:sz w:val="32"/>
          <w:szCs w:val="32"/>
          <w:lang w:val="en-US" w:eastAsia="zh-CN"/>
        </w:rPr>
        <w:t>2343</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.债务付息支出</w:t>
      </w:r>
      <w:r>
        <w:rPr>
          <w:rFonts w:hint="eastAsia" w:ascii="仿宋_GB2312" w:hAnsi="仿宋_GB2312" w:eastAsia="仿宋_GB2312" w:cs="仿宋_GB2312"/>
          <w:color w:val="auto"/>
          <w:sz w:val="32"/>
          <w:szCs w:val="32"/>
          <w:lang w:val="en-US" w:eastAsia="zh-CN"/>
        </w:rPr>
        <w:t>5566</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eastAsia="zh-CN"/>
        </w:rPr>
        <w:t>调整预算</w:t>
      </w:r>
      <w:r>
        <w:rPr>
          <w:rFonts w:hint="eastAsia" w:ascii="仿宋_GB2312" w:hAnsi="仿宋_GB2312" w:eastAsia="仿宋_GB2312" w:cs="仿宋_GB2312"/>
          <w:color w:val="auto"/>
          <w:sz w:val="32"/>
          <w:szCs w:val="32"/>
        </w:rPr>
        <w:t>的100%</w:t>
      </w:r>
      <w:r>
        <w:rPr>
          <w:rFonts w:hint="eastAsia" w:ascii="仿宋_GB2312" w:hAnsi="仿宋_GB2312" w:eastAsia="仿宋_GB2312" w:cs="仿宋_GB2312"/>
          <w:color w:val="auto"/>
          <w:sz w:val="32"/>
          <w:szCs w:val="32"/>
          <w:lang w:eastAsia="zh-CN"/>
        </w:rPr>
        <w:t>；</w:t>
      </w: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spacing w:line="600" w:lineRule="exact"/>
        <w:ind w:firstLine="707" w:firstLineChars="221"/>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ind w:firstLine="0" w:firstLineChars="0"/>
        <w:textAlignment w:val="auto"/>
        <w:rPr>
          <w:rFonts w:hint="eastAsia" w:ascii="仿宋_GB2312" w:hAnsi="仿宋" w:eastAsia="仿宋_GB2312"/>
          <w:sz w:val="32"/>
          <w:szCs w:val="32"/>
        </w:rPr>
      </w:pPr>
    </w:p>
    <w:tbl>
      <w:tblPr>
        <w:tblStyle w:val="20"/>
        <w:tblW w:w="9258" w:type="dxa"/>
        <w:jc w:val="center"/>
        <w:tblInd w:w="0" w:type="dxa"/>
        <w:tblLayout w:type="fixed"/>
        <w:tblCellMar>
          <w:top w:w="0" w:type="dxa"/>
          <w:left w:w="108" w:type="dxa"/>
          <w:bottom w:w="0" w:type="dxa"/>
          <w:right w:w="108" w:type="dxa"/>
        </w:tblCellMar>
      </w:tblPr>
      <w:tblGrid>
        <w:gridCol w:w="3475"/>
        <w:gridCol w:w="1180"/>
        <w:gridCol w:w="765"/>
        <w:gridCol w:w="2737"/>
        <w:gridCol w:w="133"/>
        <w:gridCol w:w="968"/>
      </w:tblGrid>
      <w:tr>
        <w:tblPrEx>
          <w:tblLayout w:type="fixed"/>
        </w:tblPrEx>
        <w:trPr>
          <w:trHeight w:val="661" w:hRule="atLeast"/>
          <w:jc w:val="center"/>
        </w:trPr>
        <w:tc>
          <w:tcPr>
            <w:tcW w:w="3475"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bookmarkStart w:id="2" w:name="RANGE!A1:D13"/>
            <w:r>
              <w:rPr>
                <w:rFonts w:hint="eastAsia" w:ascii="黑体" w:hAnsi="黑体" w:eastAsia="黑体" w:cs="黑体"/>
                <w:kern w:val="0"/>
                <w:sz w:val="32"/>
                <w:szCs w:val="32"/>
              </w:rPr>
              <w:t>表四</w:t>
            </w:r>
            <w:bookmarkEnd w:id="2"/>
          </w:p>
        </w:tc>
        <w:tc>
          <w:tcPr>
            <w:tcW w:w="1945" w:type="dxa"/>
            <w:gridSpan w:val="2"/>
            <w:tcBorders>
              <w:top w:val="nil"/>
              <w:left w:val="nil"/>
              <w:bottom w:val="nil"/>
              <w:right w:val="nil"/>
            </w:tcBorders>
            <w:shd w:val="clear" w:color="auto" w:fill="auto"/>
            <w:vAlign w:val="center"/>
          </w:tcPr>
          <w:p>
            <w:pPr>
              <w:widowControl/>
              <w:jc w:val="left"/>
              <w:rPr>
                <w:rFonts w:hint="eastAsia" w:ascii="宋体" w:hAnsi="宋体" w:eastAsia="宋体" w:cs="宋体"/>
                <w:color w:val="000000"/>
                <w:kern w:val="0"/>
                <w:sz w:val="24"/>
                <w:szCs w:val="24"/>
              </w:rPr>
            </w:pPr>
          </w:p>
        </w:tc>
        <w:tc>
          <w:tcPr>
            <w:tcW w:w="2870" w:type="dxa"/>
            <w:gridSpan w:val="2"/>
            <w:tcBorders>
              <w:top w:val="nil"/>
              <w:left w:val="nil"/>
              <w:bottom w:val="nil"/>
              <w:right w:val="nil"/>
            </w:tcBorders>
            <w:shd w:val="clear" w:color="auto" w:fill="auto"/>
            <w:vAlign w:val="center"/>
          </w:tcPr>
          <w:p>
            <w:pPr>
              <w:widowControl/>
              <w:jc w:val="left"/>
              <w:rPr>
                <w:rFonts w:hint="eastAsia" w:ascii="宋体" w:hAnsi="宋体" w:eastAsia="宋体" w:cs="宋体"/>
                <w:color w:val="000000"/>
                <w:kern w:val="0"/>
                <w:sz w:val="24"/>
                <w:szCs w:val="24"/>
              </w:rPr>
            </w:pPr>
          </w:p>
        </w:tc>
        <w:tc>
          <w:tcPr>
            <w:tcW w:w="968" w:type="dxa"/>
            <w:tcBorders>
              <w:top w:val="nil"/>
              <w:left w:val="nil"/>
              <w:bottom w:val="nil"/>
              <w:right w:val="nil"/>
            </w:tcBorders>
            <w:shd w:val="clear" w:color="auto" w:fill="auto"/>
            <w:vAlign w:val="center"/>
          </w:tcPr>
          <w:p>
            <w:pPr>
              <w:widowControl/>
              <w:jc w:val="left"/>
              <w:rPr>
                <w:rFonts w:hint="eastAsia"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1144" w:hRule="atLeast"/>
          <w:jc w:val="center"/>
        </w:trPr>
        <w:tc>
          <w:tcPr>
            <w:tcW w:w="9258" w:type="dxa"/>
            <w:gridSpan w:val="6"/>
            <w:tcBorders>
              <w:top w:val="nil"/>
              <w:left w:val="nil"/>
              <w:bottom w:val="nil"/>
              <w:right w:val="nil"/>
            </w:tcBorders>
            <w:shd w:val="clear" w:color="auto" w:fill="auto"/>
            <w:vAlign w:val="center"/>
          </w:tcPr>
          <w:p>
            <w:pPr>
              <w:pStyle w:val="48"/>
              <w:rPr>
                <w:rFonts w:hint="eastAsia" w:ascii="宋体" w:hAnsi="宋体" w:eastAsia="宋体" w:cs="宋体"/>
                <w:sz w:val="24"/>
                <w:szCs w:val="24"/>
              </w:rPr>
            </w:pPr>
            <w:r>
              <w:rPr>
                <w:rFonts w:hint="eastAsia" w:ascii="方正小标宋简体" w:hAnsi="方正小标宋简体" w:eastAsia="方正小标宋简体" w:cs="方正小标宋简体"/>
                <w:sz w:val="44"/>
                <w:szCs w:val="44"/>
              </w:rPr>
              <w:t>202</w:t>
            </w:r>
            <w:r>
              <w:rPr>
                <w:rFonts w:hint="eastAsia" w:hAnsi="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年政府性基金收支执行情况总表</w:t>
            </w:r>
          </w:p>
        </w:tc>
      </w:tr>
      <w:tr>
        <w:tblPrEx>
          <w:tblLayout w:type="fixed"/>
          <w:tblCellMar>
            <w:top w:w="0" w:type="dxa"/>
            <w:left w:w="108" w:type="dxa"/>
            <w:bottom w:w="0" w:type="dxa"/>
            <w:right w:w="108" w:type="dxa"/>
          </w:tblCellMar>
        </w:tblPrEx>
        <w:trPr>
          <w:trHeight w:val="683" w:hRule="atLeast"/>
          <w:jc w:val="center"/>
        </w:trPr>
        <w:tc>
          <w:tcPr>
            <w:tcW w:w="3475"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c>
          <w:tcPr>
            <w:tcW w:w="1180" w:type="dxa"/>
            <w:tcBorders>
              <w:top w:val="nil"/>
              <w:left w:val="nil"/>
              <w:bottom w:val="nil"/>
              <w:right w:val="nil"/>
            </w:tcBorders>
            <w:shd w:val="clear" w:color="auto" w:fill="auto"/>
            <w:vAlign w:val="center"/>
          </w:tcPr>
          <w:p>
            <w:pPr>
              <w:widowControl/>
              <w:jc w:val="right"/>
              <w:rPr>
                <w:rFonts w:hint="eastAsia" w:ascii="宋体" w:hAnsi="宋体" w:eastAsia="宋体" w:cs="宋体"/>
                <w:kern w:val="0"/>
                <w:sz w:val="24"/>
                <w:szCs w:val="24"/>
              </w:rPr>
            </w:pPr>
          </w:p>
        </w:tc>
        <w:tc>
          <w:tcPr>
            <w:tcW w:w="4603" w:type="dxa"/>
            <w:gridSpan w:val="4"/>
            <w:tcBorders>
              <w:top w:val="nil"/>
              <w:left w:val="nil"/>
              <w:bottom w:val="nil"/>
              <w:right w:val="nil"/>
            </w:tcBorders>
            <w:shd w:val="clear" w:color="auto" w:fill="auto"/>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万元</w:t>
            </w:r>
          </w:p>
        </w:tc>
      </w:tr>
      <w:tr>
        <w:tblPrEx>
          <w:tblLayout w:type="fixed"/>
          <w:tblCellMar>
            <w:top w:w="0" w:type="dxa"/>
            <w:left w:w="108" w:type="dxa"/>
            <w:bottom w:w="0" w:type="dxa"/>
            <w:right w:w="108" w:type="dxa"/>
          </w:tblCellMar>
        </w:tblPrEx>
        <w:trPr>
          <w:trHeight w:val="693" w:hRule="atLeast"/>
          <w:jc w:val="center"/>
        </w:trPr>
        <w:tc>
          <w:tcPr>
            <w:tcW w:w="3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执行数</w:t>
            </w:r>
          </w:p>
        </w:tc>
        <w:tc>
          <w:tcPr>
            <w:tcW w:w="35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预算科目</w:t>
            </w:r>
          </w:p>
        </w:tc>
        <w:tc>
          <w:tcPr>
            <w:tcW w:w="11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执行数</w:t>
            </w:r>
          </w:p>
        </w:tc>
      </w:tr>
      <w:tr>
        <w:tblPrEx>
          <w:tblLayout w:type="fixed"/>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一、县本级政府性基金收入</w:t>
            </w:r>
          </w:p>
        </w:tc>
        <w:tc>
          <w:tcPr>
            <w:tcW w:w="11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112080</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一、政府性基金支出</w:t>
            </w:r>
          </w:p>
        </w:tc>
        <w:tc>
          <w:tcPr>
            <w:tcW w:w="110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226840</w:t>
            </w:r>
          </w:p>
        </w:tc>
      </w:tr>
      <w:tr>
        <w:tblPrEx>
          <w:tblLayout w:type="fixed"/>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二、转移</w:t>
            </w:r>
            <w:r>
              <w:rPr>
                <w:rFonts w:hint="eastAsia" w:ascii="宋体" w:hAnsi="宋体" w:eastAsia="宋体" w:cs="宋体"/>
                <w:kern w:val="0"/>
                <w:sz w:val="24"/>
                <w:szCs w:val="24"/>
                <w:lang w:val="en-US" w:eastAsia="zh-CN"/>
              </w:rPr>
              <w:t>支付</w:t>
            </w:r>
            <w:r>
              <w:rPr>
                <w:rFonts w:hint="eastAsia" w:ascii="宋体" w:hAnsi="宋体" w:eastAsia="宋体" w:cs="宋体"/>
                <w:kern w:val="0"/>
                <w:sz w:val="24"/>
                <w:szCs w:val="24"/>
              </w:rPr>
              <w:t>收入</w:t>
            </w:r>
          </w:p>
        </w:tc>
        <w:tc>
          <w:tcPr>
            <w:tcW w:w="11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21938</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二、转移</w:t>
            </w:r>
            <w:r>
              <w:rPr>
                <w:rFonts w:hint="eastAsia" w:ascii="宋体" w:hAnsi="宋体" w:eastAsia="宋体" w:cs="宋体"/>
                <w:kern w:val="0"/>
                <w:sz w:val="24"/>
                <w:szCs w:val="24"/>
                <w:lang w:val="en-US" w:eastAsia="zh-CN"/>
              </w:rPr>
              <w:t>支付</w:t>
            </w:r>
            <w:r>
              <w:rPr>
                <w:rFonts w:hint="eastAsia" w:ascii="宋体" w:hAnsi="宋体" w:eastAsia="宋体" w:cs="宋体"/>
                <w:kern w:val="0"/>
                <w:sz w:val="24"/>
                <w:szCs w:val="24"/>
              </w:rPr>
              <w:t>支出</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ascii="宋体" w:hAnsi="宋体" w:eastAsia="宋体" w:cs="宋体"/>
                <w:sz w:val="24"/>
                <w:szCs w:val="24"/>
              </w:rPr>
              <w:t>—</w:t>
            </w:r>
          </w:p>
        </w:tc>
      </w:tr>
      <w:tr>
        <w:tblPrEx>
          <w:tblLayout w:type="fixed"/>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三、下级上解收入</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ascii="宋体" w:hAnsi="宋体" w:eastAsia="宋体" w:cs="宋体"/>
                <w:sz w:val="24"/>
                <w:szCs w:val="24"/>
              </w:rPr>
              <w:t>—</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三、上解支出</w:t>
            </w:r>
          </w:p>
        </w:tc>
        <w:tc>
          <w:tcPr>
            <w:tcW w:w="110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4327</w:t>
            </w:r>
          </w:p>
        </w:tc>
      </w:tr>
      <w:tr>
        <w:tblPrEx>
          <w:tblLayout w:type="fixed"/>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四、上年结余收入</w:t>
            </w:r>
          </w:p>
        </w:tc>
        <w:tc>
          <w:tcPr>
            <w:tcW w:w="11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104217</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四、年终结余</w:t>
            </w:r>
          </w:p>
        </w:tc>
        <w:tc>
          <w:tcPr>
            <w:tcW w:w="110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76866</w:t>
            </w:r>
          </w:p>
        </w:tc>
      </w:tr>
      <w:tr>
        <w:tblPrEx>
          <w:tblLayout w:type="fixed"/>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五、调入资金</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1960</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五、调出资金</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27945</w:t>
            </w:r>
          </w:p>
        </w:tc>
      </w:tr>
      <w:tr>
        <w:tblPrEx>
          <w:tblLayout w:type="fixed"/>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六、地方政府专项债务转贷收入</w:t>
            </w:r>
          </w:p>
        </w:tc>
        <w:tc>
          <w:tcPr>
            <w:tcW w:w="11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152152</w:t>
            </w:r>
          </w:p>
        </w:tc>
        <w:tc>
          <w:tcPr>
            <w:tcW w:w="3502" w:type="dxa"/>
            <w:gridSpan w:val="2"/>
            <w:tcBorders>
              <w:top w:val="nil"/>
              <w:left w:val="nil"/>
              <w:bottom w:val="single" w:color="auto" w:sz="4" w:space="0"/>
              <w:right w:val="single" w:color="auto" w:sz="4" w:space="0"/>
            </w:tcBorders>
            <w:shd w:val="clear" w:color="auto" w:fill="auto"/>
            <w:vAlign w:val="center"/>
          </w:tcPr>
          <w:p>
            <w:pPr>
              <w:widowControl/>
              <w:numPr>
                <w:ilvl w:val="0"/>
                <w:numId w:val="1"/>
              </w:numPr>
              <w:jc w:val="left"/>
              <w:rPr>
                <w:rFonts w:hint="eastAsia" w:ascii="宋体" w:hAnsi="宋体" w:eastAsia="宋体" w:cs="宋体"/>
                <w:kern w:val="0"/>
                <w:sz w:val="24"/>
                <w:szCs w:val="24"/>
              </w:rPr>
            </w:pPr>
            <w:r>
              <w:rPr>
                <w:rFonts w:hint="eastAsia" w:ascii="宋体" w:hAnsi="宋体" w:eastAsia="宋体" w:cs="宋体"/>
                <w:kern w:val="0"/>
                <w:sz w:val="24"/>
                <w:szCs w:val="24"/>
              </w:rPr>
              <w:t>地方政府专项债务还本支</w:t>
            </w:r>
            <w:bookmarkStart w:id="82" w:name="_GoBack"/>
            <w:bookmarkEnd w:id="82"/>
            <w:r>
              <w:rPr>
                <w:rFonts w:hint="eastAsia" w:ascii="宋体" w:hAnsi="宋体" w:eastAsia="宋体" w:cs="宋体"/>
                <w:kern w:val="0"/>
                <w:sz w:val="24"/>
                <w:szCs w:val="24"/>
              </w:rPr>
              <w:t>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含置换债</w:t>
            </w:r>
            <w:r>
              <w:rPr>
                <w:rFonts w:hint="eastAsia" w:ascii="宋体" w:hAnsi="宋体" w:eastAsia="宋体" w:cs="宋体"/>
                <w:kern w:val="0"/>
                <w:sz w:val="24"/>
                <w:szCs w:val="24"/>
                <w:lang w:eastAsia="zh-CN"/>
              </w:rPr>
              <w:t>）</w:t>
            </w:r>
          </w:p>
        </w:tc>
        <w:tc>
          <w:tcPr>
            <w:tcW w:w="110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56369</w:t>
            </w:r>
          </w:p>
        </w:tc>
      </w:tr>
      <w:tr>
        <w:tblPrEx>
          <w:tblLayout w:type="fixed"/>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rPr>
            </w:pP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693"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8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rPr>
            </w:pP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704" w:hRule="atLeast"/>
          <w:jc w:val="center"/>
        </w:trPr>
        <w:tc>
          <w:tcPr>
            <w:tcW w:w="34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收入总计</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bookmarkStart w:id="3" w:name="OLE_LINK4"/>
            <w:r>
              <w:rPr>
                <w:rFonts w:hint="eastAsia" w:ascii="宋体" w:hAnsi="宋体" w:eastAsia="宋体" w:cs="宋体"/>
                <w:kern w:val="0"/>
                <w:sz w:val="24"/>
                <w:szCs w:val="24"/>
                <w:lang w:val="en-US" w:eastAsia="zh-CN"/>
              </w:rPr>
              <w:t>392347</w:t>
            </w:r>
            <w:bookmarkEnd w:id="3"/>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支出总计</w:t>
            </w:r>
          </w:p>
        </w:tc>
        <w:tc>
          <w:tcPr>
            <w:tcW w:w="110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392347</w:t>
            </w:r>
          </w:p>
        </w:tc>
      </w:tr>
    </w:tbl>
    <w:p>
      <w:pPr>
        <w:spacing w:line="600" w:lineRule="exact"/>
        <w:ind w:left="498" w:leftChars="237"/>
        <w:rPr>
          <w:rFonts w:ascii="仿宋_GB2312" w:hAnsi="仿宋" w:eastAsia="仿宋_GB2312"/>
          <w:color w:val="000000"/>
          <w:sz w:val="32"/>
          <w:szCs w:val="32"/>
        </w:rPr>
      </w:pPr>
    </w:p>
    <w:p>
      <w:pPr>
        <w:widowControl/>
        <w:jc w:val="left"/>
        <w:rPr>
          <w:rFonts w:ascii="仿宋_GB2312" w:hAnsi="仿宋" w:eastAsia="仿宋_GB2312"/>
          <w:color w:val="000000"/>
          <w:sz w:val="32"/>
          <w:szCs w:val="32"/>
        </w:rPr>
      </w:pPr>
      <w:r>
        <w:rPr>
          <w:rFonts w:ascii="仿宋_GB2312" w:hAnsi="仿宋" w:eastAsia="仿宋_GB2312"/>
          <w:color w:val="000000"/>
          <w:sz w:val="32"/>
          <w:szCs w:val="32"/>
        </w:rPr>
        <w:br w:type="page"/>
      </w:r>
    </w:p>
    <w:p>
      <w:pPr>
        <w:pStyle w:val="48"/>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关于202</w:t>
      </w:r>
      <w:r>
        <w:rPr>
          <w:rFonts w:hint="eastAsia" w:hAnsi="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年政府性基金收支执行情况的说明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年，全县政府性基金预算收入总计</w:t>
      </w:r>
      <w:r>
        <w:rPr>
          <w:rFonts w:hint="eastAsia" w:ascii="仿宋_GB2312" w:hAnsi="仿宋_GB2312" w:eastAsia="仿宋_GB2312" w:cs="仿宋_GB2312"/>
          <w:color w:val="auto"/>
          <w:sz w:val="32"/>
          <w:szCs w:val="32"/>
          <w:lang w:val="en-US" w:eastAsia="zh-CN"/>
        </w:rPr>
        <w:t>392347</w:t>
      </w:r>
      <w:r>
        <w:rPr>
          <w:rFonts w:hint="eastAsia" w:ascii="仿宋_GB2312" w:hAnsi="仿宋_GB2312" w:eastAsia="仿宋_GB2312" w:cs="仿宋_GB2312"/>
          <w:color w:val="auto"/>
          <w:sz w:val="32"/>
          <w:szCs w:val="32"/>
        </w:rPr>
        <w:t>万元，其中：政府性基金收入</w:t>
      </w:r>
      <w:r>
        <w:rPr>
          <w:rFonts w:hint="eastAsia" w:ascii="仿宋_GB2312" w:hAnsi="仿宋_GB2312" w:eastAsia="仿宋_GB2312" w:cs="仿宋_GB2312"/>
          <w:color w:val="auto"/>
          <w:sz w:val="32"/>
          <w:szCs w:val="32"/>
          <w:lang w:val="en-US" w:eastAsia="zh-CN"/>
        </w:rPr>
        <w:t>112080</w:t>
      </w:r>
      <w:r>
        <w:rPr>
          <w:rFonts w:hint="eastAsia" w:ascii="仿宋_GB2312" w:hAnsi="仿宋_GB2312" w:eastAsia="仿宋_GB2312" w:cs="仿宋_GB2312"/>
          <w:color w:val="auto"/>
          <w:sz w:val="32"/>
          <w:szCs w:val="32"/>
        </w:rPr>
        <w:t>万元，转移</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21938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上年结余收入104217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调入资金1960万元，</w:t>
      </w:r>
      <w:r>
        <w:rPr>
          <w:rFonts w:hint="eastAsia" w:ascii="仿宋_GB2312" w:hAnsi="仿宋_GB2312" w:eastAsia="仿宋_GB2312" w:cs="仿宋_GB2312"/>
          <w:color w:val="auto"/>
          <w:sz w:val="32"/>
          <w:szCs w:val="32"/>
        </w:rPr>
        <w:t>地方政府专项债务转贷收入</w:t>
      </w:r>
      <w:r>
        <w:rPr>
          <w:rFonts w:hint="eastAsia" w:ascii="仿宋_GB2312" w:hAnsi="仿宋_GB2312" w:eastAsia="仿宋_GB2312" w:cs="仿宋_GB2312"/>
          <w:color w:val="auto"/>
          <w:sz w:val="32"/>
          <w:szCs w:val="32"/>
          <w:lang w:val="en-US" w:eastAsia="zh-CN"/>
        </w:rPr>
        <w:t>152152</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全县政府性基金预算支出总计</w:t>
      </w:r>
      <w:r>
        <w:rPr>
          <w:rFonts w:hint="eastAsia" w:ascii="仿宋_GB2312" w:hAnsi="仿宋_GB2312" w:eastAsia="仿宋_GB2312" w:cs="仿宋_GB2312"/>
          <w:color w:val="auto"/>
          <w:sz w:val="32"/>
          <w:szCs w:val="32"/>
          <w:lang w:val="en-US" w:eastAsia="zh-CN"/>
        </w:rPr>
        <w:t>392347</w:t>
      </w:r>
      <w:r>
        <w:rPr>
          <w:rFonts w:hint="eastAsia" w:ascii="仿宋_GB2312" w:hAnsi="仿宋_GB2312" w:eastAsia="仿宋_GB2312" w:cs="仿宋_GB2312"/>
          <w:color w:val="auto"/>
          <w:sz w:val="32"/>
          <w:szCs w:val="32"/>
        </w:rPr>
        <w:t>万元，其中：政府性基金支出</w:t>
      </w:r>
      <w:r>
        <w:rPr>
          <w:rFonts w:hint="eastAsia" w:ascii="仿宋_GB2312" w:hAnsi="仿宋_GB2312" w:eastAsia="仿宋_GB2312" w:cs="仿宋_GB2312"/>
          <w:color w:val="auto"/>
          <w:sz w:val="32"/>
          <w:szCs w:val="32"/>
          <w:lang w:val="en-US" w:eastAsia="zh-CN"/>
        </w:rPr>
        <w:t>226840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上解支出4327万元，年终结余76866万元，调出资金27945万元，</w:t>
      </w:r>
      <w:r>
        <w:rPr>
          <w:rFonts w:hint="eastAsia" w:ascii="仿宋_GB2312" w:hAnsi="仿宋_GB2312" w:eastAsia="仿宋_GB2312" w:cs="仿宋_GB2312"/>
          <w:color w:val="auto"/>
          <w:sz w:val="32"/>
          <w:szCs w:val="32"/>
        </w:rPr>
        <w:t>地方政府专项债务还本支出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含置换债）56369</w:t>
      </w:r>
      <w:r>
        <w:rPr>
          <w:rFonts w:hint="eastAsia" w:ascii="仿宋_GB2312" w:hAnsi="仿宋_GB2312" w:eastAsia="仿宋_GB2312" w:cs="仿宋_GB2312"/>
          <w:color w:val="auto"/>
          <w:sz w:val="32"/>
          <w:szCs w:val="32"/>
        </w:rPr>
        <w:t>万元。</w:t>
      </w: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tbl>
      <w:tblPr>
        <w:tblStyle w:val="20"/>
        <w:tblW w:w="89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4"/>
        <w:gridCol w:w="1416"/>
        <w:gridCol w:w="556"/>
        <w:gridCol w:w="663"/>
        <w:gridCol w:w="207"/>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419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表五</w:t>
            </w:r>
          </w:p>
        </w:tc>
        <w:tc>
          <w:tcPr>
            <w:tcW w:w="1972"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63"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080"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890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202</w:t>
            </w:r>
            <w:r>
              <w:rPr>
                <w:rFonts w:hint="eastAsia" w:ascii="方正小标宋简体" w:hAnsi="方正小标宋简体" w:eastAsia="方正小标宋简体" w:cs="方正小标宋简体"/>
                <w:i w:val="0"/>
                <w:iCs w:val="0"/>
                <w:color w:val="000000"/>
                <w:kern w:val="0"/>
                <w:sz w:val="44"/>
                <w:szCs w:val="44"/>
                <w:u w:val="none"/>
                <w:lang w:val="en-US" w:eastAsia="zh-CN" w:bidi="ar"/>
              </w:rPr>
              <w:t>5</w:t>
            </w:r>
            <w:r>
              <w:rPr>
                <w:rFonts w:hint="default" w:ascii="方正小标宋简体" w:hAnsi="方正小标宋简体" w:eastAsia="方正小标宋简体" w:cs="方正小标宋简体"/>
                <w:i w:val="0"/>
                <w:iCs w:val="0"/>
                <w:color w:val="000000"/>
                <w:kern w:val="0"/>
                <w:sz w:val="44"/>
                <w:szCs w:val="44"/>
                <w:u w:val="none"/>
                <w:lang w:val="en-US" w:eastAsia="zh-CN" w:bidi="ar"/>
              </w:rPr>
              <w:t>年政府性基金收入执行情况表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4194" w:type="dxa"/>
            <w:tcBorders>
              <w:top w:val="nil"/>
              <w:left w:val="nil"/>
              <w:bottom w:val="single" w:color="auto"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2" w:type="dxa"/>
            <w:gridSpan w:val="2"/>
            <w:tcBorders>
              <w:top w:val="nil"/>
              <w:left w:val="nil"/>
              <w:bottom w:val="single" w:color="auto"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3" w:type="dxa"/>
            <w:tcBorders>
              <w:top w:val="nil"/>
              <w:left w:val="nil"/>
              <w:bottom w:val="single" w:color="auto"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80" w:type="dxa"/>
            <w:gridSpan w:val="2"/>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预算数</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执行数</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为预算数%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4" w:name="OLE_LINK2" w:colFirst="1" w:colLast="2"/>
            <w:r>
              <w:rPr>
                <w:rFonts w:hint="eastAsia" w:ascii="宋体" w:hAnsi="宋体" w:eastAsia="宋体" w:cs="宋体"/>
                <w:i w:val="0"/>
                <w:color w:val="000000"/>
                <w:kern w:val="0"/>
                <w:sz w:val="24"/>
                <w:szCs w:val="24"/>
                <w:u w:val="none"/>
                <w:lang w:val="en-US" w:eastAsia="zh-CN" w:bidi="ar"/>
              </w:rPr>
              <w:t>国有土地收益基金收入</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1300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328</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农业土地开发资金收入</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700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182</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国有土地使用权出让收入</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100950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109194</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城市基础设施配套费收入</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5000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1466</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污水处理费收入</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1050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910</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86.7%</w:t>
            </w:r>
          </w:p>
        </w:tc>
      </w:tr>
      <w:bookmarkEnd w:id="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3" w:hRule="atLeast"/>
        </w:trPr>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合   计</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109000</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112080</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102.8%</w:t>
            </w:r>
          </w:p>
        </w:tc>
      </w:tr>
    </w:tbl>
    <w:p>
      <w:pPr>
        <w:spacing w:line="600" w:lineRule="exact"/>
        <w:rPr>
          <w:rFonts w:ascii="仿宋" w:hAnsi="仿宋" w:eastAsia="仿宋"/>
          <w:color w:val="000000"/>
          <w:sz w:val="32"/>
          <w:szCs w:val="32"/>
        </w:rPr>
      </w:pPr>
    </w:p>
    <w:p>
      <w:pPr>
        <w:widowControl/>
        <w:jc w:val="left"/>
        <w:rPr>
          <w:rFonts w:ascii="仿宋" w:hAnsi="仿宋" w:eastAsia="仿宋"/>
          <w:color w:val="000000"/>
          <w:sz w:val="32"/>
          <w:szCs w:val="32"/>
        </w:rPr>
      </w:pPr>
      <w:r>
        <w:rPr>
          <w:rFonts w:ascii="仿宋" w:hAnsi="仿宋" w:eastAsia="仿宋"/>
          <w:color w:val="000000"/>
          <w:sz w:val="32"/>
          <w:szCs w:val="32"/>
        </w:rPr>
        <w:br w:type="page"/>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sz w:val="44"/>
          <w:szCs w:val="44"/>
        </w:rPr>
      </w:pPr>
      <w:r>
        <w:rPr>
          <w:rFonts w:hint="eastAsia"/>
          <w:sz w:val="44"/>
          <w:szCs w:val="44"/>
        </w:rPr>
        <w:t>关于202</w:t>
      </w:r>
      <w:r>
        <w:rPr>
          <w:rFonts w:hint="eastAsia"/>
          <w:sz w:val="44"/>
          <w:szCs w:val="44"/>
          <w:lang w:val="en-US" w:eastAsia="zh-CN"/>
        </w:rPr>
        <w:t>5</w:t>
      </w:r>
      <w:r>
        <w:rPr>
          <w:rFonts w:hint="eastAsia"/>
          <w:sz w:val="44"/>
          <w:szCs w:val="44"/>
        </w:rPr>
        <w:t>年政府性基金收入执行情况的说明</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both"/>
        <w:textAlignment w:val="auto"/>
        <w:outlineLvl w:val="9"/>
        <w:rPr>
          <w:rFonts w:ascii="仿宋_GB2312" w:hAnsi="宋体" w:eastAsia="仿宋_GB2312"/>
          <w:b/>
          <w:color w:val="000000"/>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年全县政府性基金收入预算合计</w:t>
      </w:r>
      <w:r>
        <w:rPr>
          <w:rFonts w:hint="eastAsia" w:ascii="仿宋_GB2312" w:hAnsi="仿宋" w:eastAsia="仿宋_GB2312"/>
          <w:color w:val="000000"/>
          <w:sz w:val="32"/>
          <w:szCs w:val="32"/>
          <w:lang w:val="en-US" w:eastAsia="zh-CN"/>
        </w:rPr>
        <w:t>109000</w:t>
      </w:r>
      <w:r>
        <w:rPr>
          <w:rFonts w:hint="eastAsia" w:ascii="仿宋_GB2312" w:hAnsi="仿宋" w:eastAsia="仿宋_GB2312"/>
          <w:color w:val="000000"/>
          <w:sz w:val="32"/>
          <w:szCs w:val="32"/>
        </w:rPr>
        <w:t>万元，实际完成</w:t>
      </w:r>
      <w:r>
        <w:rPr>
          <w:rFonts w:hint="eastAsia" w:ascii="仿宋_GB2312" w:hAnsi="仿宋" w:eastAsia="仿宋_GB2312"/>
          <w:color w:val="000000"/>
          <w:sz w:val="32"/>
          <w:szCs w:val="32"/>
          <w:lang w:val="en-US" w:eastAsia="zh-CN"/>
        </w:rPr>
        <w:t>112080</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102.8</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themeColor="text1"/>
          <w:sz w:val="32"/>
          <w:szCs w:val="32"/>
        </w:rPr>
        <w:t>主要执行项目是：</w:t>
      </w:r>
    </w:p>
    <w:p>
      <w:pPr>
        <w:keepNext w:val="0"/>
        <w:keepLines w:val="0"/>
        <w:pageBreakBefore w:val="0"/>
        <w:widowControl w:val="0"/>
        <w:numPr>
          <w:ilvl w:val="0"/>
          <w:numId w:val="2"/>
        </w:numPr>
        <w:tabs>
          <w:tab w:val="left" w:pos="993"/>
        </w:tabs>
        <w:kinsoku/>
        <w:wordWrap/>
        <w:overflowPunct/>
        <w:topLinePunct w:val="0"/>
        <w:autoSpaceDE/>
        <w:autoSpaceDN/>
        <w:bidi w:val="0"/>
        <w:adjustRightInd/>
        <w:snapToGrid/>
        <w:spacing w:line="572" w:lineRule="exact"/>
        <w:ind w:firstLine="640" w:firstLineChars="200"/>
        <w:jc w:val="both"/>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国有土地收益基金收入</w:t>
      </w:r>
      <w:r>
        <w:rPr>
          <w:rFonts w:hint="eastAsia" w:ascii="仿宋_GB2312" w:hAnsi="仿宋" w:eastAsia="仿宋_GB2312"/>
          <w:color w:val="000000"/>
          <w:sz w:val="32"/>
          <w:szCs w:val="32"/>
          <w:lang w:val="en-US" w:eastAsia="zh-CN"/>
        </w:rPr>
        <w:t>328</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25.2%；</w:t>
      </w:r>
    </w:p>
    <w:p>
      <w:pPr>
        <w:keepNext w:val="0"/>
        <w:keepLines w:val="0"/>
        <w:pageBreakBefore w:val="0"/>
        <w:widowControl w:val="0"/>
        <w:tabs>
          <w:tab w:val="left" w:pos="993"/>
        </w:tabs>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w:t>
      </w:r>
      <w:r>
        <w:rPr>
          <w:rFonts w:hint="eastAsia" w:ascii="仿宋_GB2312" w:eastAsia="仿宋_GB2312"/>
        </w:rPr>
        <w:t xml:space="preserve"> </w:t>
      </w:r>
      <w:r>
        <w:rPr>
          <w:rFonts w:hint="eastAsia" w:ascii="仿宋_GB2312" w:hAnsi="仿宋" w:eastAsia="仿宋_GB2312"/>
          <w:color w:val="000000"/>
          <w:sz w:val="32"/>
          <w:szCs w:val="32"/>
        </w:rPr>
        <w:t>农业土地开发资金收入</w:t>
      </w:r>
      <w:r>
        <w:rPr>
          <w:rFonts w:hint="eastAsia" w:ascii="仿宋_GB2312" w:hAnsi="仿宋" w:eastAsia="仿宋_GB2312"/>
          <w:color w:val="000000"/>
          <w:sz w:val="32"/>
          <w:szCs w:val="32"/>
          <w:lang w:val="en-US" w:eastAsia="zh-CN"/>
        </w:rPr>
        <w:t>182</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26</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keepNext w:val="0"/>
        <w:keepLines w:val="0"/>
        <w:pageBreakBefore w:val="0"/>
        <w:widowControl w:val="0"/>
        <w:tabs>
          <w:tab w:val="left" w:pos="993"/>
        </w:tabs>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3.</w:t>
      </w:r>
      <w:r>
        <w:rPr>
          <w:rFonts w:hint="eastAsia" w:ascii="仿宋_GB2312" w:eastAsia="仿宋_GB2312"/>
        </w:rPr>
        <w:t xml:space="preserve"> </w:t>
      </w:r>
      <w:r>
        <w:rPr>
          <w:rFonts w:hint="eastAsia" w:ascii="仿宋_GB2312" w:hAnsi="仿宋" w:eastAsia="仿宋_GB2312"/>
          <w:color w:val="000000"/>
          <w:sz w:val="32"/>
          <w:szCs w:val="32"/>
        </w:rPr>
        <w:t>国有土地使用权出让收入</w:t>
      </w:r>
      <w:r>
        <w:rPr>
          <w:rFonts w:hint="eastAsia" w:ascii="仿宋_GB2312" w:hAnsi="仿宋" w:eastAsia="仿宋_GB2312"/>
          <w:color w:val="000000"/>
          <w:sz w:val="32"/>
          <w:szCs w:val="32"/>
          <w:lang w:val="en-US" w:eastAsia="zh-CN"/>
        </w:rPr>
        <w:t>109194</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108.2</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keepNext w:val="0"/>
        <w:keepLines w:val="0"/>
        <w:pageBreakBefore w:val="0"/>
        <w:widowControl w:val="0"/>
        <w:tabs>
          <w:tab w:val="left" w:pos="993"/>
        </w:tabs>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4.</w:t>
      </w:r>
      <w:r>
        <w:rPr>
          <w:rFonts w:hint="eastAsia" w:ascii="仿宋_GB2312" w:eastAsia="仿宋_GB2312"/>
        </w:rPr>
        <w:t xml:space="preserve"> </w:t>
      </w:r>
      <w:r>
        <w:rPr>
          <w:rFonts w:hint="eastAsia" w:ascii="仿宋_GB2312" w:hAnsi="仿宋" w:eastAsia="仿宋_GB2312"/>
          <w:color w:val="000000"/>
          <w:sz w:val="32"/>
          <w:szCs w:val="32"/>
        </w:rPr>
        <w:t>城市基础设施配套费收入</w:t>
      </w:r>
      <w:r>
        <w:rPr>
          <w:rFonts w:hint="eastAsia" w:ascii="仿宋_GB2312" w:hAnsi="仿宋" w:eastAsia="仿宋_GB2312"/>
          <w:color w:val="000000"/>
          <w:sz w:val="32"/>
          <w:szCs w:val="32"/>
          <w:lang w:val="en-US" w:eastAsia="zh-CN"/>
        </w:rPr>
        <w:t>1466</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29.3</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keepNext w:val="0"/>
        <w:keepLines w:val="0"/>
        <w:pageBreakBefore w:val="0"/>
        <w:widowControl w:val="0"/>
        <w:tabs>
          <w:tab w:val="left" w:pos="993"/>
        </w:tabs>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 w:eastAsia="仿宋_GB2312"/>
          <w:color w:val="FF0000"/>
          <w:sz w:val="32"/>
          <w:szCs w:val="32"/>
          <w:lang w:eastAsia="zh-CN"/>
        </w:rPr>
      </w:pPr>
      <w:r>
        <w:rPr>
          <w:rFonts w:hint="eastAsia" w:ascii="仿宋_GB2312" w:hAnsi="仿宋" w:eastAsia="仿宋_GB2312"/>
          <w:color w:val="000000"/>
          <w:sz w:val="32"/>
          <w:szCs w:val="32"/>
        </w:rPr>
        <w:t>5.</w:t>
      </w:r>
      <w:r>
        <w:rPr>
          <w:rFonts w:hint="eastAsia" w:ascii="仿宋_GB2312" w:eastAsia="仿宋_GB2312"/>
        </w:rPr>
        <w:t xml:space="preserve"> </w:t>
      </w:r>
      <w:r>
        <w:rPr>
          <w:rFonts w:hint="eastAsia" w:ascii="仿宋_GB2312" w:hAnsi="仿宋" w:eastAsia="仿宋_GB2312"/>
          <w:color w:val="000000"/>
          <w:sz w:val="32"/>
          <w:szCs w:val="32"/>
        </w:rPr>
        <w:t>污水处理费收入</w:t>
      </w:r>
      <w:r>
        <w:rPr>
          <w:rFonts w:hint="eastAsia" w:ascii="仿宋_GB2312" w:hAnsi="仿宋" w:eastAsia="仿宋_GB2312"/>
          <w:color w:val="000000"/>
          <w:sz w:val="32"/>
          <w:szCs w:val="32"/>
          <w:lang w:val="en-US" w:eastAsia="zh-CN"/>
        </w:rPr>
        <w:t>910</w:t>
      </w:r>
      <w:r>
        <w:rPr>
          <w:rFonts w:hint="eastAsia" w:ascii="仿宋_GB2312" w:hAnsi="仿宋" w:eastAsia="仿宋_GB2312"/>
          <w:color w:val="000000"/>
          <w:sz w:val="32"/>
          <w:szCs w:val="32"/>
        </w:rPr>
        <w:t>万元，为</w:t>
      </w:r>
      <w:r>
        <w:rPr>
          <w:rFonts w:hint="eastAsia" w:ascii="仿宋_GB2312" w:hAnsi="仿宋" w:eastAsia="仿宋_GB2312"/>
          <w:color w:val="000000"/>
          <w:sz w:val="32"/>
          <w:szCs w:val="32"/>
          <w:lang w:eastAsia="zh-CN"/>
        </w:rPr>
        <w:t>预算</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val="en-US" w:eastAsia="zh-CN"/>
        </w:rPr>
        <w:t>86.7</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tabs>
          <w:tab w:val="left" w:pos="993"/>
        </w:tabs>
        <w:spacing w:line="560" w:lineRule="exact"/>
        <w:ind w:firstLine="707" w:firstLineChars="221"/>
        <w:rPr>
          <w:rFonts w:hint="eastAsia" w:ascii="仿宋_GB2312" w:hAnsi="仿宋" w:eastAsia="仿宋_GB2312"/>
          <w:color w:val="000000"/>
          <w:sz w:val="32"/>
          <w:szCs w:val="32"/>
        </w:rPr>
      </w:pPr>
    </w:p>
    <w:p>
      <w:pPr>
        <w:rPr>
          <w:rFonts w:hint="eastAsia" w:ascii="仿宋_GB2312" w:hAnsi="仿宋" w:eastAsia="仿宋_GB2312"/>
          <w:color w:val="000000"/>
          <w:sz w:val="32"/>
          <w:szCs w:val="32"/>
        </w:rPr>
      </w:pPr>
      <w:r>
        <w:rPr>
          <w:rFonts w:hint="eastAsia" w:ascii="仿宋_GB2312" w:hAnsi="仿宋" w:eastAsia="仿宋_GB2312"/>
          <w:color w:val="000000"/>
          <w:sz w:val="32"/>
          <w:szCs w:val="32"/>
        </w:rPr>
        <w:br w:type="page"/>
      </w:r>
    </w:p>
    <w:tbl>
      <w:tblPr>
        <w:tblStyle w:val="20"/>
        <w:tblW w:w="8878" w:type="dxa"/>
        <w:tblInd w:w="89" w:type="dxa"/>
        <w:tblLayout w:type="fixed"/>
        <w:tblCellMar>
          <w:top w:w="0" w:type="dxa"/>
          <w:left w:w="108" w:type="dxa"/>
          <w:bottom w:w="0" w:type="dxa"/>
          <w:right w:w="108" w:type="dxa"/>
        </w:tblCellMar>
      </w:tblPr>
      <w:tblGrid>
        <w:gridCol w:w="3654"/>
        <w:gridCol w:w="1635"/>
        <w:gridCol w:w="1597"/>
        <w:gridCol w:w="1992"/>
      </w:tblGrid>
      <w:tr>
        <w:tblPrEx>
          <w:tblLayout w:type="fixed"/>
          <w:tblCellMar>
            <w:top w:w="0" w:type="dxa"/>
            <w:left w:w="108" w:type="dxa"/>
            <w:bottom w:w="0" w:type="dxa"/>
            <w:right w:w="108" w:type="dxa"/>
          </w:tblCellMar>
        </w:tblPrEx>
        <w:trPr>
          <w:trHeight w:val="767" w:hRule="atLeast"/>
        </w:trPr>
        <w:tc>
          <w:tcPr>
            <w:tcW w:w="3654"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黑体" w:hAnsi="黑体" w:eastAsia="黑体" w:cs="黑体"/>
                <w:color w:val="000000"/>
                <w:sz w:val="32"/>
                <w:szCs w:val="32"/>
              </w:rPr>
              <w:br w:type="page"/>
            </w:r>
            <w:r>
              <w:rPr>
                <w:rFonts w:hint="eastAsia" w:ascii="黑体" w:hAnsi="黑体" w:eastAsia="黑体" w:cs="黑体"/>
                <w:color w:val="000000"/>
                <w:sz w:val="32"/>
                <w:szCs w:val="32"/>
              </w:rPr>
              <w:br w:type="page"/>
            </w:r>
            <w:r>
              <w:rPr>
                <w:rFonts w:hint="eastAsia" w:ascii="黑体" w:hAnsi="黑体" w:eastAsia="黑体" w:cs="黑体"/>
                <w:kern w:val="0"/>
                <w:sz w:val="32"/>
                <w:szCs w:val="32"/>
              </w:rPr>
              <w:t>表六</w:t>
            </w:r>
          </w:p>
        </w:tc>
        <w:tc>
          <w:tcPr>
            <w:tcW w:w="1635"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c>
          <w:tcPr>
            <w:tcW w:w="1597"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c>
          <w:tcPr>
            <w:tcW w:w="1992"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328" w:hRule="atLeast"/>
        </w:trPr>
        <w:tc>
          <w:tcPr>
            <w:tcW w:w="8878" w:type="dxa"/>
            <w:gridSpan w:val="4"/>
            <w:tcBorders>
              <w:top w:val="nil"/>
              <w:left w:val="nil"/>
              <w:bottom w:val="nil"/>
              <w:right w:val="nil"/>
            </w:tcBorders>
            <w:shd w:val="clear" w:color="auto" w:fill="auto"/>
            <w:vAlign w:val="center"/>
          </w:tcPr>
          <w:p>
            <w:pPr>
              <w:pStyle w:val="48"/>
              <w:rPr>
                <w:rFonts w:hint="eastAsia" w:ascii="宋体" w:hAnsi="宋体" w:eastAsia="宋体" w:cs="宋体"/>
                <w:sz w:val="24"/>
                <w:szCs w:val="24"/>
              </w:rPr>
            </w:pPr>
            <w:r>
              <w:rPr>
                <w:rFonts w:hint="eastAsia" w:ascii="方正小标宋简体" w:hAnsi="方正小标宋简体" w:eastAsia="方正小标宋简体" w:cs="方正小标宋简体"/>
                <w:sz w:val="44"/>
                <w:szCs w:val="44"/>
              </w:rPr>
              <w:t>202</w:t>
            </w:r>
            <w:r>
              <w:rPr>
                <w:rFonts w:hint="eastAsia" w:hAnsi="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年政府性基金支出执行情况表</w:t>
            </w:r>
          </w:p>
        </w:tc>
      </w:tr>
      <w:tr>
        <w:tblPrEx>
          <w:tblLayout w:type="fixed"/>
          <w:tblCellMar>
            <w:top w:w="0" w:type="dxa"/>
            <w:left w:w="108" w:type="dxa"/>
            <w:bottom w:w="0" w:type="dxa"/>
            <w:right w:w="108" w:type="dxa"/>
          </w:tblCellMar>
        </w:tblPrEx>
        <w:trPr>
          <w:trHeight w:val="494" w:hRule="atLeast"/>
        </w:trPr>
        <w:tc>
          <w:tcPr>
            <w:tcW w:w="3654"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c>
          <w:tcPr>
            <w:tcW w:w="1635"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c>
          <w:tcPr>
            <w:tcW w:w="3589" w:type="dxa"/>
            <w:gridSpan w:val="2"/>
            <w:tcBorders>
              <w:top w:val="nil"/>
              <w:left w:val="nil"/>
              <w:bottom w:val="nil"/>
              <w:right w:val="nil"/>
            </w:tcBorders>
            <w:shd w:val="clear" w:color="auto" w:fill="auto"/>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tblPrEx>
          <w:tblLayout w:type="fixed"/>
          <w:tblCellMar>
            <w:top w:w="0" w:type="dxa"/>
            <w:left w:w="108" w:type="dxa"/>
            <w:bottom w:w="0" w:type="dxa"/>
            <w:right w:w="108" w:type="dxa"/>
          </w:tblCellMar>
        </w:tblPrEx>
        <w:trPr>
          <w:trHeight w:val="795" w:hRule="atLeast"/>
        </w:trPr>
        <w:tc>
          <w:tcPr>
            <w:tcW w:w="3654"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项   目</w:t>
            </w: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color w:val="000000"/>
                <w:kern w:val="0"/>
                <w:sz w:val="24"/>
                <w:szCs w:val="24"/>
                <w:u w:val="none"/>
                <w:lang w:val="en-US" w:eastAsia="zh-CN" w:bidi="ar"/>
              </w:rPr>
              <w:t>调整预算</w:t>
            </w:r>
          </w:p>
        </w:tc>
        <w:tc>
          <w:tcPr>
            <w:tcW w:w="15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执行数</w:t>
            </w:r>
          </w:p>
        </w:tc>
        <w:tc>
          <w:tcPr>
            <w:tcW w:w="19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为调整预算数%</w:t>
            </w:r>
          </w:p>
        </w:tc>
      </w:tr>
      <w:tr>
        <w:tblPrEx>
          <w:tblLayout w:type="fixed"/>
          <w:tblCellMar>
            <w:top w:w="0" w:type="dxa"/>
            <w:left w:w="108" w:type="dxa"/>
            <w:bottom w:w="0" w:type="dxa"/>
            <w:right w:w="108" w:type="dxa"/>
          </w:tblCellMar>
        </w:tblPrEx>
        <w:trPr>
          <w:trHeight w:val="626" w:hRule="atLeast"/>
        </w:trPr>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节能环保支出</w:t>
            </w:r>
          </w:p>
        </w:tc>
        <w:tc>
          <w:tcPr>
            <w:tcW w:w="16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2630</w:t>
            </w:r>
          </w:p>
        </w:tc>
        <w:tc>
          <w:tcPr>
            <w:tcW w:w="15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2630</w:t>
            </w:r>
          </w:p>
        </w:tc>
        <w:tc>
          <w:tcPr>
            <w:tcW w:w="19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626"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城乡社区支出</w:t>
            </w:r>
          </w:p>
        </w:tc>
        <w:tc>
          <w:tcPr>
            <w:tcW w:w="163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198672</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166979</w:t>
            </w:r>
          </w:p>
        </w:tc>
        <w:tc>
          <w:tcPr>
            <w:tcW w:w="19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84.0%</w:t>
            </w:r>
          </w:p>
        </w:tc>
      </w:tr>
      <w:tr>
        <w:tblPrEx>
          <w:tblLayout w:type="fixed"/>
          <w:tblCellMar>
            <w:top w:w="0" w:type="dxa"/>
            <w:left w:w="108" w:type="dxa"/>
            <w:bottom w:w="0" w:type="dxa"/>
            <w:right w:w="108" w:type="dxa"/>
          </w:tblCellMar>
        </w:tblPrEx>
        <w:trPr>
          <w:trHeight w:val="626"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农林水支出</w:t>
            </w:r>
          </w:p>
        </w:tc>
        <w:tc>
          <w:tcPr>
            <w:tcW w:w="163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6147</w:t>
            </w:r>
          </w:p>
        </w:tc>
        <w:tc>
          <w:tcPr>
            <w:tcW w:w="159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6147</w:t>
            </w:r>
          </w:p>
        </w:tc>
        <w:tc>
          <w:tcPr>
            <w:tcW w:w="19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584"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sz w:val="24"/>
                <w:szCs w:val="24"/>
                <w:lang w:val="en-US"/>
              </w:rPr>
            </w:pPr>
            <w:r>
              <w:rPr>
                <w:rFonts w:hint="eastAsia" w:ascii="宋体" w:hAnsi="宋体" w:eastAsia="宋体" w:cs="宋体"/>
                <w:i w:val="0"/>
                <w:color w:val="000000"/>
                <w:kern w:val="0"/>
                <w:sz w:val="24"/>
                <w:szCs w:val="24"/>
                <w:u w:val="none"/>
                <w:lang w:val="en-US" w:eastAsia="zh-CN" w:bidi="ar"/>
              </w:rPr>
              <w:t>资源勘探工业信息等支出</w:t>
            </w:r>
          </w:p>
        </w:tc>
        <w:tc>
          <w:tcPr>
            <w:tcW w:w="16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126</w:t>
            </w:r>
          </w:p>
        </w:tc>
        <w:tc>
          <w:tcPr>
            <w:tcW w:w="15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126</w:t>
            </w:r>
          </w:p>
        </w:tc>
        <w:tc>
          <w:tcPr>
            <w:tcW w:w="19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626" w:hRule="atLeast"/>
        </w:trPr>
        <w:tc>
          <w:tcPr>
            <w:tcW w:w="365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其他支出</w:t>
            </w:r>
          </w:p>
        </w:tc>
        <w:tc>
          <w:tcPr>
            <w:tcW w:w="16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33448</w:t>
            </w:r>
          </w:p>
        </w:tc>
        <w:tc>
          <w:tcPr>
            <w:tcW w:w="15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33448</w:t>
            </w:r>
          </w:p>
        </w:tc>
        <w:tc>
          <w:tcPr>
            <w:tcW w:w="19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626" w:hRule="atLeast"/>
        </w:trPr>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债务付息支出</w:t>
            </w: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17510</w:t>
            </w:r>
          </w:p>
        </w:tc>
        <w:tc>
          <w:tcPr>
            <w:tcW w:w="15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17510</w:t>
            </w:r>
          </w:p>
        </w:tc>
        <w:tc>
          <w:tcPr>
            <w:tcW w:w="19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626" w:hRule="atLeast"/>
        </w:trPr>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  计</w:t>
            </w:r>
          </w:p>
        </w:tc>
        <w:tc>
          <w:tcPr>
            <w:tcW w:w="16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258533</w:t>
            </w:r>
          </w:p>
        </w:tc>
        <w:tc>
          <w:tcPr>
            <w:tcW w:w="15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226840</w:t>
            </w:r>
          </w:p>
        </w:tc>
        <w:tc>
          <w:tcPr>
            <w:tcW w:w="19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87.7%</w:t>
            </w:r>
          </w:p>
        </w:tc>
      </w:tr>
    </w:tbl>
    <w:p>
      <w:pPr>
        <w:spacing w:line="600" w:lineRule="exact"/>
        <w:ind w:left="992" w:leftChars="244" w:hanging="480" w:hangingChars="150"/>
        <w:rPr>
          <w:rFonts w:ascii="仿宋" w:hAnsi="仿宋" w:eastAsia="仿宋"/>
          <w:color w:val="000000"/>
          <w:sz w:val="32"/>
          <w:szCs w:val="32"/>
        </w:rPr>
      </w:pPr>
    </w:p>
    <w:p>
      <w:pPr>
        <w:widowControl/>
        <w:jc w:val="left"/>
        <w:rPr>
          <w:rFonts w:ascii="仿宋" w:hAnsi="仿宋" w:eastAsia="仿宋"/>
          <w:color w:val="000000"/>
          <w:sz w:val="32"/>
          <w:szCs w:val="32"/>
        </w:rPr>
      </w:pPr>
      <w:r>
        <w:rPr>
          <w:rFonts w:ascii="仿宋" w:hAnsi="仿宋" w:eastAsia="仿宋"/>
          <w:color w:val="000000"/>
          <w:sz w:val="32"/>
          <w:szCs w:val="32"/>
        </w:rPr>
        <w:br w:type="page"/>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rPr>
      </w:pPr>
      <w:r>
        <w:rPr>
          <w:rFonts w:hint="eastAsia"/>
        </w:rPr>
        <w:t>关于202</w:t>
      </w:r>
      <w:r>
        <w:rPr>
          <w:rFonts w:hint="eastAsia"/>
          <w:lang w:val="en-US" w:eastAsia="zh-CN"/>
        </w:rPr>
        <w:t>5</w:t>
      </w:r>
      <w:r>
        <w:rPr>
          <w:rFonts w:hint="eastAsia"/>
        </w:rPr>
        <w:t>年政府性基金支出执行情况的说明</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年全县政府性基金支出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rPr>
        <w:t>预算合计</w:t>
      </w:r>
      <w:r>
        <w:rPr>
          <w:rFonts w:hint="eastAsia" w:ascii="仿宋_GB2312" w:hAnsi="仿宋_GB2312" w:eastAsia="仿宋_GB2312" w:cs="仿宋_GB2312"/>
          <w:color w:val="auto"/>
          <w:sz w:val="32"/>
          <w:szCs w:val="32"/>
          <w:lang w:val="en-US" w:eastAsia="zh-CN"/>
        </w:rPr>
        <w:t>258533</w:t>
      </w:r>
      <w:r>
        <w:rPr>
          <w:rFonts w:hint="eastAsia" w:ascii="仿宋_GB2312" w:hAnsi="仿宋_GB2312" w:eastAsia="仿宋_GB2312" w:cs="仿宋_GB2312"/>
          <w:color w:val="auto"/>
          <w:sz w:val="32"/>
          <w:szCs w:val="32"/>
        </w:rPr>
        <w:t>万元，实际完成</w:t>
      </w:r>
      <w:r>
        <w:rPr>
          <w:rFonts w:hint="eastAsia" w:ascii="仿宋_GB2312" w:hAnsi="仿宋_GB2312" w:eastAsia="仿宋_GB2312" w:cs="仿宋_GB2312"/>
          <w:color w:val="auto"/>
          <w:sz w:val="32"/>
          <w:szCs w:val="32"/>
          <w:lang w:val="en-US" w:eastAsia="zh-CN"/>
        </w:rPr>
        <w:t>226840</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87.7</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主要执行项目是：</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节能环保支出2630万元，为调整预算的100%；</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城乡社区支出</w:t>
      </w:r>
      <w:r>
        <w:rPr>
          <w:rFonts w:hint="eastAsia" w:ascii="仿宋_GB2312" w:hAnsi="仿宋_GB2312" w:eastAsia="仿宋_GB2312" w:cs="仿宋_GB2312"/>
          <w:color w:val="auto"/>
          <w:sz w:val="32"/>
          <w:szCs w:val="32"/>
          <w:lang w:val="en-US" w:eastAsia="zh-CN"/>
        </w:rPr>
        <w:t>166979</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农林水</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6147</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资源勘探工业信息等支出</w:t>
      </w:r>
      <w:r>
        <w:rPr>
          <w:rFonts w:hint="eastAsia" w:ascii="仿宋_GB2312" w:hAnsi="仿宋_GB2312" w:eastAsia="仿宋_GB2312" w:cs="仿宋_GB2312"/>
          <w:color w:val="auto"/>
          <w:sz w:val="32"/>
          <w:szCs w:val="32"/>
          <w:lang w:val="en-US" w:eastAsia="zh-CN"/>
        </w:rPr>
        <w:t>126万元，</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其他支出</w:t>
      </w:r>
      <w:r>
        <w:rPr>
          <w:rFonts w:hint="eastAsia" w:ascii="仿宋_GB2312" w:hAnsi="仿宋_GB2312" w:eastAsia="仿宋_GB2312" w:cs="仿宋_GB2312"/>
          <w:color w:val="auto"/>
          <w:sz w:val="32"/>
          <w:szCs w:val="32"/>
          <w:lang w:val="en-US" w:eastAsia="zh-CN"/>
        </w:rPr>
        <w:t>33448</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1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债务付息支出</w:t>
      </w:r>
      <w:r>
        <w:rPr>
          <w:rFonts w:hint="eastAsia" w:ascii="仿宋_GB2312" w:hAnsi="仿宋_GB2312" w:eastAsia="仿宋_GB2312" w:cs="仿宋_GB2312"/>
          <w:color w:val="auto"/>
          <w:sz w:val="32"/>
          <w:szCs w:val="32"/>
          <w:lang w:val="en-US" w:eastAsia="zh-CN"/>
        </w:rPr>
        <w:t>17510</w:t>
      </w:r>
      <w:r>
        <w:rPr>
          <w:rFonts w:hint="eastAsia" w:ascii="仿宋_GB2312" w:hAnsi="仿宋_GB2312" w:eastAsia="仿宋_GB2312" w:cs="仿宋_GB2312"/>
          <w:color w:val="auto"/>
          <w:sz w:val="32"/>
          <w:szCs w:val="32"/>
        </w:rPr>
        <w:t>万元，为</w:t>
      </w:r>
      <w:r>
        <w:rPr>
          <w:rFonts w:hint="eastAsia" w:ascii="仿宋_GB2312" w:hAnsi="仿宋_GB2312" w:eastAsia="仿宋_GB2312" w:cs="仿宋_GB2312"/>
          <w:color w:val="auto"/>
          <w:sz w:val="32"/>
          <w:szCs w:val="32"/>
          <w:lang w:val="en-US" w:eastAsia="zh-CN"/>
        </w:rPr>
        <w:t>调整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yellow"/>
        </w:rPr>
      </w:pPr>
    </w:p>
    <w:p>
      <w:pPr>
        <w:widowControl/>
        <w:jc w:val="left"/>
        <w:rPr>
          <w:rFonts w:ascii="仿宋" w:hAnsi="仿宋" w:eastAsia="仿宋"/>
          <w:color w:val="000000"/>
          <w:sz w:val="32"/>
          <w:szCs w:val="32"/>
          <w:highlight w:val="yellow"/>
        </w:rPr>
      </w:pPr>
    </w:p>
    <w:p>
      <w:pPr>
        <w:rPr>
          <w:rFonts w:ascii="仿宋" w:hAnsi="仿宋" w:eastAsia="仿宋"/>
          <w:color w:val="000000"/>
          <w:sz w:val="32"/>
          <w:szCs w:val="32"/>
          <w:highlight w:val="yellow"/>
        </w:rPr>
      </w:pPr>
      <w:r>
        <w:rPr>
          <w:rFonts w:ascii="仿宋" w:hAnsi="仿宋" w:eastAsia="仿宋"/>
          <w:color w:val="000000"/>
          <w:sz w:val="32"/>
          <w:szCs w:val="32"/>
          <w:highlight w:val="yellow"/>
        </w:rPr>
        <w:br w:type="page"/>
      </w:r>
    </w:p>
    <w:tbl>
      <w:tblPr>
        <w:tblStyle w:val="20"/>
        <w:tblW w:w="9359" w:type="dxa"/>
        <w:jc w:val="center"/>
        <w:tblInd w:w="0" w:type="dxa"/>
        <w:tblLayout w:type="fixed"/>
        <w:tblCellMar>
          <w:top w:w="0" w:type="dxa"/>
          <w:left w:w="108" w:type="dxa"/>
          <w:bottom w:w="0" w:type="dxa"/>
          <w:right w:w="108" w:type="dxa"/>
        </w:tblCellMar>
      </w:tblPr>
      <w:tblGrid>
        <w:gridCol w:w="3257"/>
        <w:gridCol w:w="1462"/>
        <w:gridCol w:w="3149"/>
        <w:gridCol w:w="1489"/>
        <w:gridCol w:w="2"/>
      </w:tblGrid>
      <w:tr>
        <w:tblPrEx>
          <w:tblLayout w:type="fixed"/>
          <w:tblCellMar>
            <w:top w:w="0" w:type="dxa"/>
            <w:left w:w="108" w:type="dxa"/>
            <w:bottom w:w="0" w:type="dxa"/>
            <w:right w:w="108" w:type="dxa"/>
          </w:tblCellMar>
        </w:tblPrEx>
        <w:trPr>
          <w:gridAfter w:val="4"/>
          <w:wAfter w:w="6102" w:type="dxa"/>
          <w:trHeight w:val="672" w:hRule="atLeast"/>
          <w:jc w:val="center"/>
        </w:trPr>
        <w:tc>
          <w:tcPr>
            <w:tcW w:w="3257"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bookmarkStart w:id="5" w:name="_Toc63764864"/>
            <w:r>
              <w:rPr>
                <w:rFonts w:hint="eastAsia" w:ascii="黑体" w:hAnsi="黑体" w:eastAsia="黑体" w:cs="黑体"/>
                <w:kern w:val="0"/>
                <w:sz w:val="32"/>
                <w:szCs w:val="32"/>
              </w:rPr>
              <w:t>表七</w:t>
            </w:r>
          </w:p>
        </w:tc>
      </w:tr>
      <w:tr>
        <w:tblPrEx>
          <w:tblLayout w:type="fixed"/>
          <w:tblCellMar>
            <w:top w:w="0" w:type="dxa"/>
            <w:left w:w="108" w:type="dxa"/>
            <w:bottom w:w="0" w:type="dxa"/>
            <w:right w:w="108" w:type="dxa"/>
          </w:tblCellMar>
        </w:tblPrEx>
        <w:trPr>
          <w:trHeight w:val="1164" w:hRule="atLeast"/>
          <w:jc w:val="center"/>
        </w:trPr>
        <w:tc>
          <w:tcPr>
            <w:tcW w:w="9359" w:type="dxa"/>
            <w:gridSpan w:val="5"/>
            <w:tcBorders>
              <w:top w:val="nil"/>
              <w:left w:val="nil"/>
              <w:bottom w:val="nil"/>
              <w:right w:val="nil"/>
            </w:tcBorders>
            <w:shd w:val="clear" w:color="auto" w:fill="auto"/>
            <w:vAlign w:val="center"/>
          </w:tcPr>
          <w:p>
            <w:pPr>
              <w:pStyle w:val="48"/>
              <w:rPr>
                <w:rFonts w:hint="eastAsia" w:ascii="宋体" w:hAnsi="宋体" w:eastAsia="宋体" w:cs="宋体"/>
                <w:sz w:val="24"/>
                <w:szCs w:val="24"/>
                <w:highlight w:val="none"/>
              </w:rPr>
            </w:pPr>
            <w:r>
              <w:rPr>
                <w:rFonts w:hint="eastAsia" w:hAnsi="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年一般公共预算收支预算总表</w:t>
            </w:r>
          </w:p>
        </w:tc>
      </w:tr>
      <w:tr>
        <w:tblPrEx>
          <w:tblLayout w:type="fixed"/>
          <w:tblCellMar>
            <w:top w:w="0" w:type="dxa"/>
            <w:left w:w="108" w:type="dxa"/>
            <w:bottom w:w="0" w:type="dxa"/>
            <w:right w:w="108" w:type="dxa"/>
          </w:tblCellMar>
        </w:tblPrEx>
        <w:trPr>
          <w:trHeight w:val="576" w:hRule="atLeast"/>
          <w:jc w:val="center"/>
        </w:trPr>
        <w:tc>
          <w:tcPr>
            <w:tcW w:w="9359" w:type="dxa"/>
            <w:gridSpan w:val="5"/>
            <w:tcBorders>
              <w:top w:val="nil"/>
              <w:left w:val="nil"/>
              <w:bottom w:val="nil"/>
              <w:right w:val="nil"/>
            </w:tcBorders>
            <w:shd w:val="clear" w:color="auto" w:fill="auto"/>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tblPrEx>
          <w:tblLayout w:type="fixed"/>
          <w:tblCellMar>
            <w:top w:w="0" w:type="dxa"/>
            <w:left w:w="108" w:type="dxa"/>
            <w:bottom w:w="0" w:type="dxa"/>
            <w:right w:w="108" w:type="dxa"/>
          </w:tblCellMar>
        </w:tblPrEx>
        <w:trPr>
          <w:gridAfter w:val="1"/>
          <w:wAfter w:w="2" w:type="dxa"/>
          <w:trHeight w:val="673" w:hRule="atLeast"/>
          <w:jc w:val="center"/>
        </w:trPr>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4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收入预算数</w:t>
            </w:r>
          </w:p>
        </w:tc>
        <w:tc>
          <w:tcPr>
            <w:tcW w:w="31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4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支出预算数</w:t>
            </w:r>
          </w:p>
        </w:tc>
      </w:tr>
      <w:tr>
        <w:tblPrEx>
          <w:tblLayout w:type="fixed"/>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本级收入</w:t>
            </w:r>
          </w:p>
        </w:tc>
        <w:tc>
          <w:tcPr>
            <w:tcW w:w="1462"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178100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本级支出</w:t>
            </w:r>
          </w:p>
        </w:tc>
        <w:tc>
          <w:tcPr>
            <w:tcW w:w="14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370982</w:t>
            </w:r>
          </w:p>
        </w:tc>
      </w:tr>
      <w:tr>
        <w:tblPrEx>
          <w:tblLayout w:type="fixed"/>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上级补助收入</w:t>
            </w:r>
          </w:p>
        </w:tc>
        <w:tc>
          <w:tcPr>
            <w:tcW w:w="14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kern w:val="0"/>
                <w:sz w:val="24"/>
                <w:szCs w:val="24"/>
                <w:highlight w:val="none"/>
                <w:lang w:val="en-US" w:eastAsia="zh-CN"/>
              </w:rPr>
              <w:t>235907</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上解</w:t>
            </w:r>
            <w:r>
              <w:rPr>
                <w:rFonts w:hint="eastAsia" w:ascii="宋体" w:hAnsi="宋体" w:eastAsia="宋体" w:cs="宋体"/>
                <w:kern w:val="0"/>
                <w:sz w:val="24"/>
                <w:szCs w:val="24"/>
                <w:highlight w:val="none"/>
                <w:lang w:eastAsia="zh-CN"/>
              </w:rPr>
              <w:t>支出</w:t>
            </w:r>
          </w:p>
        </w:tc>
        <w:tc>
          <w:tcPr>
            <w:tcW w:w="14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40600</w:t>
            </w:r>
          </w:p>
        </w:tc>
      </w:tr>
      <w:tr>
        <w:tblPrEx>
          <w:tblLayout w:type="fixed"/>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返还性收入</w:t>
            </w:r>
          </w:p>
        </w:tc>
        <w:tc>
          <w:tcPr>
            <w:tcW w:w="1462"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5910</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eastAsia="zh-CN"/>
              </w:rPr>
            </w:pPr>
          </w:p>
        </w:tc>
        <w:tc>
          <w:tcPr>
            <w:tcW w:w="14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rPr>
            </w:pPr>
          </w:p>
        </w:tc>
      </w:tr>
      <w:tr>
        <w:tblPrEx>
          <w:tblLayout w:type="fixed"/>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none"/>
              </w:rPr>
              <w:t xml:space="preserve">  一般性转移支付收入</w:t>
            </w:r>
          </w:p>
        </w:tc>
        <w:tc>
          <w:tcPr>
            <w:tcW w:w="1462"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default"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none"/>
                <w:lang w:val="en-US" w:eastAsia="zh-CN"/>
              </w:rPr>
              <w:t>222812</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p>
        </w:tc>
      </w:tr>
      <w:tr>
        <w:tblPrEx>
          <w:tblLayout w:type="fixed"/>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专项转移支付收入</w:t>
            </w:r>
          </w:p>
        </w:tc>
        <w:tc>
          <w:tcPr>
            <w:tcW w:w="1462"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7185</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p>
        </w:tc>
      </w:tr>
      <w:tr>
        <w:tblPrEx>
          <w:tblLayout w:type="fixed"/>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上年结余收入</w:t>
            </w:r>
          </w:p>
        </w:tc>
        <w:tc>
          <w:tcPr>
            <w:tcW w:w="1462"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506</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地方政府一般债务还本支出</w:t>
            </w:r>
          </w:p>
        </w:tc>
        <w:tc>
          <w:tcPr>
            <w:tcW w:w="14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2931</w:t>
            </w:r>
          </w:p>
        </w:tc>
      </w:tr>
      <w:tr>
        <w:tblPrEx>
          <w:tblLayout w:type="fixed"/>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动用</w:t>
            </w:r>
            <w:r>
              <w:rPr>
                <w:rFonts w:hint="eastAsia" w:ascii="宋体" w:hAnsi="宋体" w:eastAsia="宋体" w:cs="宋体"/>
                <w:kern w:val="0"/>
                <w:sz w:val="24"/>
                <w:szCs w:val="24"/>
              </w:rPr>
              <w:t>预算稳定调节基金</w:t>
            </w:r>
          </w:p>
        </w:tc>
        <w:tc>
          <w:tcPr>
            <w:tcW w:w="1462"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default" w:ascii="宋体" w:hAnsi="宋体" w:eastAsia="宋体" w:cs="宋体"/>
                <w:kern w:val="0"/>
                <w:sz w:val="24"/>
                <w:szCs w:val="24"/>
                <w:highlight w:val="none"/>
                <w:lang w:val="en-US" w:eastAsia="zh-CN"/>
              </w:rPr>
            </w:pPr>
            <w:r>
              <w:rPr>
                <w:rFonts w:ascii="宋体" w:hAnsi="宋体" w:eastAsia="宋体" w:cs="宋体"/>
                <w:sz w:val="24"/>
                <w:szCs w:val="24"/>
              </w:rPr>
              <w:t>—</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安排预算稳定调节基金</w:t>
            </w:r>
          </w:p>
        </w:tc>
        <w:tc>
          <w:tcPr>
            <w:tcW w:w="14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ascii="宋体" w:hAnsi="宋体" w:eastAsia="宋体" w:cs="宋体"/>
                <w:sz w:val="24"/>
                <w:szCs w:val="24"/>
              </w:rPr>
              <w:t>—</w:t>
            </w:r>
          </w:p>
        </w:tc>
      </w:tr>
      <w:tr>
        <w:tblPrEx>
          <w:tblLayout w:type="fixed"/>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地方政府一般债务转贷收入</w:t>
            </w:r>
          </w:p>
        </w:tc>
        <w:tc>
          <w:tcPr>
            <w:tcW w:w="1462"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kern w:val="0"/>
                <w:sz w:val="24"/>
                <w:szCs w:val="24"/>
                <w:highlight w:val="none"/>
                <w:lang w:val="en-US" w:eastAsia="zh-CN"/>
              </w:rPr>
            </w:pPr>
            <w:r>
              <w:rPr>
                <w:rFonts w:ascii="宋体" w:hAnsi="宋体" w:eastAsia="宋体" w:cs="宋体"/>
                <w:sz w:val="24"/>
                <w:szCs w:val="24"/>
              </w:rPr>
              <w:t>—</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补充预算周转金</w:t>
            </w:r>
          </w:p>
        </w:tc>
        <w:tc>
          <w:tcPr>
            <w:tcW w:w="14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ascii="宋体" w:hAnsi="宋体" w:eastAsia="宋体" w:cs="宋体"/>
                <w:sz w:val="24"/>
                <w:szCs w:val="24"/>
              </w:rPr>
              <w:t>—</w:t>
            </w:r>
          </w:p>
        </w:tc>
      </w:tr>
      <w:tr>
        <w:tblPrEx>
          <w:tblLayout w:type="fixed"/>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调入资金</w:t>
            </w:r>
          </w:p>
        </w:tc>
        <w:tc>
          <w:tcPr>
            <w:tcW w:w="1462"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default" w:ascii="宋体" w:hAnsi="宋体" w:eastAsia="宋体" w:cs="宋体"/>
                <w:kern w:val="0"/>
                <w:sz w:val="24"/>
                <w:szCs w:val="24"/>
                <w:highlight w:val="none"/>
                <w:lang w:val="en-US" w:eastAsia="zh-CN"/>
              </w:rPr>
            </w:pPr>
            <w:r>
              <w:rPr>
                <w:rFonts w:ascii="宋体" w:hAnsi="宋体" w:eastAsia="宋体" w:cs="宋体"/>
                <w:sz w:val="24"/>
                <w:szCs w:val="24"/>
              </w:rPr>
              <w:t>—</w:t>
            </w: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调出资金</w:t>
            </w:r>
          </w:p>
        </w:tc>
        <w:tc>
          <w:tcPr>
            <w:tcW w:w="14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ascii="宋体" w:hAnsi="宋体" w:eastAsia="宋体" w:cs="宋体"/>
                <w:sz w:val="24"/>
                <w:szCs w:val="24"/>
              </w:rPr>
              <w:t>—</w:t>
            </w:r>
          </w:p>
        </w:tc>
      </w:tr>
      <w:tr>
        <w:tblPrEx>
          <w:tblLayout w:type="fixed"/>
          <w:tblCellMar>
            <w:top w:w="0" w:type="dxa"/>
            <w:left w:w="108" w:type="dxa"/>
            <w:bottom w:w="0" w:type="dxa"/>
            <w:right w:w="108" w:type="dxa"/>
          </w:tblCellMar>
        </w:tblPrEx>
        <w:trPr>
          <w:gridAfter w:val="1"/>
          <w:wAfter w:w="2" w:type="dxa"/>
          <w:trHeight w:val="673"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2"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宋体" w:hAnsi="宋体" w:eastAsia="宋体" w:cs="宋体"/>
                <w:kern w:val="0"/>
                <w:sz w:val="24"/>
                <w:szCs w:val="24"/>
                <w:highlight w:val="none"/>
                <w:lang w:val="en-US" w:eastAsia="zh-CN"/>
              </w:rPr>
            </w:pPr>
          </w:p>
        </w:tc>
        <w:tc>
          <w:tcPr>
            <w:tcW w:w="314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p>
        </w:tc>
      </w:tr>
      <w:tr>
        <w:tblPrEx>
          <w:tblLayout w:type="fixed"/>
          <w:tblCellMar>
            <w:top w:w="0" w:type="dxa"/>
            <w:left w:w="108" w:type="dxa"/>
            <w:bottom w:w="0" w:type="dxa"/>
            <w:right w:w="108" w:type="dxa"/>
          </w:tblCellMar>
        </w:tblPrEx>
        <w:trPr>
          <w:gridAfter w:val="1"/>
          <w:wAfter w:w="2" w:type="dxa"/>
          <w:trHeight w:val="684" w:hRule="atLeast"/>
          <w:jc w:val="center"/>
        </w:trPr>
        <w:tc>
          <w:tcPr>
            <w:tcW w:w="32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收入总计</w:t>
            </w:r>
          </w:p>
        </w:tc>
        <w:tc>
          <w:tcPr>
            <w:tcW w:w="1462"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414513</w:t>
            </w:r>
          </w:p>
        </w:tc>
        <w:tc>
          <w:tcPr>
            <w:tcW w:w="314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支出总计</w:t>
            </w:r>
          </w:p>
        </w:tc>
        <w:tc>
          <w:tcPr>
            <w:tcW w:w="14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414513</w:t>
            </w:r>
          </w:p>
        </w:tc>
      </w:tr>
      <w:bookmarkEnd w:id="5"/>
    </w:tbl>
    <w:p>
      <w:pPr>
        <w:rPr>
          <w:rFonts w:hint="eastAsia" w:ascii="仿宋_GB2312" w:hAnsi="仿宋_GB2312" w:eastAsia="仿宋_GB2312" w:cs="仿宋_GB2312"/>
          <w:color w:val="auto"/>
          <w:sz w:val="32"/>
          <w:szCs w:val="32"/>
        </w:rPr>
        <w:sectPr>
          <w:footerReference r:id="rId3" w:type="default"/>
          <w:footerReference r:id="rId4" w:type="even"/>
          <w:pgSz w:w="11906" w:h="16838"/>
          <w:pgMar w:top="2098" w:right="1474" w:bottom="1928" w:left="1531" w:header="851" w:footer="1417" w:gutter="0"/>
          <w:pgBorders>
            <w:top w:val="none" w:sz="0" w:space="0"/>
            <w:left w:val="none" w:sz="0" w:space="0"/>
            <w:bottom w:val="none" w:sz="0" w:space="0"/>
            <w:right w:val="none" w:sz="0" w:space="0"/>
          </w:pgBorders>
          <w:pgNumType w:fmt="numberInDash" w:start="1"/>
          <w:cols w:space="0" w:num="1"/>
          <w:rtlGutter w:val="0"/>
          <w:docGrid w:type="lines" w:linePitch="312" w:charSpace="0"/>
        </w:sectPr>
      </w:pPr>
      <w:bookmarkStart w:id="6" w:name="_Toc11283"/>
      <w:bookmarkStart w:id="7" w:name="_Toc17998"/>
      <w:bookmarkStart w:id="8" w:name="_Toc28639"/>
      <w:bookmarkStart w:id="9" w:name="_Toc6468"/>
    </w:p>
    <w:tbl>
      <w:tblPr>
        <w:tblStyle w:val="20"/>
        <w:tblW w:w="8858" w:type="dxa"/>
        <w:jc w:val="center"/>
        <w:tblInd w:w="0" w:type="dxa"/>
        <w:tblLayout w:type="fixed"/>
        <w:tblCellMar>
          <w:top w:w="0" w:type="dxa"/>
          <w:left w:w="108" w:type="dxa"/>
          <w:bottom w:w="0" w:type="dxa"/>
          <w:right w:w="108" w:type="dxa"/>
        </w:tblCellMar>
      </w:tblPr>
      <w:tblGrid>
        <w:gridCol w:w="4035"/>
        <w:gridCol w:w="1707"/>
        <w:gridCol w:w="1707"/>
        <w:gridCol w:w="1409"/>
      </w:tblGrid>
      <w:tr>
        <w:tblPrEx>
          <w:tblLayout w:type="fixed"/>
          <w:tblCellMar>
            <w:top w:w="0" w:type="dxa"/>
            <w:left w:w="108" w:type="dxa"/>
            <w:bottom w:w="0" w:type="dxa"/>
            <w:right w:w="108" w:type="dxa"/>
          </w:tblCellMar>
        </w:tblPrEx>
        <w:trPr>
          <w:cantSplit/>
          <w:trHeight w:val="667" w:hRule="atLeast"/>
          <w:jc w:val="center"/>
        </w:trPr>
        <w:tc>
          <w:tcPr>
            <w:tcW w:w="4035"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黑体" w:hAnsi="黑体" w:eastAsia="黑体" w:cs="黑体"/>
                <w:sz w:val="32"/>
                <w:szCs w:val="32"/>
              </w:rPr>
              <w:br w:type="page"/>
            </w:r>
            <w:r>
              <w:rPr>
                <w:rFonts w:hint="eastAsia" w:ascii="黑体" w:hAnsi="黑体" w:eastAsia="黑体" w:cs="黑体"/>
                <w:sz w:val="32"/>
                <w:szCs w:val="32"/>
              </w:rPr>
              <w:br w:type="page"/>
            </w:r>
            <w:r>
              <w:rPr>
                <w:rFonts w:hint="eastAsia" w:ascii="黑体" w:hAnsi="黑体" w:eastAsia="黑体" w:cs="黑体"/>
                <w:kern w:val="0"/>
                <w:sz w:val="32"/>
                <w:szCs w:val="32"/>
              </w:rPr>
              <w:t>表</w:t>
            </w:r>
            <w:bookmarkStart w:id="10" w:name="RANGE!A1:D29"/>
            <w:r>
              <w:rPr>
                <w:rFonts w:hint="eastAsia" w:ascii="黑体" w:hAnsi="黑体" w:eastAsia="黑体" w:cs="黑体"/>
                <w:kern w:val="0"/>
                <w:sz w:val="32"/>
                <w:szCs w:val="32"/>
              </w:rPr>
              <w:t>八</w:t>
            </w:r>
            <w:bookmarkEnd w:id="10"/>
          </w:p>
        </w:tc>
        <w:tc>
          <w:tcPr>
            <w:tcW w:w="1707"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c>
          <w:tcPr>
            <w:tcW w:w="1707"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c>
          <w:tcPr>
            <w:tcW w:w="1409"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cantSplit/>
          <w:trHeight w:val="1154" w:hRule="atLeast"/>
          <w:jc w:val="center"/>
        </w:trPr>
        <w:tc>
          <w:tcPr>
            <w:tcW w:w="8858" w:type="dxa"/>
            <w:gridSpan w:val="4"/>
            <w:tcBorders>
              <w:top w:val="nil"/>
              <w:left w:val="nil"/>
              <w:bottom w:val="nil"/>
              <w:right w:val="nil"/>
            </w:tcBorders>
            <w:shd w:val="clear" w:color="auto" w:fill="auto"/>
            <w:vAlign w:val="center"/>
          </w:tcPr>
          <w:p>
            <w:pPr>
              <w:pStyle w:val="48"/>
              <w:rPr>
                <w:rFonts w:hint="eastAsia" w:ascii="宋体" w:hAnsi="宋体" w:eastAsia="宋体" w:cs="宋体"/>
                <w:sz w:val="24"/>
                <w:szCs w:val="24"/>
                <w:highlight w:val="none"/>
              </w:rPr>
            </w:pPr>
            <w:r>
              <w:rPr>
                <w:rFonts w:hint="eastAsia" w:ascii="方正小标宋简体" w:hAnsi="方正小标宋简体" w:eastAsia="方正小标宋简体" w:cs="方正小标宋简体"/>
                <w:sz w:val="44"/>
                <w:szCs w:val="44"/>
                <w:highlight w:val="none"/>
              </w:rPr>
              <w:t>202</w:t>
            </w:r>
            <w:r>
              <w:rPr>
                <w:rFonts w:hint="eastAsia" w:hAnsi="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rPr>
              <w:t>年一般公共预算收入预算表</w:t>
            </w:r>
          </w:p>
        </w:tc>
      </w:tr>
      <w:tr>
        <w:tblPrEx>
          <w:tblLayout w:type="fixed"/>
          <w:tblCellMar>
            <w:top w:w="0" w:type="dxa"/>
            <w:left w:w="108" w:type="dxa"/>
            <w:bottom w:w="0" w:type="dxa"/>
            <w:right w:w="108" w:type="dxa"/>
          </w:tblCellMar>
        </w:tblPrEx>
        <w:trPr>
          <w:cantSplit/>
          <w:trHeight w:val="454" w:hRule="atLeast"/>
          <w:jc w:val="center"/>
        </w:trPr>
        <w:tc>
          <w:tcPr>
            <w:tcW w:w="4035"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c>
          <w:tcPr>
            <w:tcW w:w="1707"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c>
          <w:tcPr>
            <w:tcW w:w="1707"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c>
          <w:tcPr>
            <w:tcW w:w="1409" w:type="dxa"/>
            <w:tcBorders>
              <w:top w:val="nil"/>
              <w:left w:val="nil"/>
              <w:bottom w:val="nil"/>
              <w:right w:val="nil"/>
            </w:tcBorders>
            <w:shd w:val="clear" w:color="auto" w:fill="auto"/>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项   目</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2025年执行数</w:t>
            </w:r>
          </w:p>
        </w:tc>
        <w:tc>
          <w:tcPr>
            <w:tcW w:w="1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2026年预算数</w:t>
            </w:r>
          </w:p>
        </w:tc>
        <w:tc>
          <w:tcPr>
            <w:tcW w:w="14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增幅%</w:t>
            </w: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税收收入</w:t>
            </w:r>
          </w:p>
        </w:tc>
        <w:tc>
          <w:tcPr>
            <w:tcW w:w="170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116329</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125000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7.5%</w:t>
            </w: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增值税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28747</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28800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企业所得税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6969</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9200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个人所得税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1302</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1400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资源税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2"/>
                <w:szCs w:val="22"/>
                <w:u w:val="none"/>
                <w:lang w:val="en-US" w:eastAsia="zh-CN" w:bidi="ar"/>
              </w:rPr>
              <w:t>6117</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9000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城市维护建设税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1926</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房产税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4332</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6000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印花税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1919</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2600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城镇土地使用税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2"/>
                <w:szCs w:val="22"/>
                <w:u w:val="none"/>
                <w:lang w:val="en-US" w:eastAsia="zh-CN" w:bidi="ar"/>
              </w:rPr>
              <w:t>7350</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9000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土地增值税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26136</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16000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车船税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4007</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4000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耕地占用税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13382</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15000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契税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10431</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18000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烟叶税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910</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环境保护税</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2801</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3000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      其他税收收入</w:t>
            </w:r>
          </w:p>
        </w:tc>
        <w:tc>
          <w:tcPr>
            <w:tcW w:w="170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ascii="宋体" w:hAnsi="宋体" w:eastAsia="宋体" w:cs="宋体"/>
                <w:sz w:val="24"/>
                <w:szCs w:val="24"/>
              </w:rPr>
              <w:t>—</w:t>
            </w:r>
          </w:p>
        </w:tc>
        <w:tc>
          <w:tcPr>
            <w:tcW w:w="170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ascii="宋体" w:hAnsi="宋体" w:eastAsia="宋体" w:cs="宋体"/>
                <w:sz w:val="24"/>
                <w:szCs w:val="24"/>
              </w:rPr>
              <w:t>—</w:t>
            </w:r>
          </w:p>
        </w:tc>
        <w:tc>
          <w:tcPr>
            <w:tcW w:w="140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非税收入</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53256</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53100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-0.3%</w:t>
            </w: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专项收入</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6144</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6200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行政事业性收费收入</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4311</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4400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罚没收入</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4559</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4600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spacing w:val="-6"/>
                <w:kern w:val="0"/>
                <w:sz w:val="24"/>
                <w:szCs w:val="24"/>
                <w:u w:val="none"/>
                <w:lang w:val="en-US" w:eastAsia="zh-CN" w:bidi="ar"/>
              </w:rPr>
              <w:t>国有资源(资产)有偿使用收入</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27426</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30000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捐赠收入</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2"/>
                <w:szCs w:val="22"/>
                <w:u w:val="none"/>
                <w:lang w:val="en-US" w:eastAsia="zh-CN" w:bidi="ar"/>
              </w:rPr>
              <w:t>130</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0</w:t>
            </w:r>
          </w:p>
        </w:tc>
        <w:tc>
          <w:tcPr>
            <w:tcW w:w="140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政府住房基金收入</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141</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100</w:t>
            </w:r>
          </w:p>
        </w:tc>
        <w:tc>
          <w:tcPr>
            <w:tcW w:w="140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0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 xml:space="preserve">      其他收入</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10545</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2"/>
                <w:szCs w:val="22"/>
                <w:u w:val="none"/>
                <w:lang w:val="en-US" w:eastAsia="zh-CN" w:bidi="ar"/>
              </w:rPr>
              <w:t>7800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p>
        </w:tc>
      </w:tr>
      <w:tr>
        <w:tblPrEx>
          <w:tblLayout w:type="fixed"/>
          <w:tblCellMar>
            <w:top w:w="0" w:type="dxa"/>
            <w:left w:w="108" w:type="dxa"/>
            <w:bottom w:w="0" w:type="dxa"/>
            <w:right w:w="108" w:type="dxa"/>
          </w:tblCellMar>
        </w:tblPrEx>
        <w:trPr>
          <w:cantSplit/>
          <w:trHeight w:val="415" w:hRule="atLeast"/>
          <w:jc w:val="center"/>
        </w:trPr>
        <w:tc>
          <w:tcPr>
            <w:tcW w:w="40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合   计</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169585</w:t>
            </w:r>
          </w:p>
        </w:tc>
        <w:tc>
          <w:tcPr>
            <w:tcW w:w="17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178100</w:t>
            </w:r>
          </w:p>
        </w:tc>
        <w:tc>
          <w:tcPr>
            <w:tcW w:w="14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5.0%</w:t>
            </w:r>
          </w:p>
        </w:tc>
      </w:tr>
    </w:tbl>
    <w:p>
      <w:pPr>
        <w:keepNext w:val="0"/>
        <w:keepLines w:val="0"/>
        <w:pageBreakBefore w:val="0"/>
        <w:widowControl w:val="0"/>
        <w:kinsoku/>
        <w:wordWrap/>
        <w:overflowPunct/>
        <w:topLinePunct w:val="0"/>
        <w:bidi w:val="0"/>
        <w:adjustRightInd/>
        <w:snapToGrid/>
        <w:spacing w:line="572" w:lineRule="exact"/>
        <w:jc w:val="both"/>
        <w:textAlignment w:val="auto"/>
        <w:outlineLvl w:val="9"/>
        <w:rPr>
          <w:rFonts w:hint="eastAsia" w:ascii="仿宋_GB2312" w:hAnsi="仿宋_GB2312" w:eastAsia="仿宋_GB2312" w:cs="仿宋_GB2312"/>
          <w:color w:val="auto"/>
          <w:sz w:val="32"/>
          <w:szCs w:val="32"/>
        </w:rPr>
        <w:sectPr>
          <w:pgSz w:w="11906" w:h="16838"/>
          <w:pgMar w:top="1757" w:right="1474" w:bottom="1701" w:left="1587"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关于</w:t>
      </w:r>
      <w:r>
        <w:rPr>
          <w:rFonts w:hint="eastAsia" w:hAnsi="方正小标宋简体" w:cs="方正小标宋简体"/>
          <w:b w:val="0"/>
          <w:bCs w:val="0"/>
          <w:sz w:val="44"/>
          <w:szCs w:val="44"/>
          <w:highlight w:val="none"/>
          <w:lang w:val="en-US" w:eastAsia="zh-CN"/>
        </w:rPr>
        <w:t>2026</w:t>
      </w:r>
      <w:r>
        <w:rPr>
          <w:rFonts w:hint="eastAsia" w:ascii="方正小标宋简体" w:hAnsi="方正小标宋简体" w:eastAsia="方正小标宋简体" w:cs="方正小标宋简体"/>
          <w:b w:val="0"/>
          <w:bCs w:val="0"/>
          <w:sz w:val="44"/>
          <w:szCs w:val="44"/>
          <w:highlight w:val="none"/>
        </w:rPr>
        <w:t>年一般公共预算收入预算</w:t>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情况的说明</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2026</w:t>
      </w:r>
      <w:r>
        <w:rPr>
          <w:rFonts w:hint="eastAsia" w:ascii="仿宋_GB2312" w:hAnsi="仿宋_GB2312" w:eastAsia="仿宋_GB2312" w:cs="仿宋_GB2312"/>
          <w:b w:val="0"/>
          <w:bCs w:val="0"/>
          <w:color w:val="000000"/>
          <w:sz w:val="32"/>
          <w:szCs w:val="32"/>
          <w:highlight w:val="none"/>
        </w:rPr>
        <w:t>年县本级一般公共预算收入总计为</w:t>
      </w:r>
      <w:r>
        <w:rPr>
          <w:rFonts w:hint="eastAsia" w:ascii="仿宋_GB2312" w:hAnsi="仿宋_GB2312" w:eastAsia="仿宋_GB2312" w:cs="仿宋_GB2312"/>
          <w:b w:val="0"/>
          <w:bCs w:val="0"/>
          <w:color w:val="000000"/>
          <w:sz w:val="32"/>
          <w:szCs w:val="32"/>
          <w:highlight w:val="none"/>
          <w:lang w:val="en-US" w:eastAsia="zh-CN"/>
        </w:rPr>
        <w:t>414513</w:t>
      </w:r>
      <w:r>
        <w:rPr>
          <w:rFonts w:hint="eastAsia" w:ascii="仿宋_GB2312" w:hAnsi="仿宋_GB2312" w:eastAsia="仿宋_GB2312" w:cs="仿宋_GB2312"/>
          <w:b w:val="0"/>
          <w:bCs w:val="0"/>
          <w:color w:val="000000"/>
          <w:sz w:val="32"/>
          <w:szCs w:val="32"/>
          <w:highlight w:val="none"/>
        </w:rPr>
        <w:t>万元，其中：县本级收入</w:t>
      </w:r>
      <w:r>
        <w:rPr>
          <w:rFonts w:hint="eastAsia" w:ascii="仿宋_GB2312" w:hAnsi="仿宋_GB2312" w:eastAsia="仿宋_GB2312" w:cs="仿宋_GB2312"/>
          <w:b w:val="0"/>
          <w:bCs w:val="0"/>
          <w:color w:val="000000"/>
          <w:sz w:val="32"/>
          <w:szCs w:val="32"/>
          <w:highlight w:val="none"/>
          <w:lang w:val="en-US" w:eastAsia="zh-CN"/>
        </w:rPr>
        <w:t>178100</w:t>
      </w:r>
      <w:r>
        <w:rPr>
          <w:rFonts w:hint="eastAsia" w:ascii="仿宋_GB2312" w:hAnsi="仿宋_GB2312" w:eastAsia="仿宋_GB2312" w:cs="仿宋_GB2312"/>
          <w:b w:val="0"/>
          <w:bCs w:val="0"/>
          <w:color w:val="000000"/>
          <w:sz w:val="32"/>
          <w:szCs w:val="32"/>
          <w:highlight w:val="none"/>
        </w:rPr>
        <w:t>万元，上级补助收入</w:t>
      </w:r>
      <w:r>
        <w:rPr>
          <w:rFonts w:hint="eastAsia" w:ascii="仿宋_GB2312" w:hAnsi="仿宋_GB2312" w:eastAsia="仿宋_GB2312" w:cs="仿宋_GB2312"/>
          <w:b w:val="0"/>
          <w:bCs w:val="0"/>
          <w:color w:val="000000"/>
          <w:sz w:val="32"/>
          <w:szCs w:val="32"/>
          <w:highlight w:val="none"/>
          <w:lang w:val="en-US" w:eastAsia="zh-CN"/>
        </w:rPr>
        <w:t>235907</w:t>
      </w:r>
      <w:r>
        <w:rPr>
          <w:rFonts w:hint="eastAsia" w:ascii="仿宋_GB2312" w:hAnsi="仿宋_GB2312" w:eastAsia="仿宋_GB2312" w:cs="仿宋_GB2312"/>
          <w:b w:val="0"/>
          <w:bCs w:val="0"/>
          <w:color w:val="000000"/>
          <w:sz w:val="32"/>
          <w:szCs w:val="32"/>
          <w:highlight w:val="none"/>
        </w:rPr>
        <w:t>万元（返还性收入5910万元，一般性转移支付收入</w:t>
      </w:r>
      <w:r>
        <w:rPr>
          <w:rFonts w:hint="eastAsia" w:ascii="仿宋_GB2312" w:hAnsi="仿宋_GB2312" w:eastAsia="仿宋_GB2312" w:cs="仿宋_GB2312"/>
          <w:b w:val="0"/>
          <w:bCs w:val="0"/>
          <w:color w:val="000000"/>
          <w:sz w:val="32"/>
          <w:szCs w:val="32"/>
          <w:highlight w:val="none"/>
          <w:lang w:val="en-US" w:eastAsia="zh-CN"/>
        </w:rPr>
        <w:t>222812</w:t>
      </w:r>
      <w:r>
        <w:rPr>
          <w:rFonts w:hint="eastAsia" w:ascii="仿宋_GB2312" w:hAnsi="仿宋_GB2312" w:eastAsia="仿宋_GB2312" w:cs="仿宋_GB2312"/>
          <w:b w:val="0"/>
          <w:bCs w:val="0"/>
          <w:color w:val="000000"/>
          <w:sz w:val="32"/>
          <w:szCs w:val="32"/>
          <w:highlight w:val="none"/>
        </w:rPr>
        <w:t>万元，专项转移支付</w:t>
      </w:r>
      <w:r>
        <w:rPr>
          <w:rFonts w:hint="eastAsia" w:ascii="仿宋_GB2312" w:hAnsi="仿宋_GB2312" w:eastAsia="仿宋_GB2312" w:cs="仿宋_GB2312"/>
          <w:b w:val="0"/>
          <w:bCs w:val="0"/>
          <w:color w:val="000000"/>
          <w:spacing w:val="-6"/>
          <w:sz w:val="32"/>
          <w:szCs w:val="32"/>
          <w:highlight w:val="none"/>
        </w:rPr>
        <w:t>收入</w:t>
      </w:r>
      <w:r>
        <w:rPr>
          <w:rFonts w:hint="eastAsia" w:ascii="仿宋_GB2312" w:hAnsi="仿宋_GB2312" w:eastAsia="仿宋_GB2312" w:cs="仿宋_GB2312"/>
          <w:b w:val="0"/>
          <w:bCs w:val="0"/>
          <w:color w:val="000000"/>
          <w:spacing w:val="-6"/>
          <w:sz w:val="32"/>
          <w:szCs w:val="32"/>
          <w:highlight w:val="none"/>
          <w:lang w:val="en-US" w:eastAsia="zh-CN"/>
        </w:rPr>
        <w:t>7185</w:t>
      </w:r>
      <w:r>
        <w:rPr>
          <w:rFonts w:hint="eastAsia" w:ascii="仿宋_GB2312" w:hAnsi="仿宋_GB2312" w:eastAsia="仿宋_GB2312" w:cs="仿宋_GB2312"/>
          <w:b w:val="0"/>
          <w:bCs w:val="0"/>
          <w:color w:val="000000"/>
          <w:spacing w:val="-6"/>
          <w:sz w:val="32"/>
          <w:szCs w:val="32"/>
          <w:highlight w:val="none"/>
        </w:rPr>
        <w:t>万元），上年结余收入</w:t>
      </w:r>
      <w:r>
        <w:rPr>
          <w:rFonts w:hint="eastAsia" w:ascii="仿宋_GB2312" w:hAnsi="仿宋_GB2312" w:eastAsia="仿宋_GB2312" w:cs="仿宋_GB2312"/>
          <w:b w:val="0"/>
          <w:bCs w:val="0"/>
          <w:color w:val="000000"/>
          <w:spacing w:val="-6"/>
          <w:sz w:val="32"/>
          <w:szCs w:val="32"/>
          <w:highlight w:val="none"/>
          <w:lang w:val="en-US" w:eastAsia="zh-CN"/>
        </w:rPr>
        <w:t>506</w:t>
      </w:r>
      <w:r>
        <w:rPr>
          <w:rFonts w:hint="eastAsia" w:ascii="仿宋_GB2312" w:hAnsi="仿宋_GB2312" w:eastAsia="仿宋_GB2312" w:cs="仿宋_GB2312"/>
          <w:b w:val="0"/>
          <w:bCs w:val="0"/>
          <w:color w:val="000000"/>
          <w:spacing w:val="-6"/>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县本级一般公共预算收入</w:t>
      </w:r>
      <w:r>
        <w:rPr>
          <w:rFonts w:hint="eastAsia" w:ascii="仿宋_GB2312" w:hAnsi="仿宋_GB2312" w:eastAsia="仿宋_GB2312" w:cs="仿宋_GB2312"/>
          <w:b w:val="0"/>
          <w:bCs w:val="0"/>
          <w:color w:val="000000"/>
          <w:sz w:val="32"/>
          <w:szCs w:val="32"/>
          <w:highlight w:val="none"/>
          <w:lang w:val="en-US" w:eastAsia="zh-CN"/>
        </w:rPr>
        <w:t>178100</w:t>
      </w:r>
      <w:r>
        <w:rPr>
          <w:rFonts w:hint="eastAsia" w:ascii="仿宋_GB2312" w:hAnsi="仿宋_GB2312" w:eastAsia="仿宋_GB2312" w:cs="仿宋_GB2312"/>
          <w:b w:val="0"/>
          <w:bCs w:val="0"/>
          <w:color w:val="000000"/>
          <w:sz w:val="32"/>
          <w:szCs w:val="32"/>
          <w:highlight w:val="none"/>
        </w:rPr>
        <w:t>万元，增长</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%；其中：税收收入</w:t>
      </w:r>
      <w:r>
        <w:rPr>
          <w:rFonts w:hint="eastAsia" w:ascii="仿宋_GB2312" w:hAnsi="仿宋_GB2312" w:eastAsia="仿宋_GB2312" w:cs="仿宋_GB2312"/>
          <w:b w:val="0"/>
          <w:bCs w:val="0"/>
          <w:color w:val="000000"/>
          <w:sz w:val="32"/>
          <w:szCs w:val="32"/>
          <w:highlight w:val="none"/>
          <w:lang w:val="en-US" w:eastAsia="zh-CN"/>
        </w:rPr>
        <w:t>125000</w:t>
      </w:r>
      <w:r>
        <w:rPr>
          <w:rFonts w:hint="eastAsia" w:ascii="仿宋_GB2312" w:hAnsi="仿宋_GB2312" w:eastAsia="仿宋_GB2312" w:cs="仿宋_GB2312"/>
          <w:b w:val="0"/>
          <w:bCs w:val="0"/>
          <w:color w:val="000000"/>
          <w:sz w:val="32"/>
          <w:szCs w:val="32"/>
          <w:highlight w:val="none"/>
        </w:rPr>
        <w:t>万元，增长</w:t>
      </w:r>
      <w:r>
        <w:rPr>
          <w:rFonts w:hint="eastAsia" w:ascii="仿宋_GB2312" w:hAnsi="仿宋_GB2312" w:eastAsia="仿宋_GB2312" w:cs="仿宋_GB2312"/>
          <w:b w:val="0"/>
          <w:bCs w:val="0"/>
          <w:color w:val="000000"/>
          <w:sz w:val="32"/>
          <w:szCs w:val="32"/>
          <w:highlight w:val="none"/>
          <w:lang w:val="en-US" w:eastAsia="zh-CN"/>
        </w:rPr>
        <w:t>7.5</w:t>
      </w:r>
      <w:r>
        <w:rPr>
          <w:rFonts w:hint="eastAsia" w:ascii="仿宋_GB2312" w:hAnsi="仿宋_GB2312" w:eastAsia="仿宋_GB2312" w:cs="仿宋_GB2312"/>
          <w:b w:val="0"/>
          <w:bCs w:val="0"/>
          <w:color w:val="000000"/>
          <w:sz w:val="32"/>
          <w:szCs w:val="32"/>
          <w:highlight w:val="none"/>
        </w:rPr>
        <w:t>%；非税收入</w:t>
      </w:r>
      <w:r>
        <w:rPr>
          <w:rFonts w:hint="eastAsia" w:ascii="仿宋_GB2312" w:hAnsi="仿宋_GB2312" w:eastAsia="仿宋_GB2312" w:cs="仿宋_GB2312"/>
          <w:b w:val="0"/>
          <w:bCs w:val="0"/>
          <w:color w:val="000000"/>
          <w:sz w:val="32"/>
          <w:szCs w:val="32"/>
          <w:highlight w:val="none"/>
          <w:lang w:val="en-US" w:eastAsia="zh-CN"/>
        </w:rPr>
        <w:t>53100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val="en-US" w:eastAsia="zh-CN"/>
        </w:rPr>
        <w:t>下降0.3</w:t>
      </w:r>
      <w:r>
        <w:rPr>
          <w:rFonts w:hint="eastAsia" w:ascii="仿宋_GB2312" w:hAnsi="仿宋_GB2312" w:eastAsia="仿宋_GB2312" w:cs="仿宋_GB2312"/>
          <w:b w:val="0"/>
          <w:bCs w:val="0"/>
          <w:color w:val="000000"/>
          <w:sz w:val="32"/>
          <w:szCs w:val="32"/>
          <w:highlight w:val="none"/>
        </w:rPr>
        <w:t>%。主要项目情况是：</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1.增值税</w:t>
      </w:r>
      <w:r>
        <w:rPr>
          <w:rFonts w:hint="eastAsia" w:ascii="仿宋_GB2312" w:hAnsi="仿宋_GB2312" w:eastAsia="仿宋_GB2312" w:cs="仿宋_GB2312"/>
          <w:b w:val="0"/>
          <w:bCs w:val="0"/>
          <w:color w:val="000000"/>
          <w:sz w:val="32"/>
          <w:szCs w:val="32"/>
          <w:highlight w:val="none"/>
          <w:lang w:val="en-US" w:eastAsia="zh-CN"/>
        </w:rPr>
        <w:t>28800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2.企业所得税</w:t>
      </w:r>
      <w:r>
        <w:rPr>
          <w:rFonts w:hint="eastAsia" w:ascii="仿宋_GB2312" w:hAnsi="仿宋_GB2312" w:eastAsia="仿宋_GB2312" w:cs="仿宋_GB2312"/>
          <w:b w:val="0"/>
          <w:bCs w:val="0"/>
          <w:color w:val="000000"/>
          <w:sz w:val="32"/>
          <w:szCs w:val="32"/>
          <w:highlight w:val="none"/>
          <w:lang w:val="en-US" w:eastAsia="zh-CN"/>
        </w:rPr>
        <w:t>9200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3.资源税</w:t>
      </w:r>
      <w:r>
        <w:rPr>
          <w:rFonts w:hint="eastAsia" w:ascii="仿宋_GB2312" w:hAnsi="仿宋_GB2312" w:eastAsia="仿宋_GB2312" w:cs="仿宋_GB2312"/>
          <w:b w:val="0"/>
          <w:bCs w:val="0"/>
          <w:color w:val="000000"/>
          <w:sz w:val="32"/>
          <w:szCs w:val="32"/>
          <w:highlight w:val="none"/>
          <w:lang w:val="en-US" w:eastAsia="zh-CN"/>
        </w:rPr>
        <w:t>9000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4.个人所得税</w:t>
      </w:r>
      <w:r>
        <w:rPr>
          <w:rFonts w:hint="eastAsia" w:ascii="仿宋_GB2312" w:hAnsi="仿宋_GB2312" w:eastAsia="仿宋_GB2312" w:cs="仿宋_GB2312"/>
          <w:b w:val="0"/>
          <w:bCs w:val="0"/>
          <w:color w:val="000000"/>
          <w:sz w:val="32"/>
          <w:szCs w:val="32"/>
          <w:highlight w:val="none"/>
          <w:lang w:val="en-US" w:eastAsia="zh-CN"/>
        </w:rPr>
        <w:t>1400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5.城市维护建设税</w:t>
      </w:r>
      <w:r>
        <w:rPr>
          <w:rFonts w:hint="eastAsia" w:ascii="仿宋_GB2312" w:hAnsi="仿宋_GB2312" w:eastAsia="仿宋_GB2312" w:cs="仿宋_GB2312"/>
          <w:b w:val="0"/>
          <w:bCs w:val="0"/>
          <w:color w:val="000000"/>
          <w:sz w:val="32"/>
          <w:szCs w:val="32"/>
          <w:highlight w:val="none"/>
          <w:lang w:val="en-US" w:eastAsia="zh-CN"/>
        </w:rPr>
        <w:t>2000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6.房产税</w:t>
      </w:r>
      <w:r>
        <w:rPr>
          <w:rFonts w:hint="eastAsia" w:ascii="仿宋_GB2312" w:hAnsi="仿宋_GB2312" w:eastAsia="仿宋_GB2312" w:cs="仿宋_GB2312"/>
          <w:b w:val="0"/>
          <w:bCs w:val="0"/>
          <w:color w:val="000000"/>
          <w:sz w:val="32"/>
          <w:szCs w:val="32"/>
          <w:highlight w:val="none"/>
          <w:lang w:val="en-US" w:eastAsia="zh-CN"/>
        </w:rPr>
        <w:t>6000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7.印花税</w:t>
      </w:r>
      <w:r>
        <w:rPr>
          <w:rFonts w:hint="eastAsia" w:ascii="仿宋_GB2312" w:hAnsi="仿宋_GB2312" w:eastAsia="仿宋_GB2312" w:cs="仿宋_GB2312"/>
          <w:b w:val="0"/>
          <w:bCs w:val="0"/>
          <w:color w:val="000000"/>
          <w:sz w:val="32"/>
          <w:szCs w:val="32"/>
          <w:highlight w:val="none"/>
          <w:lang w:val="en-US" w:eastAsia="zh-CN"/>
        </w:rPr>
        <w:t>2600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8.城镇土地使用税</w:t>
      </w:r>
      <w:r>
        <w:rPr>
          <w:rFonts w:hint="eastAsia" w:ascii="仿宋_GB2312" w:hAnsi="仿宋_GB2312" w:eastAsia="仿宋_GB2312" w:cs="仿宋_GB2312"/>
          <w:b w:val="0"/>
          <w:bCs w:val="0"/>
          <w:color w:val="000000"/>
          <w:sz w:val="32"/>
          <w:szCs w:val="32"/>
          <w:highlight w:val="none"/>
          <w:lang w:val="en-US" w:eastAsia="zh-CN"/>
        </w:rPr>
        <w:t>9000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9.土地增值税</w:t>
      </w:r>
      <w:r>
        <w:rPr>
          <w:rFonts w:hint="eastAsia" w:ascii="仿宋_GB2312" w:hAnsi="仿宋_GB2312" w:eastAsia="仿宋_GB2312" w:cs="仿宋_GB2312"/>
          <w:b w:val="0"/>
          <w:bCs w:val="0"/>
          <w:color w:val="000000"/>
          <w:sz w:val="32"/>
          <w:szCs w:val="32"/>
          <w:highlight w:val="none"/>
          <w:lang w:val="en-US" w:eastAsia="zh-CN"/>
        </w:rPr>
        <w:t>16000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10.车船税</w:t>
      </w:r>
      <w:r>
        <w:rPr>
          <w:rFonts w:hint="eastAsia" w:ascii="仿宋_GB2312" w:hAnsi="仿宋_GB2312" w:eastAsia="仿宋_GB2312" w:cs="仿宋_GB2312"/>
          <w:b w:val="0"/>
          <w:bCs w:val="0"/>
          <w:color w:val="000000"/>
          <w:sz w:val="32"/>
          <w:szCs w:val="32"/>
          <w:highlight w:val="none"/>
          <w:lang w:val="en-US" w:eastAsia="zh-CN"/>
        </w:rPr>
        <w:t>4000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11.耕地占用税</w:t>
      </w:r>
      <w:r>
        <w:rPr>
          <w:rFonts w:hint="eastAsia" w:ascii="仿宋_GB2312" w:hAnsi="仿宋_GB2312" w:eastAsia="仿宋_GB2312" w:cs="仿宋_GB2312"/>
          <w:b w:val="0"/>
          <w:bCs w:val="0"/>
          <w:color w:val="000000"/>
          <w:sz w:val="32"/>
          <w:szCs w:val="32"/>
          <w:highlight w:val="none"/>
          <w:lang w:val="en-US" w:eastAsia="zh-CN"/>
        </w:rPr>
        <w:t>15000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12.契税</w:t>
      </w:r>
      <w:r>
        <w:rPr>
          <w:rFonts w:hint="eastAsia" w:ascii="仿宋_GB2312" w:hAnsi="仿宋_GB2312" w:eastAsia="仿宋_GB2312" w:cs="仿宋_GB2312"/>
          <w:b w:val="0"/>
          <w:bCs w:val="0"/>
          <w:color w:val="000000"/>
          <w:sz w:val="32"/>
          <w:szCs w:val="32"/>
          <w:highlight w:val="none"/>
          <w:lang w:val="en-US" w:eastAsia="zh-CN"/>
        </w:rPr>
        <w:t>18000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13.烟叶税</w:t>
      </w:r>
      <w:r>
        <w:rPr>
          <w:rFonts w:hint="eastAsia" w:ascii="仿宋_GB2312" w:hAnsi="仿宋_GB2312" w:eastAsia="仿宋_GB2312" w:cs="仿宋_GB2312"/>
          <w:b w:val="0"/>
          <w:bCs w:val="0"/>
          <w:color w:val="000000"/>
          <w:sz w:val="32"/>
          <w:szCs w:val="32"/>
          <w:highlight w:val="none"/>
          <w:lang w:val="en-US" w:eastAsia="zh-CN"/>
        </w:rPr>
        <w:t>1000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14.环境保护税</w:t>
      </w:r>
      <w:r>
        <w:rPr>
          <w:rFonts w:hint="eastAsia" w:ascii="仿宋_GB2312" w:hAnsi="仿宋_GB2312" w:eastAsia="仿宋_GB2312" w:cs="仿宋_GB2312"/>
          <w:b w:val="0"/>
          <w:bCs w:val="0"/>
          <w:color w:val="000000"/>
          <w:sz w:val="32"/>
          <w:szCs w:val="32"/>
          <w:highlight w:val="none"/>
          <w:lang w:val="en-US" w:eastAsia="zh-CN"/>
        </w:rPr>
        <w:t>3000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15.专项收入</w:t>
      </w:r>
      <w:r>
        <w:rPr>
          <w:rFonts w:hint="eastAsia" w:ascii="仿宋_GB2312" w:hAnsi="仿宋_GB2312" w:eastAsia="仿宋_GB2312" w:cs="仿宋_GB2312"/>
          <w:b w:val="0"/>
          <w:bCs w:val="0"/>
          <w:color w:val="000000"/>
          <w:sz w:val="32"/>
          <w:szCs w:val="32"/>
          <w:highlight w:val="none"/>
          <w:lang w:val="en-US" w:eastAsia="zh-CN"/>
        </w:rPr>
        <w:t>6200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16.行政事业性收费</w:t>
      </w:r>
      <w:r>
        <w:rPr>
          <w:rFonts w:hint="eastAsia" w:ascii="仿宋_GB2312" w:hAnsi="仿宋_GB2312" w:eastAsia="仿宋_GB2312" w:cs="仿宋_GB2312"/>
          <w:b w:val="0"/>
          <w:bCs w:val="0"/>
          <w:color w:val="000000"/>
          <w:sz w:val="32"/>
          <w:szCs w:val="32"/>
          <w:highlight w:val="none"/>
          <w:lang w:val="en-US" w:eastAsia="zh-CN"/>
        </w:rPr>
        <w:t>收入4400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17.罚没收入</w:t>
      </w:r>
      <w:r>
        <w:rPr>
          <w:rFonts w:hint="eastAsia" w:ascii="仿宋_GB2312" w:hAnsi="仿宋_GB2312" w:eastAsia="仿宋_GB2312" w:cs="仿宋_GB2312"/>
          <w:b w:val="0"/>
          <w:bCs w:val="0"/>
          <w:color w:val="000000"/>
          <w:sz w:val="32"/>
          <w:szCs w:val="32"/>
          <w:highlight w:val="none"/>
          <w:lang w:val="en-US" w:eastAsia="zh-CN"/>
        </w:rPr>
        <w:t>4600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18.国有资源（资产）有偿使用收入</w:t>
      </w:r>
      <w:r>
        <w:rPr>
          <w:rFonts w:hint="eastAsia" w:ascii="仿宋_GB2312" w:hAnsi="仿宋_GB2312" w:eastAsia="仿宋_GB2312" w:cs="仿宋_GB2312"/>
          <w:b w:val="0"/>
          <w:bCs w:val="0"/>
          <w:color w:val="000000"/>
          <w:sz w:val="32"/>
          <w:szCs w:val="32"/>
          <w:highlight w:val="none"/>
          <w:lang w:val="en-US" w:eastAsia="zh-CN"/>
        </w:rPr>
        <w:t>30000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19.政府住房基金收入</w:t>
      </w:r>
      <w:r>
        <w:rPr>
          <w:rFonts w:hint="eastAsia" w:ascii="仿宋_GB2312" w:hAnsi="仿宋_GB2312" w:eastAsia="仿宋_GB2312" w:cs="仿宋_GB2312"/>
          <w:b w:val="0"/>
          <w:bCs w:val="0"/>
          <w:color w:val="000000"/>
          <w:sz w:val="32"/>
          <w:szCs w:val="32"/>
          <w:highlight w:val="none"/>
          <w:lang w:val="en-US" w:eastAsia="zh-CN"/>
        </w:rPr>
        <w:t>100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0</w:t>
      </w:r>
      <w:r>
        <w:rPr>
          <w:rFonts w:hint="eastAsia" w:ascii="仿宋_GB2312" w:hAnsi="仿宋_GB2312" w:eastAsia="仿宋_GB2312" w:cs="仿宋_GB2312"/>
          <w:b w:val="0"/>
          <w:bCs w:val="0"/>
          <w:color w:val="000000"/>
          <w:sz w:val="32"/>
          <w:szCs w:val="32"/>
          <w:highlight w:val="none"/>
        </w:rPr>
        <w:t>.其他收入</w:t>
      </w:r>
      <w:r>
        <w:rPr>
          <w:rFonts w:hint="eastAsia" w:ascii="仿宋_GB2312" w:hAnsi="仿宋_GB2312" w:eastAsia="仿宋_GB2312" w:cs="仿宋_GB2312"/>
          <w:b w:val="0"/>
          <w:bCs w:val="0"/>
          <w:color w:val="000000"/>
          <w:sz w:val="32"/>
          <w:szCs w:val="32"/>
          <w:highlight w:val="none"/>
          <w:lang w:val="en-US" w:eastAsia="zh-CN"/>
        </w:rPr>
        <w:t>7800</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eastAsia="zh-CN"/>
        </w:rPr>
        <w:t>；</w:t>
      </w:r>
    </w:p>
    <w:p>
      <w:pPr>
        <w:spacing w:line="600" w:lineRule="exact"/>
        <w:ind w:firstLine="640" w:firstLineChars="200"/>
        <w:rPr>
          <w:rFonts w:hint="eastAsia" w:ascii="仿宋_GB2312" w:hAnsi="仿宋" w:eastAsia="仿宋_GB2312"/>
          <w:color w:val="000000"/>
          <w:sz w:val="32"/>
          <w:szCs w:val="32"/>
          <w:highlight w:val="none"/>
        </w:rPr>
      </w:pP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p>
      <w:pPr>
        <w:spacing w:line="600" w:lineRule="exact"/>
        <w:ind w:firstLine="640" w:firstLineChars="200"/>
        <w:rPr>
          <w:rFonts w:hint="eastAsia" w:ascii="仿宋_GB2312" w:hAnsi="仿宋" w:eastAsia="仿宋_GB2312"/>
          <w:color w:val="000000"/>
          <w:sz w:val="32"/>
          <w:szCs w:val="32"/>
        </w:rPr>
      </w:pPr>
    </w:p>
    <w:p>
      <w:pPr>
        <w:keepNext w:val="0"/>
        <w:keepLines w:val="0"/>
        <w:pageBreakBefore w:val="0"/>
        <w:widowControl w:val="0"/>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sectPr>
          <w:pgSz w:w="11906" w:h="16838"/>
          <w:pgMar w:top="2098" w:right="1474" w:bottom="1928" w:left="1531"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20"/>
        <w:tblW w:w="8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827"/>
        <w:gridCol w:w="2366"/>
        <w:gridCol w:w="2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1" w:hRule="atLeast"/>
        </w:trPr>
        <w:tc>
          <w:tcPr>
            <w:tcW w:w="382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表九</w:t>
            </w:r>
          </w:p>
        </w:tc>
        <w:tc>
          <w:tcPr>
            <w:tcW w:w="236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1"/>
                <w:szCs w:val="21"/>
                <w:u w:val="none"/>
              </w:rPr>
            </w:pPr>
          </w:p>
        </w:tc>
        <w:tc>
          <w:tcPr>
            <w:tcW w:w="236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1" w:hRule="atLeast"/>
        </w:trPr>
        <w:tc>
          <w:tcPr>
            <w:tcW w:w="856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2026年一般公共预算支出预算表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3" w:hRule="atLeast"/>
        </w:trPr>
        <w:tc>
          <w:tcPr>
            <w:tcW w:w="8560" w:type="dxa"/>
            <w:gridSpan w:val="3"/>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2025年执行数</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54899</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国防支出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公共安全支出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14813</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94673</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科学技术支出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21183</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文化旅游体育与传媒支出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4390</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67396</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48793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33717</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节能环保支出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8975</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48038</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农林水支出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69802</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交通运输支出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9828</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资源勘探工业信息等支出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1826</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商业服务业等支出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279</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自然资源海洋气象等支出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3389</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14797</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粮油物资储备支出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778</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2404</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预备费</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ascii="宋体" w:hAnsi="宋体" w:eastAsia="宋体" w:cs="宋体"/>
                <w:sz w:val="24"/>
                <w:szCs w:val="24"/>
              </w:rPr>
              <w:t>—</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2341</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债务付息支出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5566</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债务发行费用支出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-----本级支出合计-----</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459198</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370982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上解支出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40031</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债务还本支出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31751</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安排预算稳定调节基金</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3585</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年终结余</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506</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85" w:hRule="atLeast"/>
        </w:trPr>
        <w:tc>
          <w:tcPr>
            <w:tcW w:w="3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总支出</w:t>
            </w:r>
          </w:p>
        </w:tc>
        <w:tc>
          <w:tcPr>
            <w:tcW w:w="23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535071</w:t>
            </w:r>
          </w:p>
        </w:tc>
        <w:tc>
          <w:tcPr>
            <w:tcW w:w="23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414513</w:t>
            </w:r>
          </w:p>
        </w:tc>
      </w:tr>
    </w:tbl>
    <w:p>
      <w:pPr>
        <w:keepNext w:val="0"/>
        <w:keepLines w:val="0"/>
        <w:pageBreakBefore w:val="0"/>
        <w:widowControl w:val="0"/>
        <w:kinsoku/>
        <w:wordWrap/>
        <w:overflowPunct/>
        <w:topLinePunct w:val="0"/>
        <w:bidi w:val="0"/>
        <w:adjustRightInd/>
        <w:snapToGrid/>
        <w:spacing w:line="572" w:lineRule="exact"/>
        <w:jc w:val="both"/>
        <w:textAlignment w:val="auto"/>
        <w:outlineLvl w:val="9"/>
        <w:rPr>
          <w:rFonts w:hint="eastAsia" w:ascii="仿宋_GB2312" w:hAnsi="仿宋_GB2312" w:eastAsia="仿宋_GB2312" w:cs="仿宋_GB2312"/>
          <w:color w:val="auto"/>
          <w:sz w:val="32"/>
          <w:szCs w:val="32"/>
        </w:rPr>
        <w:sectPr>
          <w:pgSz w:w="11906" w:h="16838"/>
          <w:pgMar w:top="1757" w:right="1474" w:bottom="1701" w:left="1587"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关于202</w:t>
      </w:r>
      <w:r>
        <w:rPr>
          <w:rFonts w:hint="eastAsia" w:hAnsi="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年一般公共预算支出预算</w:t>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情况的说明</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年一般公共预算支出总计</w:t>
      </w:r>
      <w:r>
        <w:rPr>
          <w:rFonts w:hint="eastAsia" w:ascii="仿宋_GB2312" w:hAnsi="仿宋_GB2312" w:eastAsia="仿宋_GB2312" w:cs="仿宋_GB2312"/>
          <w:color w:val="auto"/>
          <w:sz w:val="32"/>
          <w:szCs w:val="32"/>
          <w:highlight w:val="none"/>
          <w:lang w:val="en-US" w:eastAsia="zh-CN"/>
        </w:rPr>
        <w:t>414513</w:t>
      </w:r>
      <w:r>
        <w:rPr>
          <w:rFonts w:hint="eastAsia" w:ascii="仿宋_GB2312" w:hAnsi="仿宋_GB2312" w:eastAsia="仿宋_GB2312" w:cs="仿宋_GB2312"/>
          <w:color w:val="auto"/>
          <w:sz w:val="32"/>
          <w:szCs w:val="32"/>
          <w:highlight w:val="none"/>
        </w:rPr>
        <w:t>万元，其中：县本级支出</w:t>
      </w:r>
      <w:r>
        <w:rPr>
          <w:rFonts w:hint="eastAsia" w:ascii="仿宋_GB2312" w:hAnsi="仿宋_GB2312" w:eastAsia="仿宋_GB2312" w:cs="仿宋_GB2312"/>
          <w:color w:val="auto"/>
          <w:sz w:val="32"/>
          <w:szCs w:val="32"/>
          <w:highlight w:val="none"/>
          <w:lang w:val="en-US" w:eastAsia="zh-CN"/>
        </w:rPr>
        <w:t>370982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上解</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40600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地方政府一般债务还本支出</w:t>
      </w:r>
      <w:r>
        <w:rPr>
          <w:rFonts w:hint="eastAsia" w:ascii="仿宋_GB2312" w:hAnsi="仿宋_GB2312" w:eastAsia="仿宋_GB2312" w:cs="仿宋_GB2312"/>
          <w:color w:val="auto"/>
          <w:sz w:val="32"/>
          <w:szCs w:val="32"/>
          <w:highlight w:val="none"/>
          <w:lang w:val="en-US" w:eastAsia="zh-CN"/>
        </w:rPr>
        <w:t>2931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16"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县本级一般公共预算支出</w:t>
      </w:r>
      <w:r>
        <w:rPr>
          <w:rFonts w:hint="eastAsia" w:ascii="仿宋_GB2312" w:hAnsi="仿宋_GB2312" w:eastAsia="仿宋_GB2312" w:cs="仿宋_GB2312"/>
          <w:color w:val="auto"/>
          <w:sz w:val="32"/>
          <w:szCs w:val="32"/>
          <w:highlight w:val="none"/>
          <w:lang w:val="en-US" w:eastAsia="zh-CN"/>
        </w:rPr>
        <w:t>370982</w:t>
      </w:r>
      <w:r>
        <w:rPr>
          <w:rFonts w:hint="eastAsia" w:ascii="仿宋_GB2312" w:hAnsi="仿宋_GB2312" w:eastAsia="仿宋_GB2312" w:cs="仿宋_GB2312"/>
          <w:color w:val="auto"/>
          <w:spacing w:val="-6"/>
          <w:sz w:val="32"/>
          <w:szCs w:val="32"/>
          <w:highlight w:val="none"/>
          <w:lang w:val="en-US" w:eastAsia="zh-CN"/>
        </w:rPr>
        <w:t>万元，主要支出项目情况是：</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1.一般公共服务支出43950万元；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2.国防支出51万元；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3.公共安全支出14412万元；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4.教育支出102155万元；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5.科学技术支出5811万元；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6.文化旅游体育与传媒支出4600万元；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7.社会保障和就业支出48793万元；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8.卫生健康支出38854万元；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9.节能环保支出1433万元；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10.城乡社区支出13004万元；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11.农林水支出53252万元；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12.交通运输支出7147万元；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13.资源勘探工业信息等支出502万元；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14.商业服务业等支出214万元；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15.自然资源海洋气象等支出3548万元；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16.住房保障支出15707万元；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17.粮油物资储备支出1031万元；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18.灾害防治及应急管理支出1506万元；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19.预备费4000万元；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20.其他支出6097万元；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21.债务付息支出4915万元。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tabs>
          <w:tab w:val="right" w:pos="8730"/>
        </w:tabs>
        <w:spacing w:line="600" w:lineRule="exact"/>
        <w:ind w:firstLine="640" w:firstLineChars="200"/>
        <w:rPr>
          <w:rFonts w:hint="eastAsia" w:ascii="仿宋" w:hAnsi="仿宋" w:eastAsia="仿宋"/>
          <w:color w:val="000000"/>
          <w:sz w:val="32"/>
          <w:szCs w:val="32"/>
        </w:rPr>
      </w:pPr>
    </w:p>
    <w:p>
      <w:pPr>
        <w:keepNext w:val="0"/>
        <w:keepLines w:val="0"/>
        <w:pageBreakBefore w:val="0"/>
        <w:widowControl w:val="0"/>
        <w:kinsoku/>
        <w:wordWrap/>
        <w:overflowPunct/>
        <w:topLinePunct w:val="0"/>
        <w:bidi w:val="0"/>
        <w:adjustRightInd/>
        <w:snapToGrid/>
        <w:spacing w:line="572" w:lineRule="exact"/>
        <w:jc w:val="both"/>
        <w:textAlignment w:val="auto"/>
        <w:outlineLvl w:val="9"/>
        <w:rPr>
          <w:rFonts w:hint="eastAsia" w:ascii="仿宋_GB2312" w:hAnsi="仿宋_GB2312" w:eastAsia="仿宋_GB2312" w:cs="仿宋_GB2312"/>
          <w:color w:val="auto"/>
          <w:sz w:val="32"/>
          <w:szCs w:val="32"/>
        </w:rPr>
        <w:sectPr>
          <w:pgSz w:w="11906" w:h="16838"/>
          <w:pgMar w:top="2098" w:right="1474" w:bottom="1928" w:left="1531"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20"/>
        <w:tblW w:w="9887" w:type="dxa"/>
        <w:tblInd w:w="-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26" w:hRule="atLeast"/>
        </w:trPr>
        <w:tc>
          <w:tcPr>
            <w:tcW w:w="9887" w:type="dxa"/>
            <w:tcBorders>
              <w:top w:val="nil"/>
              <w:left w:val="nil"/>
              <w:bottom w:val="nil"/>
              <w:right w:val="nil"/>
            </w:tcBorders>
            <w:shd w:val="clear" w:color="auto" w:fill="auto"/>
            <w:noWrap/>
            <w:vAlign w:val="center"/>
          </w:tcPr>
          <w:tbl>
            <w:tblPr>
              <w:tblStyle w:val="20"/>
              <w:tblW w:w="896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2857"/>
              <w:gridCol w:w="11"/>
              <w:gridCol w:w="2061"/>
              <w:gridCol w:w="2266"/>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10" w:type="dxa"/>
                <w:cantSplit/>
                <w:trHeight w:val="694" w:hRule="atLeast"/>
                <w:jc w:val="center"/>
              </w:trPr>
              <w:tc>
                <w:tcPr>
                  <w:tcW w:w="2868"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表十</w:t>
                  </w:r>
                </w:p>
              </w:tc>
              <w:tc>
                <w:tcPr>
                  <w:tcW w:w="2061"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266"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756" w:type="dxa"/>
                  <w:tcBorders>
                    <w:top w:val="nil"/>
                    <w:left w:val="nil"/>
                    <w:bottom w:val="nil"/>
                    <w:right w:val="nil"/>
                  </w:tcBorders>
                  <w:shd w:val="clear" w:color="auto" w:fill="auto"/>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0" w:type="dxa"/>
                <w:cantSplit/>
                <w:trHeight w:val="1042" w:hRule="atLeast"/>
                <w:jc w:val="center"/>
              </w:trPr>
              <w:tc>
                <w:tcPr>
                  <w:tcW w:w="8951"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2026年一般公共预算支出资金来源表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1"/>
                <w:wBefore w:w="10" w:type="dxa"/>
                <w:cantSplit/>
                <w:trHeight w:val="378" w:hRule="atLeast"/>
                <w:jc w:val="center"/>
              </w:trPr>
              <w:tc>
                <w:tcPr>
                  <w:tcW w:w="2868"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06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6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5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95"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科 目</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合 计</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当年财力</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安排支出</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上级专项转移</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支付安排支出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一般公共服务支出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43950</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43950</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外交支出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国防支出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51</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51</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公共安全支出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14412</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14412</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教育支出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102155</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97156</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科学技术支出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5811</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5811</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文化旅游体育与传媒支出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4600</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4600</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社会保障和就业支出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48793</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48793</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卫生健康支出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38854</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38714</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节能环保支出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1433</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1433</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城乡社区支出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13004</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13004</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农林水支出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53252</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51206</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交通运输支出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7147</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7147</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资源勘探工业信息等支出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502</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502</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商业服务业等支出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214</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214</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金融支出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援助其他地区支出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自然资源海洋气象等支出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3548</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3548</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住房保障支出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15707</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15707</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粮油物资储备支出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1031</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1031</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00"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灾害防治及应急管理支出</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1506</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1506</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ascii="宋体" w:hAnsi="宋体" w:eastAsia="宋体" w:cs="宋体"/>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22" w:hRule="atLeast"/>
                <w:jc w:val="center"/>
              </w:trPr>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合  计</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370982</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363291</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7185</w:t>
                  </w:r>
                </w:p>
              </w:tc>
            </w:tr>
          </w:tbl>
          <w:p>
            <w:pPr>
              <w:rPr>
                <w:rFonts w:hint="eastAsia" w:ascii="宋体" w:hAnsi="宋体" w:eastAsia="宋体" w:cs="宋体"/>
                <w:i w:val="0"/>
                <w:iCs w:val="0"/>
                <w:color w:val="000000"/>
                <w:sz w:val="24"/>
                <w:szCs w:val="24"/>
                <w:u w:val="none"/>
              </w:rPr>
            </w:pPr>
          </w:p>
        </w:tc>
      </w:tr>
    </w:tbl>
    <w:p>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sz w:val="32"/>
          <w:szCs w:val="32"/>
          <w:u w:val="none"/>
        </w:rPr>
        <w:br w:type="page"/>
      </w:r>
    </w:p>
    <w:tbl>
      <w:tblPr>
        <w:tblStyle w:val="20"/>
        <w:tblW w:w="9887" w:type="dxa"/>
        <w:tblInd w:w="-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887" w:type="dxa"/>
            <w:tcBorders>
              <w:top w:val="nil"/>
              <w:left w:val="nil"/>
              <w:bottom w:val="nil"/>
              <w:right w:val="nil"/>
            </w:tcBorders>
            <w:shd w:val="clear" w:color="auto" w:fill="auto"/>
            <w:vAlign w:val="center"/>
          </w:tcPr>
          <w:tbl>
            <w:tblPr>
              <w:tblStyle w:val="20"/>
              <w:tblpPr w:leftFromText="180" w:rightFromText="180" w:vertAnchor="text" w:horzAnchor="page" w:tblpXSpec="center" w:tblpY="-12992"/>
              <w:tblOverlap w:val="never"/>
              <w:tblW w:w="8819" w:type="dxa"/>
              <w:jc w:val="center"/>
              <w:tblInd w:w="0" w:type="dxa"/>
              <w:tblLayout w:type="fixed"/>
              <w:tblCellMar>
                <w:top w:w="0" w:type="dxa"/>
                <w:left w:w="0" w:type="dxa"/>
                <w:bottom w:w="0" w:type="dxa"/>
                <w:right w:w="0" w:type="dxa"/>
              </w:tblCellMar>
            </w:tblPr>
            <w:tblGrid>
              <w:gridCol w:w="6370"/>
              <w:gridCol w:w="2449"/>
            </w:tblGrid>
            <w:tr>
              <w:tblPrEx>
                <w:tblLayout w:type="fixed"/>
                <w:tblCellMar>
                  <w:top w:w="0" w:type="dxa"/>
                  <w:left w:w="0" w:type="dxa"/>
                  <w:bottom w:w="0" w:type="dxa"/>
                  <w:right w:w="0" w:type="dxa"/>
                </w:tblCellMar>
              </w:tblPrEx>
              <w:trPr>
                <w:cantSplit/>
                <w:trHeight w:val="227" w:hRule="atLeast"/>
                <w:jc w:val="center"/>
              </w:trPr>
              <w:tc>
                <w:tcPr>
                  <w:tcW w:w="6370" w:type="dxa"/>
                  <w:tcBorders>
                    <w:top w:val="nil"/>
                    <w:left w:val="nil"/>
                    <w:bottom w:val="nil"/>
                    <w:right w:val="nil"/>
                  </w:tcBorders>
                  <w:shd w:val="clear" w:color="auto" w:fill="auto"/>
                  <w:tcMar>
                    <w:top w:w="19" w:type="dxa"/>
                    <w:left w:w="19" w:type="dxa"/>
                    <w:bottom w:w="0" w:type="dxa"/>
                    <w:right w:w="19" w:type="dxa"/>
                  </w:tcMar>
                  <w:vAlign w:val="center"/>
                </w:tcPr>
                <w:p>
                  <w:pPr>
                    <w:rPr>
                      <w:rFonts w:hint="eastAsia" w:ascii="宋体" w:hAnsi="宋体" w:eastAsia="黑体" w:cs="宋体"/>
                      <w:sz w:val="24"/>
                      <w:szCs w:val="24"/>
                      <w:lang w:eastAsia="zh-CN"/>
                    </w:rPr>
                  </w:pPr>
                  <w:r>
                    <w:rPr>
                      <w:rFonts w:hint="eastAsia" w:ascii="黑体" w:hAnsi="黑体" w:eastAsia="黑体" w:cs="黑体"/>
                      <w:sz w:val="32"/>
                      <w:szCs w:val="32"/>
                    </w:rPr>
                    <w:br w:type="page"/>
                  </w:r>
                  <w:r>
                    <w:rPr>
                      <w:rFonts w:hint="eastAsia" w:ascii="黑体" w:hAnsi="黑体" w:eastAsia="黑体" w:cs="黑体"/>
                      <w:sz w:val="32"/>
                      <w:szCs w:val="32"/>
                    </w:rPr>
                    <w:t>表十</w:t>
                  </w:r>
                  <w:r>
                    <w:rPr>
                      <w:rFonts w:hint="eastAsia" w:ascii="黑体" w:hAnsi="黑体" w:eastAsia="黑体" w:cs="黑体"/>
                      <w:sz w:val="32"/>
                      <w:szCs w:val="32"/>
                      <w:lang w:val="en-US" w:eastAsia="zh-CN"/>
                    </w:rPr>
                    <w:t>一</w:t>
                  </w:r>
                </w:p>
              </w:tc>
              <w:tc>
                <w:tcPr>
                  <w:tcW w:w="2449" w:type="dxa"/>
                  <w:tcBorders>
                    <w:top w:val="nil"/>
                    <w:left w:val="nil"/>
                    <w:bottom w:val="nil"/>
                    <w:right w:val="nil"/>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rPr>
                  </w:pPr>
                </w:p>
              </w:tc>
            </w:tr>
            <w:tr>
              <w:tblPrEx>
                <w:tblLayout w:type="fixed"/>
                <w:tblCellMar>
                  <w:top w:w="0" w:type="dxa"/>
                  <w:left w:w="0" w:type="dxa"/>
                  <w:bottom w:w="0" w:type="dxa"/>
                  <w:right w:w="0" w:type="dxa"/>
                </w:tblCellMar>
              </w:tblPrEx>
              <w:trPr>
                <w:cantSplit/>
                <w:trHeight w:val="227" w:hRule="atLeast"/>
                <w:jc w:val="center"/>
              </w:trPr>
              <w:tc>
                <w:tcPr>
                  <w:tcW w:w="8819" w:type="dxa"/>
                  <w:gridSpan w:val="2"/>
                  <w:tcBorders>
                    <w:top w:val="nil"/>
                    <w:left w:val="nil"/>
                    <w:bottom w:val="nil"/>
                    <w:right w:val="nil"/>
                  </w:tcBorders>
                  <w:shd w:val="clear" w:color="auto" w:fill="auto"/>
                  <w:tcMar>
                    <w:top w:w="19" w:type="dxa"/>
                    <w:left w:w="19" w:type="dxa"/>
                    <w:bottom w:w="0" w:type="dxa"/>
                    <w:right w:w="19" w:type="dxa"/>
                  </w:tcMar>
                  <w:vAlign w:val="center"/>
                </w:tcPr>
                <w:p>
                  <w:pPr>
                    <w:pStyle w:val="48"/>
                    <w:spacing w:before="100" w:after="100"/>
                    <w:rPr>
                      <w:rFonts w:hint="eastAsia" w:ascii="宋体" w:hAnsi="宋体" w:eastAsia="宋体" w:cs="宋体"/>
                      <w:sz w:val="24"/>
                      <w:szCs w:val="24"/>
                    </w:rPr>
                  </w:pPr>
                  <w:r>
                    <w:rPr>
                      <w:rFonts w:hint="eastAsia" w:ascii="方正小标宋简体" w:hAnsi="方正小标宋简体" w:eastAsia="方正小标宋简体" w:cs="方正小标宋简体"/>
                      <w:sz w:val="44"/>
                      <w:szCs w:val="44"/>
                    </w:rPr>
                    <w:t>202</w:t>
                  </w:r>
                  <w:r>
                    <w:rPr>
                      <w:rFonts w:hint="eastAsia" w:hAnsi="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年税收返还和转移支付预算表（分项目）</w:t>
                  </w:r>
                </w:p>
              </w:tc>
            </w:tr>
            <w:tr>
              <w:tblPrEx>
                <w:tblLayout w:type="fixed"/>
                <w:tblCellMar>
                  <w:top w:w="0" w:type="dxa"/>
                  <w:left w:w="0" w:type="dxa"/>
                  <w:bottom w:w="0" w:type="dxa"/>
                  <w:right w:w="0" w:type="dxa"/>
                </w:tblCellMar>
              </w:tblPrEx>
              <w:trPr>
                <w:cantSplit/>
                <w:trHeight w:val="227" w:hRule="atLeast"/>
                <w:jc w:val="center"/>
              </w:trPr>
              <w:tc>
                <w:tcPr>
                  <w:tcW w:w="6370" w:type="dxa"/>
                  <w:tcBorders>
                    <w:top w:val="nil"/>
                    <w:left w:val="nil"/>
                    <w:bottom w:val="single" w:color="auto" w:sz="4" w:space="0"/>
                    <w:right w:val="nil"/>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rPr>
                  </w:pPr>
                </w:p>
              </w:tc>
              <w:tc>
                <w:tcPr>
                  <w:tcW w:w="2449" w:type="dxa"/>
                  <w:tcBorders>
                    <w:top w:val="nil"/>
                    <w:left w:val="nil"/>
                    <w:bottom w:val="single" w:color="auto" w:sz="4" w:space="0"/>
                    <w:right w:val="nil"/>
                  </w:tcBorders>
                  <w:shd w:val="clear" w:color="auto" w:fill="auto"/>
                  <w:tcMar>
                    <w:top w:w="19" w:type="dxa"/>
                    <w:left w:w="19" w:type="dxa"/>
                    <w:bottom w:w="0" w:type="dxa"/>
                    <w:right w:w="19" w:type="dxa"/>
                  </w:tcMar>
                  <w:vAlign w:val="center"/>
                </w:tcPr>
                <w:p>
                  <w:pPr>
                    <w:jc w:val="right"/>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lang w:eastAsia="zh-CN"/>
                    </w:rPr>
                    <w:t>：</w:t>
                  </w:r>
                  <w:r>
                    <w:rPr>
                      <w:rFonts w:hint="eastAsia" w:ascii="宋体" w:hAnsi="宋体" w:eastAsia="宋体" w:cs="宋体"/>
                      <w:sz w:val="24"/>
                      <w:szCs w:val="24"/>
                    </w:rPr>
                    <w:t>万元</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项   目</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叶县</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合计</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235907</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一、返还性收入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5910</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所得税基数返还收入 </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成品油税费改革税收返还收入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1497</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增值税税收返还收入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734</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消费税税收返还收入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253</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增值税五五分享税收返还收入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3214</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二、一般性转移支付收入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222812</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均衡性转移支付收入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75060</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县级基本财力保障机制奖补资金收入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28418</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结算补助收入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产粮（油）大县奖励资金收入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4764</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重点生态功能区转移支付收入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3165</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固定数额补助收入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27566</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民族地区转移支付收入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巩固脱贫攻坚成果衔接乡村振兴转移支付</w:t>
                  </w:r>
                  <w:r>
                    <w:rPr>
                      <w:rFonts w:hint="eastAsia" w:ascii="宋体" w:hAnsi="宋体" w:eastAsia="宋体" w:cs="宋体"/>
                      <w:sz w:val="24"/>
                      <w:szCs w:val="24"/>
                      <w:highlight w:val="none"/>
                      <w:lang w:val="en-US" w:eastAsia="zh-CN"/>
                    </w:rPr>
                    <w:t>收</w:t>
                  </w:r>
                  <w:r>
                    <w:rPr>
                      <w:rFonts w:hint="eastAsia" w:ascii="宋体" w:hAnsi="宋体" w:eastAsia="宋体" w:cs="宋体"/>
                      <w:sz w:val="24"/>
                      <w:szCs w:val="24"/>
                      <w:highlight w:val="none"/>
                    </w:rPr>
                    <w:t>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6459</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公共安全共同财政事权转移支付收入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1498</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教育共同财政事权转移支付收入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24787</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tabs>
                      <w:tab w:val="left" w:pos="783"/>
                    </w:tabs>
                    <w:spacing w:line="360" w:lineRule="exact"/>
                    <w:ind w:firstLine="720" w:firstLineChars="3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文化旅游体育与传媒共同财政事权转移支付收入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574</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社会保障和就业共同财政事权转移支付收入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16228</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医疗卫生共同财政事权转移支付收入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14088</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节能环保</w:t>
                  </w:r>
                  <w:r>
                    <w:rPr>
                      <w:rFonts w:hint="eastAsia" w:ascii="宋体" w:hAnsi="宋体" w:eastAsia="宋体" w:cs="宋体"/>
                      <w:sz w:val="24"/>
                      <w:szCs w:val="24"/>
                      <w:highlight w:val="none"/>
                    </w:rPr>
                    <w:t>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农林水共同财政事权转移支付收入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18621</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交通运输共同财政事权转移支付收入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95</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住房保障共同财政事权转移支付收入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559</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tabs>
                      <w:tab w:val="left" w:pos="1668"/>
                    </w:tabs>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其他转移支付收入</w:t>
                  </w:r>
                  <w:r>
                    <w:rPr>
                      <w:rFonts w:hint="eastAsia" w:ascii="宋体" w:hAnsi="宋体" w:eastAsia="宋体" w:cs="宋体"/>
                      <w:sz w:val="24"/>
                      <w:szCs w:val="24"/>
                      <w:highlight w:val="none"/>
                      <w:lang w:eastAsia="zh-CN"/>
                    </w:rPr>
                    <w:tab/>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586</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三、专项转移支付收入</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7185</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教育</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4999</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卫生健康</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140</w:t>
                  </w:r>
                </w:p>
              </w:tc>
            </w:tr>
            <w:tr>
              <w:tblPrEx>
                <w:tblLayout w:type="fixed"/>
                <w:tblCellMar>
                  <w:top w:w="0" w:type="dxa"/>
                  <w:left w:w="0" w:type="dxa"/>
                  <w:bottom w:w="0" w:type="dxa"/>
                  <w:right w:w="0" w:type="dxa"/>
                </w:tblCellMar>
              </w:tblPrEx>
              <w:trPr>
                <w:cantSplit/>
                <w:trHeight w:val="567" w:hRule="exact"/>
                <w:jc w:val="center"/>
              </w:trPr>
              <w:tc>
                <w:tcPr>
                  <w:tcW w:w="6370"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农林水</w:t>
                  </w:r>
                </w:p>
              </w:tc>
              <w:tc>
                <w:tcPr>
                  <w:tcW w:w="2449"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2046</w:t>
                  </w:r>
                </w:p>
              </w:tc>
            </w:tr>
          </w:tbl>
          <w:p>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p>
        </w:tc>
      </w:tr>
    </w:tbl>
    <w:p>
      <w:pPr>
        <w:widowControl/>
        <w:jc w:val="left"/>
        <w:rPr>
          <w:rFonts w:hint="eastAsia" w:ascii="黑体" w:hAnsi="黑体" w:eastAsia="黑体" w:cs="黑体"/>
          <w:kern w:val="0"/>
          <w:sz w:val="32"/>
          <w:szCs w:val="32"/>
        </w:rPr>
      </w:pPr>
      <w:bookmarkStart w:id="11" w:name="RANGE!A1:B11"/>
      <w:r>
        <w:rPr>
          <w:rFonts w:hint="eastAsia" w:ascii="黑体" w:hAnsi="黑体" w:eastAsia="黑体" w:cs="黑体"/>
          <w:kern w:val="0"/>
          <w:sz w:val="32"/>
          <w:szCs w:val="32"/>
        </w:rPr>
        <w:br w:type="page"/>
      </w:r>
    </w:p>
    <w:bookmarkEnd w:id="11"/>
    <w:tbl>
      <w:tblPr>
        <w:tblStyle w:val="20"/>
        <w:tblpPr w:leftFromText="180" w:rightFromText="180" w:vertAnchor="text" w:horzAnchor="page" w:tblpXSpec="center" w:tblpY="130"/>
        <w:tblW w:w="8950" w:type="dxa"/>
        <w:jc w:val="center"/>
        <w:tblInd w:w="0" w:type="dxa"/>
        <w:tblLayout w:type="fixed"/>
        <w:tblCellMar>
          <w:top w:w="0" w:type="dxa"/>
          <w:left w:w="108" w:type="dxa"/>
          <w:bottom w:w="0" w:type="dxa"/>
          <w:right w:w="108" w:type="dxa"/>
        </w:tblCellMar>
      </w:tblPr>
      <w:tblGrid>
        <w:gridCol w:w="5122"/>
        <w:gridCol w:w="3828"/>
      </w:tblGrid>
      <w:tr>
        <w:tblPrEx>
          <w:tblLayout w:type="fixed"/>
          <w:tblCellMar>
            <w:top w:w="0" w:type="dxa"/>
            <w:left w:w="108" w:type="dxa"/>
            <w:bottom w:w="0" w:type="dxa"/>
            <w:right w:w="108" w:type="dxa"/>
          </w:tblCellMar>
        </w:tblPrEx>
        <w:trPr>
          <w:trHeight w:val="409" w:hRule="atLeast"/>
          <w:jc w:val="center"/>
        </w:trPr>
        <w:tc>
          <w:tcPr>
            <w:tcW w:w="5122" w:type="dxa"/>
            <w:tcBorders>
              <w:top w:val="nil"/>
              <w:left w:val="nil"/>
              <w:bottom w:val="nil"/>
              <w:right w:val="nil"/>
            </w:tcBorders>
            <w:shd w:val="clear" w:color="auto" w:fill="auto"/>
            <w:vAlign w:val="center"/>
          </w:tcPr>
          <w:p>
            <w:pPr>
              <w:widowControl/>
              <w:jc w:val="left"/>
              <w:rPr>
                <w:rFonts w:hint="eastAsia" w:ascii="宋体" w:hAnsi="宋体" w:eastAsia="黑体" w:cs="宋体"/>
                <w:kern w:val="0"/>
                <w:sz w:val="24"/>
                <w:szCs w:val="24"/>
                <w:lang w:eastAsia="zh-CN"/>
              </w:rPr>
            </w:pPr>
            <w:r>
              <w:rPr>
                <w:rFonts w:hint="eastAsia" w:ascii="黑体" w:hAnsi="黑体" w:eastAsia="黑体" w:cs="黑体"/>
                <w:kern w:val="0"/>
                <w:sz w:val="32"/>
                <w:szCs w:val="32"/>
              </w:rPr>
              <w:t>表十</w:t>
            </w:r>
            <w:r>
              <w:rPr>
                <w:rFonts w:hint="eastAsia" w:ascii="黑体" w:hAnsi="黑体" w:eastAsia="黑体" w:cs="黑体"/>
                <w:kern w:val="0"/>
                <w:sz w:val="32"/>
                <w:szCs w:val="32"/>
                <w:lang w:val="en-US" w:eastAsia="zh-CN"/>
              </w:rPr>
              <w:t>二</w:t>
            </w:r>
          </w:p>
        </w:tc>
        <w:tc>
          <w:tcPr>
            <w:tcW w:w="3828"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990" w:hRule="atLeast"/>
          <w:jc w:val="center"/>
        </w:trPr>
        <w:tc>
          <w:tcPr>
            <w:tcW w:w="8950" w:type="dxa"/>
            <w:gridSpan w:val="2"/>
            <w:tcBorders>
              <w:top w:val="nil"/>
              <w:left w:val="nil"/>
              <w:bottom w:val="nil"/>
              <w:right w:val="nil"/>
            </w:tcBorders>
            <w:shd w:val="clear" w:color="auto" w:fill="auto"/>
            <w:vAlign w:val="center"/>
          </w:tcPr>
          <w:p>
            <w:pPr>
              <w:pStyle w:val="48"/>
              <w:rPr>
                <w:rFonts w:hint="eastAsia" w:ascii="宋体" w:hAnsi="宋体" w:eastAsia="宋体" w:cs="宋体"/>
                <w:sz w:val="24"/>
                <w:szCs w:val="24"/>
              </w:rPr>
            </w:pPr>
            <w:bookmarkStart w:id="12" w:name="OLE_LINK3" w:colFirst="0" w:colLast="1"/>
            <w:r>
              <w:rPr>
                <w:rFonts w:hint="eastAsia" w:ascii="方正小标宋简体" w:hAnsi="方正小标宋简体" w:eastAsia="方正小标宋简体" w:cs="方正小标宋简体"/>
                <w:sz w:val="44"/>
                <w:szCs w:val="44"/>
                <w:highlight w:val="none"/>
              </w:rPr>
              <w:t>202</w:t>
            </w:r>
            <w:r>
              <w:rPr>
                <w:rFonts w:hint="eastAsia" w:hAnsi="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rPr>
              <w:t>年一般债务限额余额情况表</w:t>
            </w:r>
          </w:p>
        </w:tc>
      </w:tr>
      <w:tr>
        <w:tblPrEx>
          <w:tblLayout w:type="fixed"/>
          <w:tblCellMar>
            <w:top w:w="0" w:type="dxa"/>
            <w:left w:w="108" w:type="dxa"/>
            <w:bottom w:w="0" w:type="dxa"/>
            <w:right w:w="108" w:type="dxa"/>
          </w:tblCellMar>
        </w:tblPrEx>
        <w:trPr>
          <w:trHeight w:val="510" w:hRule="atLeast"/>
          <w:jc w:val="center"/>
        </w:trPr>
        <w:tc>
          <w:tcPr>
            <w:tcW w:w="5122"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c>
          <w:tcPr>
            <w:tcW w:w="3828" w:type="dxa"/>
            <w:tcBorders>
              <w:top w:val="nil"/>
              <w:left w:val="nil"/>
              <w:bottom w:val="nil"/>
              <w:right w:val="nil"/>
            </w:tcBorders>
            <w:shd w:val="clear" w:color="auto" w:fill="auto"/>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                                   单位：万元</w:t>
            </w:r>
          </w:p>
        </w:tc>
      </w:tr>
      <w:tr>
        <w:tblPrEx>
          <w:tblLayout w:type="fixed"/>
          <w:tblCellMar>
            <w:top w:w="0" w:type="dxa"/>
            <w:left w:w="108" w:type="dxa"/>
            <w:bottom w:w="0" w:type="dxa"/>
            <w:right w:w="108" w:type="dxa"/>
          </w:tblCellMar>
        </w:tblPrEx>
        <w:trPr>
          <w:trHeight w:val="624" w:hRule="atLeast"/>
          <w:jc w:val="center"/>
        </w:trPr>
        <w:tc>
          <w:tcPr>
            <w:tcW w:w="51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目</w:t>
            </w:r>
          </w:p>
        </w:tc>
        <w:tc>
          <w:tcPr>
            <w:tcW w:w="382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金</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额</w:t>
            </w:r>
          </w:p>
        </w:tc>
      </w:tr>
      <w:tr>
        <w:tblPrEx>
          <w:tblLayout w:type="fixed"/>
          <w:tblCellMar>
            <w:top w:w="0" w:type="dxa"/>
            <w:left w:w="108" w:type="dxa"/>
            <w:bottom w:w="0" w:type="dxa"/>
            <w:right w:w="108" w:type="dxa"/>
          </w:tblCellMar>
        </w:tblPrEx>
        <w:trPr>
          <w:trHeight w:val="624" w:hRule="atLeast"/>
          <w:jc w:val="center"/>
        </w:trPr>
        <w:tc>
          <w:tcPr>
            <w:tcW w:w="5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382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795" w:hRule="atLeast"/>
          <w:jc w:val="center"/>
        </w:trPr>
        <w:tc>
          <w:tcPr>
            <w:tcW w:w="512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一</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年末政府一般债务余额实际数</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173504</w:t>
            </w:r>
          </w:p>
        </w:tc>
      </w:tr>
      <w:tr>
        <w:tblPrEx>
          <w:tblLayout w:type="fixed"/>
          <w:tblCellMar>
            <w:top w:w="0" w:type="dxa"/>
            <w:left w:w="108" w:type="dxa"/>
            <w:bottom w:w="0" w:type="dxa"/>
            <w:right w:w="108" w:type="dxa"/>
          </w:tblCellMar>
        </w:tblPrEx>
        <w:trPr>
          <w:trHeight w:val="795" w:hRule="atLeast"/>
          <w:jc w:val="center"/>
        </w:trPr>
        <w:tc>
          <w:tcPr>
            <w:tcW w:w="512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二</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年末政府一般债务限额</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174521</w:t>
            </w:r>
          </w:p>
        </w:tc>
      </w:tr>
      <w:tr>
        <w:tblPrEx>
          <w:tblLayout w:type="fixed"/>
          <w:tblCellMar>
            <w:top w:w="0" w:type="dxa"/>
            <w:left w:w="108" w:type="dxa"/>
            <w:bottom w:w="0" w:type="dxa"/>
            <w:right w:w="108" w:type="dxa"/>
          </w:tblCellMar>
        </w:tblPrEx>
        <w:trPr>
          <w:trHeight w:val="795" w:hRule="atLeast"/>
          <w:jc w:val="center"/>
        </w:trPr>
        <w:tc>
          <w:tcPr>
            <w:tcW w:w="512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年政府一般债务接受转贷额</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28600</w:t>
            </w:r>
          </w:p>
        </w:tc>
      </w:tr>
      <w:tr>
        <w:tblPrEx>
          <w:tblLayout w:type="fixed"/>
          <w:tblCellMar>
            <w:top w:w="0" w:type="dxa"/>
            <w:left w:w="108" w:type="dxa"/>
            <w:bottom w:w="0" w:type="dxa"/>
            <w:right w:w="108" w:type="dxa"/>
          </w:tblCellMar>
        </w:tblPrEx>
        <w:trPr>
          <w:trHeight w:val="795" w:hRule="atLeast"/>
          <w:jc w:val="center"/>
        </w:trPr>
        <w:tc>
          <w:tcPr>
            <w:tcW w:w="512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四</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年政府一般债务还本额</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31751</w:t>
            </w:r>
          </w:p>
        </w:tc>
      </w:tr>
      <w:tr>
        <w:tblPrEx>
          <w:tblLayout w:type="fixed"/>
          <w:tblCellMar>
            <w:top w:w="0" w:type="dxa"/>
            <w:left w:w="108" w:type="dxa"/>
            <w:bottom w:w="0" w:type="dxa"/>
            <w:right w:w="108" w:type="dxa"/>
          </w:tblCellMar>
        </w:tblPrEx>
        <w:trPr>
          <w:trHeight w:val="795" w:hRule="atLeast"/>
          <w:jc w:val="center"/>
        </w:trPr>
        <w:tc>
          <w:tcPr>
            <w:tcW w:w="512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五</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年末政府一般债务余额执行数</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170353</w:t>
            </w:r>
          </w:p>
        </w:tc>
      </w:tr>
      <w:bookmarkEnd w:id="12"/>
    </w:tbl>
    <w:p>
      <w:pPr>
        <w:rPr>
          <w:rFonts w:hint="eastAsia" w:ascii="黑体" w:hAnsi="黑体" w:eastAsia="黑体" w:cs="黑体"/>
          <w:sz w:val="32"/>
          <w:szCs w:val="32"/>
        </w:rPr>
      </w:pPr>
      <w:r>
        <w:rPr>
          <w:rFonts w:hint="eastAsia" w:ascii="黑体" w:hAnsi="黑体" w:eastAsia="黑体" w:cs="黑体"/>
          <w:sz w:val="32"/>
          <w:szCs w:val="32"/>
        </w:rPr>
        <w:br w:type="page"/>
      </w:r>
    </w:p>
    <w:tbl>
      <w:tblPr>
        <w:tblStyle w:val="20"/>
        <w:tblW w:w="8977" w:type="dxa"/>
        <w:jc w:val="center"/>
        <w:tblInd w:w="0" w:type="dxa"/>
        <w:tblLayout w:type="fixed"/>
        <w:tblCellMar>
          <w:top w:w="0" w:type="dxa"/>
          <w:left w:w="0" w:type="dxa"/>
          <w:bottom w:w="0" w:type="dxa"/>
          <w:right w:w="0" w:type="dxa"/>
        </w:tblCellMar>
      </w:tblPr>
      <w:tblGrid>
        <w:gridCol w:w="3334"/>
        <w:gridCol w:w="1146"/>
        <w:gridCol w:w="3284"/>
        <w:gridCol w:w="1213"/>
      </w:tblGrid>
      <w:tr>
        <w:tblPrEx>
          <w:tblLayout w:type="fixed"/>
          <w:tblCellMar>
            <w:top w:w="0" w:type="dxa"/>
            <w:left w:w="0" w:type="dxa"/>
            <w:bottom w:w="0" w:type="dxa"/>
            <w:right w:w="0" w:type="dxa"/>
          </w:tblCellMar>
        </w:tblPrEx>
        <w:trPr>
          <w:trHeight w:val="695" w:hRule="atLeast"/>
          <w:jc w:val="center"/>
        </w:trPr>
        <w:tc>
          <w:tcPr>
            <w:tcW w:w="3334" w:type="dxa"/>
            <w:tcBorders>
              <w:top w:val="nil"/>
              <w:left w:val="nil"/>
              <w:bottom w:val="nil"/>
              <w:right w:val="nil"/>
            </w:tcBorders>
            <w:shd w:val="clear" w:color="auto" w:fill="auto"/>
            <w:tcMar>
              <w:top w:w="19" w:type="dxa"/>
              <w:left w:w="19" w:type="dxa"/>
              <w:bottom w:w="0" w:type="dxa"/>
              <w:right w:w="19" w:type="dxa"/>
            </w:tcMar>
            <w:vAlign w:val="center"/>
          </w:tcPr>
          <w:p>
            <w:pPr>
              <w:rPr>
                <w:rFonts w:hint="eastAsia" w:ascii="宋体" w:hAnsi="宋体" w:eastAsia="黑体" w:cs="宋体"/>
                <w:sz w:val="24"/>
                <w:szCs w:val="24"/>
                <w:lang w:eastAsia="zh-CN"/>
              </w:rPr>
            </w:pPr>
            <w:r>
              <w:rPr>
                <w:rFonts w:hint="eastAsia" w:ascii="黑体" w:hAnsi="黑体" w:eastAsia="黑体" w:cs="黑体"/>
                <w:sz w:val="32"/>
                <w:szCs w:val="32"/>
              </w:rPr>
              <w:t>表十</w:t>
            </w:r>
            <w:r>
              <w:rPr>
                <w:rFonts w:hint="eastAsia" w:ascii="黑体" w:hAnsi="黑体" w:eastAsia="黑体" w:cs="黑体"/>
                <w:sz w:val="32"/>
                <w:szCs w:val="32"/>
                <w:lang w:val="en-US" w:eastAsia="zh-CN"/>
              </w:rPr>
              <w:t>三</w:t>
            </w:r>
          </w:p>
        </w:tc>
        <w:tc>
          <w:tcPr>
            <w:tcW w:w="1146" w:type="dxa"/>
            <w:tcBorders>
              <w:top w:val="nil"/>
              <w:left w:val="nil"/>
              <w:bottom w:val="nil"/>
              <w:right w:val="nil"/>
            </w:tcBorders>
            <w:shd w:val="clear" w:color="auto" w:fill="auto"/>
            <w:tcMar>
              <w:top w:w="19" w:type="dxa"/>
              <w:left w:w="19" w:type="dxa"/>
              <w:bottom w:w="0" w:type="dxa"/>
              <w:right w:w="19" w:type="dxa"/>
            </w:tcMar>
            <w:vAlign w:val="center"/>
          </w:tcPr>
          <w:p>
            <w:pPr>
              <w:jc w:val="center"/>
              <w:rPr>
                <w:rFonts w:hint="eastAsia" w:ascii="宋体" w:hAnsi="宋体" w:eastAsia="宋体" w:cs="宋体"/>
                <w:color w:val="000000"/>
                <w:sz w:val="24"/>
                <w:szCs w:val="24"/>
              </w:rPr>
            </w:pPr>
          </w:p>
        </w:tc>
        <w:tc>
          <w:tcPr>
            <w:tcW w:w="3284" w:type="dxa"/>
            <w:tcBorders>
              <w:top w:val="nil"/>
              <w:left w:val="nil"/>
              <w:bottom w:val="nil"/>
              <w:right w:val="nil"/>
            </w:tcBorders>
            <w:shd w:val="clear" w:color="auto" w:fill="auto"/>
            <w:tcMar>
              <w:top w:w="19" w:type="dxa"/>
              <w:left w:w="19" w:type="dxa"/>
              <w:bottom w:w="0" w:type="dxa"/>
              <w:right w:w="19" w:type="dxa"/>
            </w:tcMar>
            <w:vAlign w:val="center"/>
          </w:tcPr>
          <w:p>
            <w:pPr>
              <w:jc w:val="center"/>
              <w:rPr>
                <w:rFonts w:hint="eastAsia" w:ascii="宋体" w:hAnsi="宋体" w:eastAsia="宋体" w:cs="宋体"/>
                <w:color w:val="000000"/>
                <w:sz w:val="24"/>
                <w:szCs w:val="24"/>
              </w:rPr>
            </w:pPr>
          </w:p>
        </w:tc>
        <w:tc>
          <w:tcPr>
            <w:tcW w:w="1213" w:type="dxa"/>
            <w:tcBorders>
              <w:top w:val="nil"/>
              <w:left w:val="nil"/>
              <w:bottom w:val="nil"/>
              <w:right w:val="nil"/>
            </w:tcBorders>
            <w:shd w:val="clear" w:color="auto" w:fill="auto"/>
            <w:tcMar>
              <w:top w:w="19" w:type="dxa"/>
              <w:left w:w="19" w:type="dxa"/>
              <w:bottom w:w="0" w:type="dxa"/>
              <w:right w:w="19" w:type="dxa"/>
            </w:tcMar>
            <w:vAlign w:val="center"/>
          </w:tcPr>
          <w:p>
            <w:pPr>
              <w:jc w:val="center"/>
              <w:rPr>
                <w:rFonts w:hint="eastAsia"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1188" w:hRule="atLeast"/>
          <w:jc w:val="center"/>
        </w:trPr>
        <w:tc>
          <w:tcPr>
            <w:tcW w:w="8977" w:type="dxa"/>
            <w:gridSpan w:val="4"/>
            <w:tcBorders>
              <w:top w:val="nil"/>
              <w:left w:val="nil"/>
              <w:bottom w:val="nil"/>
              <w:right w:val="nil"/>
            </w:tcBorders>
            <w:shd w:val="clear" w:color="auto" w:fill="auto"/>
            <w:tcMar>
              <w:top w:w="19" w:type="dxa"/>
              <w:left w:w="19" w:type="dxa"/>
              <w:bottom w:w="0" w:type="dxa"/>
              <w:right w:w="19" w:type="dxa"/>
            </w:tcMar>
            <w:vAlign w:val="center"/>
          </w:tcPr>
          <w:p>
            <w:pPr>
              <w:pStyle w:val="48"/>
              <w:rPr>
                <w:rFonts w:hint="eastAsia" w:ascii="宋体" w:hAnsi="宋体" w:eastAsia="宋体" w:cs="宋体"/>
                <w:sz w:val="24"/>
                <w:szCs w:val="24"/>
                <w:highlight w:val="none"/>
              </w:rPr>
            </w:pPr>
            <w:r>
              <w:rPr>
                <w:rFonts w:hint="eastAsia" w:hAnsi="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年政府性基金收支预算总表</w:t>
            </w:r>
          </w:p>
        </w:tc>
      </w:tr>
      <w:tr>
        <w:tblPrEx>
          <w:tblLayout w:type="fixed"/>
          <w:tblCellMar>
            <w:top w:w="0" w:type="dxa"/>
            <w:left w:w="0" w:type="dxa"/>
            <w:bottom w:w="0" w:type="dxa"/>
            <w:right w:w="0" w:type="dxa"/>
          </w:tblCellMar>
        </w:tblPrEx>
        <w:trPr>
          <w:trHeight w:val="474" w:hRule="atLeast"/>
          <w:jc w:val="center"/>
        </w:trPr>
        <w:tc>
          <w:tcPr>
            <w:tcW w:w="3334" w:type="dxa"/>
            <w:tcBorders>
              <w:top w:val="nil"/>
              <w:left w:val="nil"/>
              <w:bottom w:val="nil"/>
              <w:right w:val="nil"/>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p>
        </w:tc>
        <w:tc>
          <w:tcPr>
            <w:tcW w:w="1146" w:type="dxa"/>
            <w:tcBorders>
              <w:top w:val="nil"/>
              <w:left w:val="nil"/>
              <w:bottom w:val="nil"/>
              <w:right w:val="nil"/>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p>
        </w:tc>
        <w:tc>
          <w:tcPr>
            <w:tcW w:w="3284" w:type="dxa"/>
            <w:tcBorders>
              <w:top w:val="nil"/>
              <w:left w:val="nil"/>
              <w:bottom w:val="nil"/>
              <w:right w:val="nil"/>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p>
        </w:tc>
        <w:tc>
          <w:tcPr>
            <w:tcW w:w="1213" w:type="dxa"/>
            <w:tcBorders>
              <w:top w:val="nil"/>
              <w:left w:val="nil"/>
              <w:bottom w:val="nil"/>
              <w:right w:val="nil"/>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万元</w:t>
            </w:r>
          </w:p>
        </w:tc>
      </w:tr>
      <w:tr>
        <w:tblPrEx>
          <w:tblLayout w:type="fixed"/>
          <w:tblCellMar>
            <w:top w:w="0" w:type="dxa"/>
            <w:left w:w="0" w:type="dxa"/>
            <w:bottom w:w="0" w:type="dxa"/>
            <w:right w:w="0" w:type="dxa"/>
          </w:tblCellMar>
        </w:tblPrEx>
        <w:trPr>
          <w:trHeight w:val="729" w:hRule="atLeast"/>
          <w:jc w:val="center"/>
        </w:trPr>
        <w:tc>
          <w:tcPr>
            <w:tcW w:w="3334" w:type="dxa"/>
            <w:tcBorders>
              <w:top w:val="single" w:color="auto" w:sz="4" w:space="0"/>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预算科目</w:t>
            </w:r>
          </w:p>
        </w:tc>
        <w:tc>
          <w:tcPr>
            <w:tcW w:w="1146" w:type="dxa"/>
            <w:tcBorders>
              <w:top w:val="single" w:color="auto" w:sz="4" w:space="0"/>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收入</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预算数</w:t>
            </w:r>
          </w:p>
        </w:tc>
        <w:tc>
          <w:tcPr>
            <w:tcW w:w="3284" w:type="dxa"/>
            <w:tcBorders>
              <w:top w:val="single" w:color="auto" w:sz="4" w:space="0"/>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预算科目</w:t>
            </w:r>
          </w:p>
        </w:tc>
        <w:tc>
          <w:tcPr>
            <w:tcW w:w="1213" w:type="dxa"/>
            <w:tcBorders>
              <w:top w:val="single" w:color="auto" w:sz="4" w:space="0"/>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支出</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预算数</w:t>
            </w:r>
          </w:p>
        </w:tc>
      </w:tr>
      <w:tr>
        <w:tblPrEx>
          <w:tblLayout w:type="fixed"/>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一、县本级政府性基金收入</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117650</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一、县本级政府性基金支出</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195625</w:t>
            </w:r>
          </w:p>
        </w:tc>
      </w:tr>
      <w:tr>
        <w:tblPrEx>
          <w:tblLayout w:type="fixed"/>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上级补助收入</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1109</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二、转移性支出</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ascii="宋体" w:hAnsi="宋体" w:eastAsia="宋体" w:cs="宋体"/>
                <w:sz w:val="24"/>
                <w:szCs w:val="24"/>
              </w:rPr>
              <w:t>—</w:t>
            </w:r>
          </w:p>
        </w:tc>
      </w:tr>
      <w:tr>
        <w:tblPrEx>
          <w:tblLayout w:type="fixed"/>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三、下级上解收入</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ascii="宋体" w:hAnsi="宋体" w:eastAsia="宋体" w:cs="宋体"/>
                <w:sz w:val="24"/>
                <w:szCs w:val="24"/>
              </w:rPr>
              <w:t>—</w:t>
            </w:r>
            <w:r>
              <w:rPr>
                <w:rFonts w:hint="eastAsia" w:ascii="宋体" w:hAnsi="宋体" w:eastAsia="宋体" w:cs="宋体"/>
                <w:sz w:val="24"/>
                <w:szCs w:val="24"/>
                <w:highlight w:val="none"/>
              </w:rPr>
              <w:t>　</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三、补助下级支出</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ascii="宋体" w:hAnsi="宋体" w:eastAsia="宋体" w:cs="宋体"/>
                <w:sz w:val="24"/>
                <w:szCs w:val="24"/>
              </w:rPr>
              <w:t>—</w:t>
            </w:r>
          </w:p>
        </w:tc>
      </w:tr>
      <w:tr>
        <w:tblPrEx>
          <w:tblLayout w:type="fixed"/>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四、上年结余收入</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76866</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四、年终结余</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ascii="宋体" w:hAnsi="宋体" w:eastAsia="宋体" w:cs="宋体"/>
                <w:sz w:val="24"/>
                <w:szCs w:val="24"/>
              </w:rPr>
              <w:t>—</w:t>
            </w:r>
          </w:p>
        </w:tc>
      </w:tr>
      <w:tr>
        <w:tblPrEx>
          <w:tblLayout w:type="fixed"/>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五、调入资金</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ascii="宋体" w:hAnsi="宋体" w:eastAsia="宋体" w:cs="宋体"/>
                <w:sz w:val="24"/>
                <w:szCs w:val="24"/>
              </w:rPr>
              <w:t>—</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五、调出资金</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ascii="宋体" w:hAnsi="宋体" w:eastAsia="宋体" w:cs="宋体"/>
                <w:sz w:val="24"/>
                <w:szCs w:val="24"/>
              </w:rPr>
              <w:t>—</w:t>
            </w:r>
          </w:p>
        </w:tc>
      </w:tr>
      <w:tr>
        <w:tblPrEx>
          <w:tblLayout w:type="fixed"/>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六、地方政府专项债务转贷收入</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ascii="宋体" w:hAnsi="宋体" w:eastAsia="宋体" w:cs="宋体"/>
                <w:sz w:val="24"/>
                <w:szCs w:val="24"/>
              </w:rPr>
              <w:t>—</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六、地方政府专项债务还本支出</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sz w:val="24"/>
                <w:szCs w:val="24"/>
              </w:rPr>
              <w:t>—</w:t>
            </w:r>
          </w:p>
        </w:tc>
      </w:tr>
      <w:tr>
        <w:tblPrEx>
          <w:tblLayout w:type="fixed"/>
          <w:tblCellMar>
            <w:top w:w="0" w:type="dxa"/>
            <w:left w:w="0" w:type="dxa"/>
            <w:bottom w:w="0" w:type="dxa"/>
            <w:right w:w="0" w:type="dxa"/>
          </w:tblCellMar>
        </w:tblPrEx>
        <w:trPr>
          <w:trHeight w:val="718"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p>
        </w:tc>
      </w:tr>
      <w:tr>
        <w:tblPrEx>
          <w:tblLayout w:type="fixed"/>
          <w:tblCellMar>
            <w:top w:w="0" w:type="dxa"/>
            <w:left w:w="0" w:type="dxa"/>
            <w:bottom w:w="0" w:type="dxa"/>
            <w:right w:w="0" w:type="dxa"/>
          </w:tblCellMar>
        </w:tblPrEx>
        <w:trPr>
          <w:trHeight w:val="729" w:hRule="atLeast"/>
          <w:jc w:val="center"/>
        </w:trPr>
        <w:tc>
          <w:tcPr>
            <w:tcW w:w="3334" w:type="dxa"/>
            <w:tcBorders>
              <w:top w:val="nil"/>
              <w:left w:val="single" w:color="auto" w:sz="4" w:space="0"/>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收入总计</w:t>
            </w:r>
          </w:p>
        </w:tc>
        <w:tc>
          <w:tcPr>
            <w:tcW w:w="1146"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195625</w:t>
            </w:r>
          </w:p>
        </w:tc>
        <w:tc>
          <w:tcPr>
            <w:tcW w:w="3284"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支出总计</w:t>
            </w:r>
          </w:p>
        </w:tc>
        <w:tc>
          <w:tcPr>
            <w:tcW w:w="1213" w:type="dxa"/>
            <w:tcBorders>
              <w:top w:val="nil"/>
              <w:left w:val="nil"/>
              <w:bottom w:val="single" w:color="auto" w:sz="4" w:space="0"/>
              <w:right w:val="single" w:color="auto" w:sz="4" w:space="0"/>
            </w:tcBorders>
            <w:shd w:val="clear" w:color="auto" w:fill="auto"/>
            <w:tcMar>
              <w:top w:w="19" w:type="dxa"/>
              <w:left w:w="19" w:type="dxa"/>
              <w:bottom w:w="0" w:type="dxa"/>
              <w:right w:w="19" w:type="dxa"/>
            </w:tcMar>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195625</w:t>
            </w:r>
          </w:p>
        </w:tc>
      </w:tr>
    </w:tbl>
    <w:p>
      <w:pPr>
        <w:keepNext w:val="0"/>
        <w:keepLines w:val="0"/>
        <w:pageBreakBefore w:val="0"/>
        <w:widowControl w:val="0"/>
        <w:kinsoku/>
        <w:wordWrap/>
        <w:overflowPunct/>
        <w:topLinePunct w:val="0"/>
        <w:bidi w:val="0"/>
        <w:adjustRightInd/>
        <w:snapToGrid/>
        <w:spacing w:line="572" w:lineRule="exact"/>
        <w:jc w:val="both"/>
        <w:textAlignment w:val="auto"/>
        <w:outlineLvl w:val="9"/>
        <w:rPr>
          <w:rFonts w:hint="eastAsia" w:ascii="仿宋_GB2312" w:hAnsi="仿宋_GB2312" w:eastAsia="仿宋_GB2312" w:cs="仿宋_GB2312"/>
          <w:color w:val="auto"/>
          <w:sz w:val="32"/>
          <w:szCs w:val="32"/>
          <w:highlight w:val="none"/>
        </w:rPr>
      </w:pP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both"/>
        <w:textAlignment w:val="auto"/>
        <w:outlineLvl w:val="9"/>
        <w:rPr>
          <w:rFonts w:hint="eastAsia" w:ascii="方正小标宋简体" w:hAnsi="方正小标宋简体" w:eastAsia="方正小标宋简体" w:cs="方正小标宋简体"/>
          <w:color w:val="auto"/>
          <w:sz w:val="44"/>
          <w:szCs w:val="44"/>
        </w:rPr>
      </w:pP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both"/>
        <w:textAlignment w:val="auto"/>
        <w:outlineLvl w:val="9"/>
        <w:rPr>
          <w:rFonts w:hint="eastAsia" w:ascii="方正小标宋简体" w:hAnsi="方正小标宋简体" w:eastAsia="方正小标宋简体" w:cs="方正小标宋简体"/>
          <w:color w:val="auto"/>
          <w:sz w:val="44"/>
          <w:szCs w:val="44"/>
        </w:rPr>
      </w:pPr>
    </w:p>
    <w:tbl>
      <w:tblPr>
        <w:tblStyle w:val="20"/>
        <w:tblW w:w="8758" w:type="dxa"/>
        <w:jc w:val="center"/>
        <w:tblInd w:w="0" w:type="dxa"/>
        <w:tblLayout w:type="fixed"/>
        <w:tblCellMar>
          <w:top w:w="0" w:type="dxa"/>
          <w:left w:w="108" w:type="dxa"/>
          <w:bottom w:w="0" w:type="dxa"/>
          <w:right w:w="108" w:type="dxa"/>
        </w:tblCellMar>
      </w:tblPr>
      <w:tblGrid>
        <w:gridCol w:w="3328"/>
        <w:gridCol w:w="1789"/>
        <w:gridCol w:w="1789"/>
        <w:gridCol w:w="1852"/>
      </w:tblGrid>
      <w:tr>
        <w:tblPrEx>
          <w:tblLayout w:type="fixed"/>
          <w:tblCellMar>
            <w:top w:w="0" w:type="dxa"/>
            <w:left w:w="108" w:type="dxa"/>
            <w:bottom w:w="0" w:type="dxa"/>
            <w:right w:w="108" w:type="dxa"/>
          </w:tblCellMar>
        </w:tblPrEx>
        <w:trPr>
          <w:trHeight w:val="692" w:hRule="atLeast"/>
          <w:jc w:val="center"/>
        </w:trPr>
        <w:tc>
          <w:tcPr>
            <w:tcW w:w="3328" w:type="dxa"/>
            <w:tcBorders>
              <w:top w:val="nil"/>
              <w:left w:val="nil"/>
              <w:bottom w:val="nil"/>
              <w:right w:val="nil"/>
            </w:tcBorders>
            <w:shd w:val="clear" w:color="auto" w:fill="auto"/>
            <w:vAlign w:val="center"/>
          </w:tcPr>
          <w:p>
            <w:pPr>
              <w:widowControl/>
              <w:jc w:val="left"/>
              <w:rPr>
                <w:rFonts w:hint="eastAsia" w:ascii="宋体" w:hAnsi="宋体" w:eastAsia="黑体" w:cs="宋体"/>
                <w:kern w:val="0"/>
                <w:sz w:val="24"/>
                <w:szCs w:val="24"/>
                <w:lang w:eastAsia="zh-CN"/>
              </w:rPr>
            </w:pPr>
            <w:bookmarkStart w:id="13" w:name="RANGE!A1:C12"/>
            <w:r>
              <w:rPr>
                <w:rFonts w:hint="eastAsia" w:ascii="黑体" w:hAnsi="黑体" w:eastAsia="黑体" w:cs="黑体"/>
                <w:kern w:val="0"/>
                <w:sz w:val="32"/>
                <w:szCs w:val="32"/>
              </w:rPr>
              <w:t>表十</w:t>
            </w:r>
            <w:bookmarkEnd w:id="13"/>
            <w:r>
              <w:rPr>
                <w:rFonts w:hint="eastAsia" w:ascii="黑体" w:hAnsi="黑体" w:eastAsia="黑体" w:cs="黑体"/>
                <w:kern w:val="0"/>
                <w:sz w:val="32"/>
                <w:szCs w:val="32"/>
                <w:lang w:val="en-US" w:eastAsia="zh-CN"/>
              </w:rPr>
              <w:t>四</w:t>
            </w:r>
          </w:p>
        </w:tc>
        <w:tc>
          <w:tcPr>
            <w:tcW w:w="1789"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c>
          <w:tcPr>
            <w:tcW w:w="1789" w:type="dxa"/>
            <w:tcBorders>
              <w:top w:val="nil"/>
              <w:left w:val="nil"/>
              <w:bottom w:val="nil"/>
              <w:right w:val="nil"/>
            </w:tcBorders>
          </w:tcPr>
          <w:p>
            <w:pPr>
              <w:widowControl/>
              <w:jc w:val="left"/>
              <w:rPr>
                <w:rFonts w:hint="eastAsia" w:ascii="宋体" w:hAnsi="宋体" w:eastAsia="宋体" w:cs="宋体"/>
                <w:kern w:val="0"/>
                <w:sz w:val="24"/>
                <w:szCs w:val="24"/>
              </w:rPr>
            </w:pPr>
          </w:p>
        </w:tc>
        <w:tc>
          <w:tcPr>
            <w:tcW w:w="1852"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1199" w:hRule="atLeast"/>
          <w:jc w:val="center"/>
        </w:trPr>
        <w:tc>
          <w:tcPr>
            <w:tcW w:w="8758" w:type="dxa"/>
            <w:gridSpan w:val="4"/>
            <w:tcBorders>
              <w:top w:val="nil"/>
              <w:left w:val="nil"/>
              <w:bottom w:val="nil"/>
              <w:right w:val="nil"/>
            </w:tcBorders>
          </w:tcPr>
          <w:p>
            <w:pPr>
              <w:pStyle w:val="48"/>
              <w:jc w:val="center"/>
              <w:rPr>
                <w:rFonts w:hint="eastAsia" w:ascii="宋体" w:hAnsi="宋体" w:eastAsia="宋体" w:cs="宋体"/>
                <w:sz w:val="24"/>
                <w:szCs w:val="24"/>
                <w:highlight w:val="none"/>
              </w:rPr>
            </w:pPr>
            <w:r>
              <w:rPr>
                <w:rFonts w:hint="eastAsia" w:hAnsi="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年政府性基金收入预算表</w:t>
            </w:r>
          </w:p>
        </w:tc>
      </w:tr>
      <w:tr>
        <w:tblPrEx>
          <w:tblLayout w:type="fixed"/>
          <w:tblCellMar>
            <w:top w:w="0" w:type="dxa"/>
            <w:left w:w="108" w:type="dxa"/>
            <w:bottom w:w="0" w:type="dxa"/>
            <w:right w:w="108" w:type="dxa"/>
          </w:tblCellMar>
        </w:tblPrEx>
        <w:trPr>
          <w:trHeight w:val="750" w:hRule="atLeast"/>
          <w:jc w:val="center"/>
        </w:trPr>
        <w:tc>
          <w:tcPr>
            <w:tcW w:w="3328"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c>
          <w:tcPr>
            <w:tcW w:w="1789"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c>
          <w:tcPr>
            <w:tcW w:w="1789" w:type="dxa"/>
            <w:tcBorders>
              <w:top w:val="nil"/>
              <w:left w:val="nil"/>
              <w:bottom w:val="nil"/>
              <w:right w:val="nil"/>
            </w:tcBorders>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tblPrEx>
          <w:tblLayout w:type="fixed"/>
          <w:tblCellMar>
            <w:top w:w="0" w:type="dxa"/>
            <w:left w:w="108" w:type="dxa"/>
            <w:bottom w:w="0" w:type="dxa"/>
            <w:right w:w="108" w:type="dxa"/>
          </w:tblCellMar>
        </w:tblPrEx>
        <w:trPr>
          <w:trHeight w:val="781" w:hRule="atLeast"/>
          <w:jc w:val="center"/>
        </w:trPr>
        <w:tc>
          <w:tcPr>
            <w:tcW w:w="3328"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项   目</w:t>
            </w:r>
          </w:p>
        </w:tc>
        <w:tc>
          <w:tcPr>
            <w:tcW w:w="1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2025年执行数</w:t>
            </w:r>
          </w:p>
        </w:tc>
        <w:tc>
          <w:tcPr>
            <w:tcW w:w="178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2026年预算数</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备注</w:t>
            </w:r>
          </w:p>
        </w:tc>
      </w:tr>
      <w:tr>
        <w:tblPrEx>
          <w:tblLayout w:type="fixed"/>
          <w:tblCellMar>
            <w:top w:w="0" w:type="dxa"/>
            <w:left w:w="108" w:type="dxa"/>
            <w:bottom w:w="0" w:type="dxa"/>
            <w:right w:w="108" w:type="dxa"/>
          </w:tblCellMar>
        </w:tblPrEx>
        <w:trPr>
          <w:trHeight w:val="781" w:hRule="atLeast"/>
          <w:jc w:val="center"/>
        </w:trPr>
        <w:tc>
          <w:tcPr>
            <w:tcW w:w="33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国有土地收益基金收入</w:t>
            </w:r>
          </w:p>
        </w:tc>
        <w:tc>
          <w:tcPr>
            <w:tcW w:w="17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328 </w:t>
            </w:r>
          </w:p>
        </w:tc>
        <w:tc>
          <w:tcPr>
            <w:tcW w:w="178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340 </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Layout w:type="fixed"/>
          <w:tblCellMar>
            <w:top w:w="0" w:type="dxa"/>
            <w:left w:w="108" w:type="dxa"/>
            <w:bottom w:w="0" w:type="dxa"/>
            <w:right w:w="108" w:type="dxa"/>
          </w:tblCellMar>
        </w:tblPrEx>
        <w:trPr>
          <w:trHeight w:val="781" w:hRule="atLeast"/>
          <w:jc w:val="center"/>
        </w:trPr>
        <w:tc>
          <w:tcPr>
            <w:tcW w:w="332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农业土地开发资金收入</w:t>
            </w:r>
          </w:p>
        </w:tc>
        <w:tc>
          <w:tcPr>
            <w:tcW w:w="178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182 </w:t>
            </w:r>
          </w:p>
        </w:tc>
        <w:tc>
          <w:tcPr>
            <w:tcW w:w="178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200 </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Layout w:type="fixed"/>
          <w:tblCellMar>
            <w:top w:w="0" w:type="dxa"/>
            <w:left w:w="108" w:type="dxa"/>
            <w:bottom w:w="0" w:type="dxa"/>
            <w:right w:w="108" w:type="dxa"/>
          </w:tblCellMar>
        </w:tblPrEx>
        <w:trPr>
          <w:trHeight w:val="781" w:hRule="atLeast"/>
          <w:jc w:val="center"/>
        </w:trPr>
        <w:tc>
          <w:tcPr>
            <w:tcW w:w="332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国有土地使用权出让收入</w:t>
            </w:r>
          </w:p>
        </w:tc>
        <w:tc>
          <w:tcPr>
            <w:tcW w:w="17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109194 </w:t>
            </w:r>
          </w:p>
        </w:tc>
        <w:tc>
          <w:tcPr>
            <w:tcW w:w="178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 xml:space="preserve">114660 </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Layout w:type="fixed"/>
          <w:tblCellMar>
            <w:top w:w="0" w:type="dxa"/>
            <w:left w:w="108" w:type="dxa"/>
            <w:bottom w:w="0" w:type="dxa"/>
            <w:right w:w="108" w:type="dxa"/>
          </w:tblCellMar>
        </w:tblPrEx>
        <w:trPr>
          <w:trHeight w:val="781" w:hRule="atLeast"/>
          <w:jc w:val="center"/>
        </w:trPr>
        <w:tc>
          <w:tcPr>
            <w:tcW w:w="332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城市基础设施配套费收入</w:t>
            </w:r>
          </w:p>
        </w:tc>
        <w:tc>
          <w:tcPr>
            <w:tcW w:w="17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1466</w:t>
            </w:r>
          </w:p>
        </w:tc>
        <w:tc>
          <w:tcPr>
            <w:tcW w:w="178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4"/>
                <w:szCs w:val="24"/>
                <w:u w:val="none"/>
                <w:lang w:val="en-US" w:eastAsia="zh-CN" w:bidi="ar"/>
              </w:rPr>
              <w:t>1500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Layout w:type="fixed"/>
          <w:tblCellMar>
            <w:top w:w="0" w:type="dxa"/>
            <w:left w:w="108" w:type="dxa"/>
            <w:bottom w:w="0" w:type="dxa"/>
            <w:right w:w="108" w:type="dxa"/>
          </w:tblCellMar>
        </w:tblPrEx>
        <w:trPr>
          <w:trHeight w:val="781" w:hRule="atLeast"/>
          <w:jc w:val="center"/>
        </w:trPr>
        <w:tc>
          <w:tcPr>
            <w:tcW w:w="332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污水处理费收入</w:t>
            </w:r>
          </w:p>
        </w:tc>
        <w:tc>
          <w:tcPr>
            <w:tcW w:w="17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910</w:t>
            </w:r>
          </w:p>
        </w:tc>
        <w:tc>
          <w:tcPr>
            <w:tcW w:w="178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rPr>
            </w:pPr>
            <w:r>
              <w:rPr>
                <w:rFonts w:hint="eastAsia" w:ascii="宋体" w:hAnsi="宋体" w:eastAsia="宋体" w:cs="宋体"/>
                <w:i w:val="0"/>
                <w:color w:val="000000"/>
                <w:kern w:val="0"/>
                <w:sz w:val="24"/>
                <w:szCs w:val="24"/>
                <w:u w:val="none"/>
                <w:lang w:val="en-US" w:eastAsia="zh-CN" w:bidi="ar"/>
              </w:rPr>
              <w:t>950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Layout w:type="fixed"/>
          <w:tblCellMar>
            <w:top w:w="0" w:type="dxa"/>
            <w:left w:w="108" w:type="dxa"/>
            <w:bottom w:w="0" w:type="dxa"/>
            <w:right w:w="108" w:type="dxa"/>
          </w:tblCellMar>
        </w:tblPrEx>
        <w:trPr>
          <w:trHeight w:val="731" w:hRule="atLeast"/>
          <w:jc w:val="center"/>
        </w:trPr>
        <w:tc>
          <w:tcPr>
            <w:tcW w:w="332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u w:val="none"/>
                <w:lang w:val="en-US" w:eastAsia="zh-CN" w:bidi="ar"/>
              </w:rPr>
              <w:t>合   计</w:t>
            </w:r>
          </w:p>
        </w:tc>
        <w:tc>
          <w:tcPr>
            <w:tcW w:w="17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112080</w:t>
            </w:r>
          </w:p>
        </w:tc>
        <w:tc>
          <w:tcPr>
            <w:tcW w:w="178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117650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r>
    </w:tbl>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sectPr>
          <w:pgSz w:w="11906" w:h="16838"/>
          <w:pgMar w:top="2098" w:right="1531" w:bottom="1928" w:left="1531"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bookmarkStart w:id="14" w:name="_Toc63764872"/>
      <w:r>
        <w:rPr>
          <w:rFonts w:hint="eastAsia" w:ascii="方正小标宋简体" w:hAnsi="方正小标宋简体" w:eastAsia="方正小标宋简体" w:cs="方正小标宋简体"/>
          <w:color w:val="auto"/>
          <w:sz w:val="44"/>
          <w:szCs w:val="44"/>
          <w:highlight w:val="none"/>
        </w:rPr>
        <w:t>关于</w:t>
      </w:r>
      <w:r>
        <w:rPr>
          <w:rFonts w:hint="eastAsia" w:hAnsi="方正小标宋简体" w:cs="方正小标宋简体"/>
          <w:color w:val="auto"/>
          <w:sz w:val="44"/>
          <w:szCs w:val="44"/>
          <w:highlight w:val="none"/>
          <w:lang w:val="en-US" w:eastAsia="zh-CN"/>
        </w:rPr>
        <w:t>2026</w:t>
      </w:r>
      <w:r>
        <w:rPr>
          <w:rFonts w:hint="eastAsia" w:ascii="方正小标宋简体" w:hAnsi="方正小标宋简体" w:eastAsia="方正小标宋简体" w:cs="方正小标宋简体"/>
          <w:color w:val="auto"/>
          <w:sz w:val="44"/>
          <w:szCs w:val="44"/>
          <w:highlight w:val="none"/>
        </w:rPr>
        <w:t>年政府性基金收入预算</w:t>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情况的说明</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年政府性基金收入预算总计</w:t>
      </w:r>
      <w:r>
        <w:rPr>
          <w:rFonts w:hint="eastAsia" w:ascii="仿宋_GB2312" w:hAnsi="仿宋_GB2312" w:eastAsia="仿宋_GB2312" w:cs="仿宋_GB2312"/>
          <w:color w:val="auto"/>
          <w:sz w:val="32"/>
          <w:szCs w:val="32"/>
          <w:highlight w:val="none"/>
          <w:lang w:val="en-US" w:eastAsia="zh-CN"/>
        </w:rPr>
        <w:t>195625</w:t>
      </w:r>
      <w:r>
        <w:rPr>
          <w:rFonts w:hint="eastAsia" w:ascii="仿宋_GB2312" w:hAnsi="仿宋_GB2312" w:eastAsia="仿宋_GB2312" w:cs="仿宋_GB2312"/>
          <w:color w:val="auto"/>
          <w:sz w:val="32"/>
          <w:szCs w:val="32"/>
          <w:highlight w:val="none"/>
        </w:rPr>
        <w:t>万元，其中：县本级收入</w:t>
      </w:r>
      <w:r>
        <w:rPr>
          <w:rFonts w:hint="eastAsia" w:ascii="仿宋_GB2312" w:hAnsi="仿宋_GB2312" w:eastAsia="仿宋_GB2312" w:cs="仿宋_GB2312"/>
          <w:color w:val="auto"/>
          <w:sz w:val="32"/>
          <w:szCs w:val="32"/>
          <w:highlight w:val="none"/>
          <w:lang w:val="en-US" w:eastAsia="zh-CN"/>
        </w:rPr>
        <w:t>117650</w:t>
      </w:r>
      <w:r>
        <w:rPr>
          <w:rFonts w:hint="eastAsia" w:ascii="仿宋_GB2312" w:hAnsi="仿宋_GB2312" w:eastAsia="仿宋_GB2312" w:cs="仿宋_GB2312"/>
          <w:color w:val="auto"/>
          <w:sz w:val="32"/>
          <w:szCs w:val="32"/>
          <w:highlight w:val="none"/>
        </w:rPr>
        <w:t>万元，上级补助收入</w:t>
      </w:r>
      <w:r>
        <w:rPr>
          <w:rFonts w:hint="eastAsia" w:ascii="仿宋_GB2312" w:hAnsi="仿宋_GB2312" w:eastAsia="仿宋_GB2312" w:cs="仿宋_GB2312"/>
          <w:color w:val="auto"/>
          <w:sz w:val="32"/>
          <w:szCs w:val="32"/>
          <w:highlight w:val="none"/>
          <w:lang w:val="en-US" w:eastAsia="zh-CN"/>
        </w:rPr>
        <w:t>1109</w:t>
      </w:r>
      <w:r>
        <w:rPr>
          <w:rFonts w:hint="eastAsia" w:ascii="仿宋_GB2312" w:hAnsi="仿宋_GB2312" w:eastAsia="仿宋_GB2312" w:cs="仿宋_GB2312"/>
          <w:color w:val="auto"/>
          <w:sz w:val="32"/>
          <w:szCs w:val="32"/>
          <w:highlight w:val="none"/>
        </w:rPr>
        <w:t>万元，上年结余收入</w:t>
      </w:r>
      <w:r>
        <w:rPr>
          <w:rFonts w:hint="eastAsia" w:ascii="仿宋_GB2312" w:hAnsi="仿宋_GB2312" w:eastAsia="仿宋_GB2312" w:cs="仿宋_GB2312"/>
          <w:color w:val="auto"/>
          <w:sz w:val="32"/>
          <w:szCs w:val="32"/>
          <w:highlight w:val="none"/>
          <w:lang w:val="en-US" w:eastAsia="zh-CN"/>
        </w:rPr>
        <w:t>76866</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一、县本级收入主要项目情况</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县本级收入预算</w:t>
      </w:r>
      <w:r>
        <w:rPr>
          <w:rFonts w:hint="eastAsia" w:ascii="仿宋_GB2312" w:hAnsi="仿宋_GB2312" w:eastAsia="仿宋_GB2312" w:cs="仿宋_GB2312"/>
          <w:color w:val="auto"/>
          <w:sz w:val="32"/>
          <w:szCs w:val="32"/>
          <w:highlight w:val="none"/>
          <w:lang w:val="en-US" w:eastAsia="zh-CN"/>
        </w:rPr>
        <w:t>117650</w:t>
      </w:r>
      <w:r>
        <w:rPr>
          <w:rFonts w:hint="eastAsia" w:ascii="仿宋_GB2312" w:hAnsi="仿宋_GB2312" w:eastAsia="仿宋_GB2312" w:cs="仿宋_GB2312"/>
          <w:color w:val="auto"/>
          <w:sz w:val="32"/>
          <w:szCs w:val="32"/>
          <w:highlight w:val="none"/>
        </w:rPr>
        <w:t>万元，主要项目安排情况是：</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1．国有土地收益基金收入</w:t>
      </w:r>
      <w:r>
        <w:rPr>
          <w:rFonts w:hint="eastAsia" w:ascii="仿宋_GB2312" w:hAnsi="仿宋_GB2312" w:eastAsia="仿宋_GB2312" w:cs="仿宋_GB2312"/>
          <w:color w:val="auto"/>
          <w:sz w:val="32"/>
          <w:szCs w:val="32"/>
          <w:highlight w:val="none"/>
          <w:lang w:val="en-US" w:eastAsia="zh-CN"/>
        </w:rPr>
        <w:t>340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2．农业土地开发资金收入</w:t>
      </w:r>
      <w:r>
        <w:rPr>
          <w:rFonts w:hint="eastAsia" w:ascii="仿宋_GB2312" w:hAnsi="仿宋_GB2312"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3．国有土地使用权出让收入</w:t>
      </w:r>
      <w:r>
        <w:rPr>
          <w:rFonts w:hint="eastAsia" w:ascii="仿宋_GB2312" w:hAnsi="仿宋_GB2312" w:eastAsia="仿宋_GB2312" w:cs="仿宋_GB2312"/>
          <w:color w:val="auto"/>
          <w:sz w:val="32"/>
          <w:szCs w:val="32"/>
          <w:highlight w:val="none"/>
          <w:lang w:val="en-US" w:eastAsia="zh-CN"/>
        </w:rPr>
        <w:t>114660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4．城市基础设施配套费收入</w:t>
      </w:r>
      <w:r>
        <w:rPr>
          <w:rFonts w:hint="eastAsia" w:ascii="仿宋_GB2312" w:hAnsi="仿宋_GB2312" w:eastAsia="仿宋_GB2312" w:cs="仿宋_GB2312"/>
          <w:color w:val="auto"/>
          <w:sz w:val="32"/>
          <w:szCs w:val="32"/>
          <w:highlight w:val="none"/>
          <w:lang w:val="en-US" w:eastAsia="zh-CN"/>
        </w:rPr>
        <w:t>1500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5．污水处理费收入</w:t>
      </w:r>
      <w:r>
        <w:rPr>
          <w:rFonts w:hint="eastAsia" w:ascii="仿宋_GB2312" w:hAnsi="仿宋_GB2312" w:eastAsia="仿宋_GB2312" w:cs="仿宋_GB2312"/>
          <w:color w:val="auto"/>
          <w:sz w:val="32"/>
          <w:szCs w:val="32"/>
          <w:highlight w:val="none"/>
          <w:lang w:val="en-US" w:eastAsia="zh-CN"/>
        </w:rPr>
        <w:t>950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二、上级补助收入项目情况</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1.国家电影事业发展专项资金补助地方资金2万元； </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2.大中型水库移民后扶资金848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3.彩票公益金259万元。</w:t>
      </w:r>
    </w:p>
    <w:bookmarkEnd w:id="14"/>
    <w:p>
      <w:pPr>
        <w:widowControl/>
        <w:jc w:val="left"/>
        <w:rPr>
          <w:rFonts w:hint="eastAsia" w:ascii="黑体" w:hAnsi="黑体" w:eastAsia="黑体" w:cs="黑体"/>
          <w:kern w:val="0"/>
          <w:sz w:val="32"/>
          <w:szCs w:val="32"/>
        </w:rPr>
      </w:pPr>
      <w:bookmarkStart w:id="15" w:name="RANGE!A1:C17"/>
      <w:r>
        <w:rPr>
          <w:rFonts w:hint="eastAsia" w:ascii="黑体" w:hAnsi="黑体" w:eastAsia="黑体" w:cs="黑体"/>
          <w:kern w:val="0"/>
          <w:sz w:val="32"/>
          <w:szCs w:val="32"/>
        </w:rPr>
        <w:br w:type="page"/>
      </w:r>
    </w:p>
    <w:tbl>
      <w:tblPr>
        <w:tblStyle w:val="20"/>
        <w:tblW w:w="9057" w:type="dxa"/>
        <w:jc w:val="center"/>
        <w:tblInd w:w="0" w:type="dxa"/>
        <w:tblLayout w:type="fixed"/>
        <w:tblCellMar>
          <w:top w:w="0" w:type="dxa"/>
          <w:left w:w="108" w:type="dxa"/>
          <w:bottom w:w="0" w:type="dxa"/>
          <w:right w:w="108" w:type="dxa"/>
        </w:tblCellMar>
      </w:tblPr>
      <w:tblGrid>
        <w:gridCol w:w="6025"/>
        <w:gridCol w:w="1514"/>
        <w:gridCol w:w="1518"/>
      </w:tblGrid>
      <w:tr>
        <w:tblPrEx>
          <w:tblLayout w:type="fixed"/>
          <w:tblCellMar>
            <w:top w:w="0" w:type="dxa"/>
            <w:left w:w="108" w:type="dxa"/>
            <w:bottom w:w="0" w:type="dxa"/>
            <w:right w:w="108" w:type="dxa"/>
          </w:tblCellMar>
        </w:tblPrEx>
        <w:trPr>
          <w:cantSplit/>
          <w:trHeight w:val="0" w:hRule="atLeast"/>
          <w:jc w:val="center"/>
        </w:trPr>
        <w:tc>
          <w:tcPr>
            <w:tcW w:w="6025" w:type="dxa"/>
            <w:tcBorders>
              <w:top w:val="nil"/>
              <w:left w:val="nil"/>
              <w:bottom w:val="nil"/>
              <w:right w:val="nil"/>
            </w:tcBorders>
            <w:shd w:val="clear" w:color="auto" w:fill="auto"/>
            <w:vAlign w:val="center"/>
          </w:tcPr>
          <w:p>
            <w:pPr>
              <w:widowControl/>
              <w:jc w:val="left"/>
              <w:rPr>
                <w:rFonts w:hint="eastAsia" w:ascii="宋体" w:hAnsi="宋体" w:eastAsia="黑体" w:cs="宋体"/>
                <w:kern w:val="0"/>
                <w:sz w:val="24"/>
                <w:szCs w:val="24"/>
                <w:lang w:val="en-US" w:eastAsia="zh-CN"/>
              </w:rPr>
            </w:pPr>
            <w:r>
              <w:rPr>
                <w:rFonts w:hint="eastAsia" w:ascii="黑体" w:hAnsi="黑体" w:eastAsia="黑体" w:cs="黑体"/>
                <w:kern w:val="0"/>
                <w:sz w:val="32"/>
                <w:szCs w:val="32"/>
              </w:rPr>
              <w:t>表十</w:t>
            </w:r>
            <w:bookmarkEnd w:id="15"/>
            <w:r>
              <w:rPr>
                <w:rFonts w:hint="eastAsia" w:ascii="黑体" w:hAnsi="黑体" w:eastAsia="黑体" w:cs="黑体"/>
                <w:kern w:val="0"/>
                <w:sz w:val="32"/>
                <w:szCs w:val="32"/>
                <w:lang w:val="en-US" w:eastAsia="zh-CN"/>
              </w:rPr>
              <w:t>五</w:t>
            </w:r>
          </w:p>
        </w:tc>
        <w:tc>
          <w:tcPr>
            <w:tcW w:w="1514"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c>
          <w:tcPr>
            <w:tcW w:w="1518"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cantSplit/>
          <w:trHeight w:val="0" w:hRule="atLeast"/>
          <w:jc w:val="center"/>
        </w:trPr>
        <w:tc>
          <w:tcPr>
            <w:tcW w:w="9057" w:type="dxa"/>
            <w:gridSpan w:val="3"/>
            <w:tcBorders>
              <w:top w:val="nil"/>
              <w:left w:val="nil"/>
              <w:bottom w:val="nil"/>
              <w:right w:val="nil"/>
            </w:tcBorders>
            <w:shd w:val="clear" w:color="auto" w:fill="auto"/>
            <w:vAlign w:val="center"/>
          </w:tcPr>
          <w:p>
            <w:pPr>
              <w:pStyle w:val="48"/>
              <w:rPr>
                <w:rFonts w:hint="eastAsia" w:ascii="宋体" w:hAnsi="宋体" w:eastAsia="宋体" w:cs="宋体"/>
                <w:sz w:val="24"/>
                <w:szCs w:val="24"/>
              </w:rPr>
            </w:pPr>
            <w:r>
              <w:rPr>
                <w:rFonts w:hint="eastAsia" w:ascii="方正小标宋简体" w:hAnsi="方正小标宋简体" w:eastAsia="方正小标宋简体" w:cs="方正小标宋简体"/>
                <w:sz w:val="44"/>
                <w:szCs w:val="44"/>
                <w:highlight w:val="none"/>
              </w:rPr>
              <w:t>202</w:t>
            </w:r>
            <w:r>
              <w:rPr>
                <w:rFonts w:hint="eastAsia" w:hAnsi="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rPr>
              <w:t>年政府性基金支出预算表</w:t>
            </w:r>
          </w:p>
        </w:tc>
      </w:tr>
      <w:tr>
        <w:tblPrEx>
          <w:tblLayout w:type="fixed"/>
          <w:tblCellMar>
            <w:top w:w="0" w:type="dxa"/>
            <w:left w:w="108" w:type="dxa"/>
            <w:bottom w:w="0" w:type="dxa"/>
            <w:right w:w="108" w:type="dxa"/>
          </w:tblCellMar>
        </w:tblPrEx>
        <w:trPr>
          <w:cantSplit/>
          <w:trHeight w:val="0" w:hRule="atLeast"/>
          <w:jc w:val="center"/>
        </w:trPr>
        <w:tc>
          <w:tcPr>
            <w:tcW w:w="6025"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c>
          <w:tcPr>
            <w:tcW w:w="1514" w:type="dxa"/>
            <w:tcBorders>
              <w:top w:val="nil"/>
              <w:left w:val="nil"/>
              <w:bottom w:val="nil"/>
              <w:right w:val="nil"/>
            </w:tcBorders>
            <w:shd w:val="clear" w:color="auto" w:fill="auto"/>
            <w:vAlign w:val="center"/>
          </w:tcPr>
          <w:p>
            <w:pPr>
              <w:widowControl/>
              <w:jc w:val="center"/>
              <w:rPr>
                <w:rFonts w:hint="eastAsia" w:ascii="宋体" w:hAnsi="宋体" w:eastAsia="宋体" w:cs="宋体"/>
                <w:kern w:val="0"/>
                <w:sz w:val="24"/>
                <w:szCs w:val="24"/>
              </w:rPr>
            </w:pPr>
          </w:p>
        </w:tc>
        <w:tc>
          <w:tcPr>
            <w:tcW w:w="1518" w:type="dxa"/>
            <w:tcBorders>
              <w:top w:val="nil"/>
              <w:left w:val="nil"/>
              <w:bottom w:val="nil"/>
              <w:right w:val="nil"/>
            </w:tcBorders>
            <w:shd w:val="clear" w:color="auto" w:fill="auto"/>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tblPrEx>
          <w:tblLayout w:type="fixed"/>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2"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目</w:t>
            </w:r>
          </w:p>
        </w:tc>
        <w:tc>
          <w:tcPr>
            <w:tcW w:w="1514" w:type="dxa"/>
            <w:tcBorders>
              <w:top w:val="single" w:color="auto" w:sz="4" w:space="0"/>
              <w:left w:val="nil"/>
              <w:bottom w:val="single" w:color="auto" w:sz="4" w:space="0"/>
              <w:right w:val="single" w:color="auto" w:sz="4" w:space="0"/>
            </w:tcBorders>
            <w:shd w:val="clear" w:color="auto" w:fill="auto"/>
            <w:vAlign w:val="center"/>
          </w:tcPr>
          <w:p>
            <w:pPr>
              <w:widowControl/>
              <w:spacing w:line="392"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预算数</w:t>
            </w:r>
          </w:p>
        </w:tc>
        <w:tc>
          <w:tcPr>
            <w:tcW w:w="1518" w:type="dxa"/>
            <w:tcBorders>
              <w:top w:val="single" w:color="auto" w:sz="4" w:space="0"/>
              <w:left w:val="nil"/>
              <w:bottom w:val="single" w:color="auto" w:sz="4" w:space="0"/>
              <w:right w:val="single" w:color="auto" w:sz="4" w:space="0"/>
            </w:tcBorders>
            <w:shd w:val="clear" w:color="auto" w:fill="auto"/>
            <w:vAlign w:val="center"/>
          </w:tcPr>
          <w:p>
            <w:pPr>
              <w:widowControl/>
              <w:spacing w:line="392"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备</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注</w:t>
            </w:r>
          </w:p>
        </w:tc>
      </w:tr>
      <w:tr>
        <w:tblPrEx>
          <w:tblLayout w:type="fixed"/>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文化旅游体育与传媒支出</w:t>
            </w:r>
          </w:p>
        </w:tc>
        <w:tc>
          <w:tcPr>
            <w:tcW w:w="1514" w:type="dxa"/>
            <w:tcBorders>
              <w:top w:val="nil"/>
              <w:left w:val="nil"/>
              <w:bottom w:val="single" w:color="auto" w:sz="4" w:space="0"/>
              <w:right w:val="single" w:color="auto" w:sz="4" w:space="0"/>
            </w:tcBorders>
            <w:shd w:val="clear" w:color="000000" w:fill="FFFFFF"/>
            <w:vAlign w:val="center"/>
          </w:tcPr>
          <w:p>
            <w:pPr>
              <w:widowControl/>
              <w:spacing w:line="392"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518" w:type="dxa"/>
            <w:tcBorders>
              <w:top w:val="nil"/>
              <w:left w:val="nil"/>
              <w:bottom w:val="single" w:color="auto" w:sz="4" w:space="0"/>
              <w:right w:val="single" w:color="auto" w:sz="4" w:space="0"/>
            </w:tcBorders>
            <w:shd w:val="clear" w:color="auto" w:fill="auto"/>
            <w:vAlign w:val="center"/>
          </w:tcPr>
          <w:p>
            <w:pPr>
              <w:widowControl/>
              <w:spacing w:line="392" w:lineRule="exact"/>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城乡社区支出</w:t>
            </w:r>
          </w:p>
        </w:tc>
        <w:tc>
          <w:tcPr>
            <w:tcW w:w="1514" w:type="dxa"/>
            <w:tcBorders>
              <w:top w:val="nil"/>
              <w:left w:val="nil"/>
              <w:bottom w:val="single" w:color="auto" w:sz="4" w:space="0"/>
              <w:right w:val="single" w:color="auto" w:sz="4" w:space="0"/>
            </w:tcBorders>
            <w:shd w:val="clear" w:color="000000" w:fill="FFFFFF"/>
            <w:vAlign w:val="center"/>
          </w:tcPr>
          <w:p>
            <w:pPr>
              <w:widowControl/>
              <w:spacing w:line="392"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76387</w:t>
            </w:r>
          </w:p>
        </w:tc>
        <w:tc>
          <w:tcPr>
            <w:tcW w:w="1518" w:type="dxa"/>
            <w:tcBorders>
              <w:top w:val="nil"/>
              <w:left w:val="nil"/>
              <w:bottom w:val="single" w:color="auto" w:sz="4" w:space="0"/>
              <w:right w:val="single" w:color="auto" w:sz="4" w:space="0"/>
            </w:tcBorders>
            <w:shd w:val="clear" w:color="auto" w:fill="auto"/>
            <w:vAlign w:val="center"/>
          </w:tcPr>
          <w:p>
            <w:pPr>
              <w:widowControl/>
              <w:spacing w:line="392" w:lineRule="exact"/>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农林水支出</w:t>
            </w:r>
          </w:p>
        </w:tc>
        <w:tc>
          <w:tcPr>
            <w:tcW w:w="1514" w:type="dxa"/>
            <w:tcBorders>
              <w:top w:val="nil"/>
              <w:left w:val="nil"/>
              <w:bottom w:val="single" w:color="auto" w:sz="4" w:space="0"/>
              <w:right w:val="single" w:color="auto" w:sz="4" w:space="0"/>
            </w:tcBorders>
            <w:shd w:val="clear" w:color="000000" w:fill="FFFFFF"/>
            <w:vAlign w:val="center"/>
          </w:tcPr>
          <w:p>
            <w:pPr>
              <w:widowControl/>
              <w:spacing w:line="392"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12882</w:t>
            </w:r>
          </w:p>
        </w:tc>
        <w:tc>
          <w:tcPr>
            <w:tcW w:w="1518" w:type="dxa"/>
            <w:tcBorders>
              <w:top w:val="nil"/>
              <w:left w:val="nil"/>
              <w:bottom w:val="single" w:color="auto" w:sz="4" w:space="0"/>
              <w:right w:val="single" w:color="auto" w:sz="4" w:space="0"/>
            </w:tcBorders>
            <w:shd w:val="clear" w:color="auto" w:fill="auto"/>
            <w:vAlign w:val="center"/>
          </w:tcPr>
          <w:p>
            <w:pPr>
              <w:widowControl/>
              <w:spacing w:line="392" w:lineRule="exact"/>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2" w:lineRule="exact"/>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住房保障支出</w:t>
            </w:r>
          </w:p>
        </w:tc>
        <w:tc>
          <w:tcPr>
            <w:tcW w:w="1514" w:type="dxa"/>
            <w:tcBorders>
              <w:top w:val="nil"/>
              <w:left w:val="nil"/>
              <w:bottom w:val="single" w:color="auto" w:sz="4" w:space="0"/>
              <w:right w:val="single" w:color="auto" w:sz="4" w:space="0"/>
            </w:tcBorders>
            <w:shd w:val="clear" w:color="000000" w:fill="FFFFFF"/>
            <w:vAlign w:val="center"/>
          </w:tcPr>
          <w:p>
            <w:pPr>
              <w:widowControl/>
              <w:spacing w:line="392"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600</w:t>
            </w:r>
          </w:p>
        </w:tc>
        <w:tc>
          <w:tcPr>
            <w:tcW w:w="1518" w:type="dxa"/>
            <w:tcBorders>
              <w:top w:val="nil"/>
              <w:left w:val="nil"/>
              <w:bottom w:val="single" w:color="auto" w:sz="4" w:space="0"/>
              <w:right w:val="single" w:color="auto" w:sz="4" w:space="0"/>
            </w:tcBorders>
            <w:shd w:val="clear" w:color="auto" w:fill="auto"/>
            <w:vAlign w:val="center"/>
          </w:tcPr>
          <w:p>
            <w:pPr>
              <w:widowControl/>
              <w:spacing w:line="392" w:lineRule="exact"/>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cantSplit/>
          <w:trHeight w:val="850" w:hRule="exact"/>
          <w:jc w:val="center"/>
        </w:trPr>
        <w:tc>
          <w:tcPr>
            <w:tcW w:w="6025" w:type="dxa"/>
            <w:tcBorders>
              <w:top w:val="nil"/>
              <w:left w:val="single" w:color="auto" w:sz="4" w:space="0"/>
              <w:bottom w:val="single" w:color="auto" w:sz="4" w:space="0"/>
              <w:right w:val="single" w:color="auto" w:sz="4" w:space="0"/>
            </w:tcBorders>
            <w:shd w:val="clear" w:color="auto" w:fill="auto"/>
            <w:vAlign w:val="center"/>
          </w:tcPr>
          <w:p>
            <w:pPr>
              <w:widowControl/>
              <w:spacing w:line="392" w:lineRule="exact"/>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其他支出</w:t>
            </w:r>
          </w:p>
        </w:tc>
        <w:tc>
          <w:tcPr>
            <w:tcW w:w="1514" w:type="dxa"/>
            <w:tcBorders>
              <w:top w:val="nil"/>
              <w:left w:val="nil"/>
              <w:bottom w:val="single" w:color="auto" w:sz="4" w:space="0"/>
              <w:right w:val="single" w:color="auto" w:sz="4" w:space="0"/>
            </w:tcBorders>
            <w:shd w:val="clear" w:color="auto" w:fill="auto"/>
            <w:vAlign w:val="center"/>
          </w:tcPr>
          <w:p>
            <w:pPr>
              <w:widowControl/>
              <w:spacing w:line="392"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86868</w:t>
            </w:r>
          </w:p>
        </w:tc>
        <w:tc>
          <w:tcPr>
            <w:tcW w:w="1518" w:type="dxa"/>
            <w:tcBorders>
              <w:top w:val="nil"/>
              <w:left w:val="nil"/>
              <w:bottom w:val="single" w:color="auto" w:sz="4" w:space="0"/>
              <w:right w:val="single" w:color="auto" w:sz="4" w:space="0"/>
            </w:tcBorders>
            <w:shd w:val="clear" w:color="auto" w:fill="auto"/>
            <w:vAlign w:val="center"/>
          </w:tcPr>
          <w:p>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债务付息支出</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2"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18886</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cantSplit/>
          <w:trHeight w:val="850" w:hRule="exact"/>
          <w:jc w:val="center"/>
        </w:trPr>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2"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合      计</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2"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195625</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92"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关于202</w:t>
      </w:r>
      <w:r>
        <w:rPr>
          <w:rFonts w:hint="eastAsia" w:hAnsi="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年政府性基金支出预算</w:t>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情况的说明</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年政府性基金支出预算总计</w:t>
      </w:r>
      <w:r>
        <w:rPr>
          <w:rFonts w:hint="eastAsia" w:ascii="仿宋_GB2312" w:hAnsi="仿宋_GB2312" w:eastAsia="仿宋_GB2312" w:cs="仿宋_GB2312"/>
          <w:color w:val="auto"/>
          <w:sz w:val="32"/>
          <w:szCs w:val="32"/>
          <w:highlight w:val="none"/>
          <w:lang w:val="en-US" w:eastAsia="zh-CN"/>
        </w:rPr>
        <w:t>195625</w:t>
      </w:r>
      <w:r>
        <w:rPr>
          <w:rFonts w:hint="eastAsia" w:ascii="仿宋_GB2312" w:hAnsi="仿宋_GB2312" w:eastAsia="仿宋_GB2312" w:cs="仿宋_GB2312"/>
          <w:color w:val="auto"/>
          <w:sz w:val="32"/>
          <w:szCs w:val="32"/>
          <w:highlight w:val="none"/>
        </w:rPr>
        <w:t>万元，主要支出项目是：</w:t>
      </w:r>
    </w:p>
    <w:p>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文化旅游体育与传媒支出2万元；</w:t>
      </w:r>
    </w:p>
    <w:p>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城乡社区支出76387万元；</w:t>
      </w:r>
    </w:p>
    <w:p>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农林水支出12882万元；</w:t>
      </w:r>
    </w:p>
    <w:p>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住房保障支出600万元；</w:t>
      </w:r>
    </w:p>
    <w:p>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其他支出86868万元；</w:t>
      </w:r>
    </w:p>
    <w:p>
      <w:pPr>
        <w:keepNext w:val="0"/>
        <w:keepLines w:val="0"/>
        <w:pageBreakBefore w:val="0"/>
        <w:widowControl w:val="0"/>
        <w:numPr>
          <w:ilvl w:val="0"/>
          <w:numId w:val="4"/>
        </w:numPr>
        <w:kinsoku/>
        <w:wordWrap/>
        <w:overflowPunct/>
        <w:topLinePunct w:val="0"/>
        <w:autoSpaceDE/>
        <w:autoSpaceDN/>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债务付息支出18886万元。</w:t>
      </w: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tbl>
      <w:tblPr>
        <w:tblStyle w:val="20"/>
        <w:tblW w:w="8899" w:type="dxa"/>
        <w:jc w:val="center"/>
        <w:tblInd w:w="0" w:type="dxa"/>
        <w:tblLayout w:type="fixed"/>
        <w:tblCellMar>
          <w:top w:w="0" w:type="dxa"/>
          <w:left w:w="108" w:type="dxa"/>
          <w:bottom w:w="0" w:type="dxa"/>
          <w:right w:w="108" w:type="dxa"/>
        </w:tblCellMar>
      </w:tblPr>
      <w:tblGrid>
        <w:gridCol w:w="5730"/>
        <w:gridCol w:w="3169"/>
      </w:tblGrid>
      <w:tr>
        <w:tblPrEx>
          <w:tblLayout w:type="fixed"/>
          <w:tblCellMar>
            <w:top w:w="0" w:type="dxa"/>
            <w:left w:w="108" w:type="dxa"/>
            <w:bottom w:w="0" w:type="dxa"/>
            <w:right w:w="108" w:type="dxa"/>
          </w:tblCellMar>
        </w:tblPrEx>
        <w:trPr>
          <w:trHeight w:val="409" w:hRule="atLeast"/>
          <w:jc w:val="center"/>
        </w:trPr>
        <w:tc>
          <w:tcPr>
            <w:tcW w:w="5730" w:type="dxa"/>
            <w:tcBorders>
              <w:top w:val="nil"/>
              <w:left w:val="nil"/>
              <w:bottom w:val="nil"/>
              <w:right w:val="nil"/>
            </w:tcBorders>
            <w:shd w:val="clear" w:color="auto" w:fill="auto"/>
            <w:vAlign w:val="center"/>
          </w:tcPr>
          <w:p>
            <w:pPr>
              <w:widowControl/>
              <w:jc w:val="left"/>
              <w:rPr>
                <w:rFonts w:hint="eastAsia" w:ascii="宋体" w:hAnsi="宋体" w:eastAsia="黑体" w:cs="宋体"/>
                <w:kern w:val="0"/>
                <w:sz w:val="24"/>
                <w:szCs w:val="24"/>
                <w:lang w:eastAsia="zh-CN"/>
              </w:rPr>
            </w:pPr>
            <w:bookmarkStart w:id="16" w:name="RANGE!A1:B9"/>
            <w:r>
              <w:rPr>
                <w:rFonts w:hint="eastAsia" w:ascii="黑体" w:hAnsi="黑体" w:eastAsia="黑体" w:cs="黑体"/>
                <w:kern w:val="0"/>
                <w:sz w:val="32"/>
                <w:szCs w:val="32"/>
              </w:rPr>
              <w:t>表十</w:t>
            </w:r>
            <w:bookmarkEnd w:id="16"/>
            <w:r>
              <w:rPr>
                <w:rFonts w:hint="eastAsia" w:ascii="黑体" w:hAnsi="黑体" w:eastAsia="黑体" w:cs="黑体"/>
                <w:kern w:val="0"/>
                <w:sz w:val="32"/>
                <w:szCs w:val="32"/>
                <w:lang w:val="en-US" w:eastAsia="zh-CN"/>
              </w:rPr>
              <w:t>六</w:t>
            </w:r>
          </w:p>
        </w:tc>
        <w:tc>
          <w:tcPr>
            <w:tcW w:w="3169"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990" w:hRule="atLeast"/>
          <w:jc w:val="center"/>
        </w:trPr>
        <w:tc>
          <w:tcPr>
            <w:tcW w:w="8899" w:type="dxa"/>
            <w:gridSpan w:val="2"/>
            <w:tcBorders>
              <w:top w:val="nil"/>
              <w:left w:val="nil"/>
              <w:bottom w:val="nil"/>
              <w:right w:val="nil"/>
            </w:tcBorders>
            <w:shd w:val="clear" w:color="auto" w:fill="auto"/>
            <w:vAlign w:val="center"/>
          </w:tcPr>
          <w:p>
            <w:pPr>
              <w:pStyle w:val="48"/>
              <w:rPr>
                <w:rFonts w:hint="eastAsia" w:ascii="宋体" w:hAnsi="宋体" w:eastAsia="宋体" w:cs="宋体"/>
                <w:sz w:val="24"/>
                <w:szCs w:val="24"/>
                <w:highlight w:val="none"/>
              </w:rPr>
            </w:pPr>
            <w:r>
              <w:rPr>
                <w:rFonts w:hint="eastAsia" w:hAnsi="方正小标宋简体" w:cs="方正小标宋简体"/>
                <w:sz w:val="44"/>
                <w:szCs w:val="44"/>
                <w:highlight w:val="none"/>
                <w:lang w:val="en-US" w:eastAsia="zh-CN"/>
              </w:rPr>
              <w:t>2025</w:t>
            </w:r>
            <w:r>
              <w:rPr>
                <w:rFonts w:hint="eastAsia" w:ascii="方正小标宋简体" w:hAnsi="方正小标宋简体" w:eastAsia="方正小标宋简体" w:cs="方正小标宋简体"/>
                <w:sz w:val="44"/>
                <w:szCs w:val="44"/>
                <w:highlight w:val="none"/>
              </w:rPr>
              <w:t>年政府专项债务限额余额情况表</w:t>
            </w:r>
          </w:p>
        </w:tc>
      </w:tr>
      <w:tr>
        <w:tblPrEx>
          <w:tblLayout w:type="fixed"/>
          <w:tblCellMar>
            <w:top w:w="0" w:type="dxa"/>
            <w:left w:w="108" w:type="dxa"/>
            <w:bottom w:w="0" w:type="dxa"/>
            <w:right w:w="108" w:type="dxa"/>
          </w:tblCellMar>
        </w:tblPrEx>
        <w:trPr>
          <w:trHeight w:val="446" w:hRule="atLeast"/>
          <w:jc w:val="center"/>
        </w:trPr>
        <w:tc>
          <w:tcPr>
            <w:tcW w:w="5730" w:type="dxa"/>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kern w:val="0"/>
                <w:sz w:val="24"/>
                <w:szCs w:val="24"/>
              </w:rPr>
            </w:pPr>
          </w:p>
        </w:tc>
        <w:tc>
          <w:tcPr>
            <w:tcW w:w="3169" w:type="dxa"/>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tblPrEx>
          <w:tblLayout w:type="fixed"/>
          <w:tblCellMar>
            <w:top w:w="0" w:type="dxa"/>
            <w:left w:w="108" w:type="dxa"/>
            <w:bottom w:w="0" w:type="dxa"/>
            <w:right w:w="108" w:type="dxa"/>
          </w:tblCellMar>
        </w:tblPrEx>
        <w:trPr>
          <w:trHeight w:val="765" w:hRule="atLeast"/>
          <w:jc w:val="center"/>
        </w:trPr>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目</w:t>
            </w:r>
          </w:p>
        </w:tc>
        <w:tc>
          <w:tcPr>
            <w:tcW w:w="31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金</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额</w:t>
            </w:r>
          </w:p>
        </w:tc>
      </w:tr>
      <w:tr>
        <w:tblPrEx>
          <w:tblLayout w:type="fixed"/>
          <w:tblCellMar>
            <w:top w:w="0" w:type="dxa"/>
            <w:left w:w="108" w:type="dxa"/>
            <w:bottom w:w="0" w:type="dxa"/>
            <w:right w:w="108" w:type="dxa"/>
          </w:tblCellMar>
        </w:tblPrEx>
        <w:trPr>
          <w:trHeight w:val="765" w:hRule="atLeast"/>
          <w:jc w:val="center"/>
        </w:trPr>
        <w:tc>
          <w:tcPr>
            <w:tcW w:w="57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一</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年末政府专项债务余额实际数</w:t>
            </w:r>
          </w:p>
        </w:tc>
        <w:tc>
          <w:tcPr>
            <w:tcW w:w="316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540901</w:t>
            </w:r>
          </w:p>
        </w:tc>
      </w:tr>
      <w:tr>
        <w:tblPrEx>
          <w:tblLayout w:type="fixed"/>
          <w:tblCellMar>
            <w:top w:w="0" w:type="dxa"/>
            <w:left w:w="108" w:type="dxa"/>
            <w:bottom w:w="0" w:type="dxa"/>
            <w:right w:w="108" w:type="dxa"/>
          </w:tblCellMar>
        </w:tblPrEx>
        <w:trPr>
          <w:trHeight w:val="765" w:hRule="atLeast"/>
          <w:jc w:val="center"/>
        </w:trPr>
        <w:tc>
          <w:tcPr>
            <w:tcW w:w="57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二</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年末政府专项债务限额</w:t>
            </w:r>
          </w:p>
        </w:tc>
        <w:tc>
          <w:tcPr>
            <w:tcW w:w="316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658931</w:t>
            </w:r>
          </w:p>
        </w:tc>
      </w:tr>
      <w:tr>
        <w:tblPrEx>
          <w:tblLayout w:type="fixed"/>
          <w:tblCellMar>
            <w:top w:w="0" w:type="dxa"/>
            <w:left w:w="108" w:type="dxa"/>
            <w:bottom w:w="0" w:type="dxa"/>
            <w:right w:w="108" w:type="dxa"/>
          </w:tblCellMar>
        </w:tblPrEx>
        <w:trPr>
          <w:trHeight w:val="765" w:hRule="atLeast"/>
          <w:jc w:val="center"/>
        </w:trPr>
        <w:tc>
          <w:tcPr>
            <w:tcW w:w="57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年政府专项债务接受转贷额</w:t>
            </w:r>
          </w:p>
        </w:tc>
        <w:tc>
          <w:tcPr>
            <w:tcW w:w="316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152152</w:t>
            </w:r>
          </w:p>
        </w:tc>
      </w:tr>
      <w:tr>
        <w:tblPrEx>
          <w:tblLayout w:type="fixed"/>
          <w:tblCellMar>
            <w:top w:w="0" w:type="dxa"/>
            <w:left w:w="108" w:type="dxa"/>
            <w:bottom w:w="0" w:type="dxa"/>
            <w:right w:w="108" w:type="dxa"/>
          </w:tblCellMar>
        </w:tblPrEx>
        <w:trPr>
          <w:trHeight w:val="765" w:hRule="atLeast"/>
          <w:jc w:val="center"/>
        </w:trPr>
        <w:tc>
          <w:tcPr>
            <w:tcW w:w="57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年政府专项债务还本额</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不含置换债</w:t>
            </w:r>
            <w:r>
              <w:rPr>
                <w:rFonts w:hint="eastAsia" w:ascii="宋体" w:hAnsi="宋体" w:eastAsia="宋体" w:cs="宋体"/>
                <w:kern w:val="0"/>
                <w:sz w:val="24"/>
                <w:szCs w:val="24"/>
                <w:highlight w:val="none"/>
                <w:lang w:eastAsia="zh-CN"/>
              </w:rPr>
              <w:t>）</w:t>
            </w:r>
          </w:p>
        </w:tc>
        <w:tc>
          <w:tcPr>
            <w:tcW w:w="316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39369</w:t>
            </w:r>
          </w:p>
        </w:tc>
      </w:tr>
      <w:tr>
        <w:tblPrEx>
          <w:tblLayout w:type="fixed"/>
          <w:tblCellMar>
            <w:top w:w="0" w:type="dxa"/>
            <w:left w:w="108" w:type="dxa"/>
            <w:bottom w:w="0" w:type="dxa"/>
            <w:right w:w="108" w:type="dxa"/>
          </w:tblCellMar>
        </w:tblPrEx>
        <w:trPr>
          <w:trHeight w:val="765" w:hRule="atLeast"/>
          <w:jc w:val="center"/>
        </w:trPr>
        <w:tc>
          <w:tcPr>
            <w:tcW w:w="57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五</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年末政府专项债务余额执行数</w:t>
            </w:r>
          </w:p>
        </w:tc>
        <w:tc>
          <w:tcPr>
            <w:tcW w:w="316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653684</w:t>
            </w:r>
          </w:p>
        </w:tc>
      </w:tr>
    </w:tbl>
    <w:p>
      <w:pPr>
        <w:pStyle w:val="48"/>
        <w:keepNext w:val="0"/>
        <w:keepLines w:val="0"/>
        <w:pageBreakBefore w:val="0"/>
        <w:widowControl w:val="0"/>
        <w:kinsoku/>
        <w:wordWrap/>
        <w:overflowPunct/>
        <w:topLinePunct w:val="0"/>
        <w:autoSpaceDE/>
        <w:autoSpaceDN/>
        <w:bidi w:val="0"/>
        <w:adjustRightInd/>
        <w:snapToGrid/>
        <w:spacing w:before="0" w:after="0" w:line="572" w:lineRule="exact"/>
        <w:jc w:val="both"/>
        <w:textAlignment w:val="auto"/>
        <w:outlineLvl w:val="9"/>
        <w:rPr>
          <w:rFonts w:hint="eastAsia" w:ascii="方正小标宋简体" w:hAnsi="方正小标宋简体" w:eastAsia="方正小标宋简体" w:cs="方正小标宋简体"/>
          <w:color w:val="auto"/>
          <w:sz w:val="44"/>
          <w:szCs w:val="44"/>
        </w:rPr>
        <w:sectPr>
          <w:pgSz w:w="11906" w:h="16838"/>
          <w:pgMar w:top="2098" w:right="1531" w:bottom="1928" w:left="1531"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48"/>
        <w:keepNext w:val="0"/>
        <w:keepLines w:val="0"/>
        <w:pageBreakBefore w:val="0"/>
        <w:widowControl w:val="0"/>
        <w:kinsoku/>
        <w:wordWrap/>
        <w:overflowPunct/>
        <w:topLinePunct w:val="0"/>
        <w:autoSpaceDE/>
        <w:autoSpaceDN/>
        <w:bidi w:val="0"/>
        <w:adjustRightInd/>
        <w:snapToGrid/>
        <w:spacing w:before="0" w:after="0" w:line="572" w:lineRule="exact"/>
        <w:ind w:firstLine="320" w:firstLineChars="100"/>
        <w:jc w:val="both"/>
        <w:textAlignment w:val="auto"/>
        <w:outlineLvl w:val="9"/>
        <w:rPr>
          <w:rFonts w:hint="eastAsia" w:ascii="黑体" w:hAnsi="黑体" w:eastAsia="黑体" w:cs="黑体"/>
          <w:kern w:val="0"/>
          <w:sz w:val="32"/>
          <w:szCs w:val="32"/>
          <w:lang w:val="en-US" w:eastAsia="zh-CN" w:bidi="ar-SA"/>
        </w:rPr>
      </w:pPr>
      <w:r>
        <w:rPr>
          <w:sz w:val="32"/>
        </w:rPr>
        <w:pict>
          <v:shape id="_x0000_s2050" o:spid="_x0000_s2050" o:spt="202" type="#_x0000_t202" style="position:absolute;left:0pt;margin-left:-14.8pt;margin-top:16.7pt;height:54.8pt;width:34.55pt;z-index:-251657216;mso-width-relative:page;mso-height-relative:page;" fillcolor="#FFFFFF" filled="t" stroked="t" coordsize="21600,21600">
            <v:path/>
            <v:fill on="t" color2="#FFFFFF" focussize="0,0"/>
            <v:stroke color="#FFFFFF"/>
            <v:imagedata o:title=""/>
            <o:lock v:ext="edit" aspectratio="f"/>
            <v:textbox style="layout-flow:vertical-ideographic;">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pacing w:val="-23"/>
                      <w:sz w:val="28"/>
                      <w:szCs w:val="28"/>
                      <w:lang w:eastAsia="zh-CN"/>
                    </w:rPr>
                  </w:pPr>
                  <w:r>
                    <w:rPr>
                      <w:rFonts w:hint="eastAsia" w:ascii="宋体" w:hAnsi="宋体" w:eastAsia="宋体" w:cs="宋体"/>
                      <w:spacing w:val="-23"/>
                      <w:sz w:val="28"/>
                      <w:szCs w:val="28"/>
                      <w:lang w:eastAsia="zh-CN"/>
                    </w:rPr>
                    <w:t>－</w:t>
                  </w:r>
                  <w:r>
                    <w:rPr>
                      <w:rFonts w:hint="eastAsia" w:ascii="宋体" w:hAnsi="宋体" w:eastAsia="宋体" w:cs="宋体"/>
                      <w:spacing w:val="-23"/>
                      <w:sz w:val="28"/>
                      <w:szCs w:val="28"/>
                      <w:lang w:val="en-US" w:eastAsia="zh-CN"/>
                    </w:rPr>
                    <w:t xml:space="preserve"> 32 </w:t>
                  </w:r>
                  <w:r>
                    <w:rPr>
                      <w:rFonts w:hint="eastAsia" w:ascii="宋体" w:hAnsi="宋体" w:eastAsia="宋体" w:cs="宋体"/>
                      <w:spacing w:val="-23"/>
                      <w:sz w:val="28"/>
                      <w:szCs w:val="28"/>
                      <w:lang w:eastAsia="zh-CN"/>
                    </w:rPr>
                    <w:t>－</w:t>
                  </w:r>
                </w:p>
              </w:txbxContent>
            </v:textbox>
          </v:shape>
        </w:pict>
      </w:r>
      <w:r>
        <w:rPr>
          <w:rFonts w:hint="eastAsia" w:ascii="黑体" w:hAnsi="黑体" w:eastAsia="黑体" w:cs="黑体"/>
          <w:kern w:val="0"/>
          <w:sz w:val="32"/>
          <w:szCs w:val="32"/>
          <w:lang w:val="en-US" w:eastAsia="zh-CN" w:bidi="ar-SA"/>
        </w:rPr>
        <w:t>表十七</w:t>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202</w:t>
      </w:r>
      <w:r>
        <w:rPr>
          <w:rFonts w:hint="eastAsia" w:hAnsi="方正小标宋简体" w:cs="方正小标宋简体"/>
          <w:kern w:val="0"/>
          <w:sz w:val="44"/>
          <w:szCs w:val="44"/>
          <w:lang w:val="en-US" w:eastAsia="zh-CN" w:bidi="ar-SA"/>
        </w:rPr>
        <w:t>6</w:t>
      </w:r>
      <w:r>
        <w:rPr>
          <w:rFonts w:hint="eastAsia" w:ascii="方正小标宋简体" w:hAnsi="方正小标宋简体" w:eastAsia="方正小标宋简体" w:cs="方正小标宋简体"/>
          <w:kern w:val="0"/>
          <w:sz w:val="44"/>
          <w:szCs w:val="44"/>
          <w:lang w:val="en-US" w:eastAsia="zh-CN" w:bidi="ar-SA"/>
        </w:rPr>
        <w:t>年城乡居民基本养老保险基金收支预算表</w:t>
      </w:r>
    </w:p>
    <w:p>
      <w:pPr>
        <w:pStyle w:val="48"/>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outlineLvl w:val="9"/>
        <w:rPr>
          <w:rFonts w:hint="eastAsia" w:ascii="宋体" w:hAnsi="宋体" w:eastAsia="宋体" w:cs="宋体"/>
          <w:kern w:val="0"/>
          <w:sz w:val="21"/>
          <w:szCs w:val="21"/>
          <w:lang w:val="en-US" w:eastAsia="zh-CN" w:bidi="ar-SA"/>
        </w:rPr>
      </w:pPr>
      <w:r>
        <w:drawing>
          <wp:anchor distT="0" distB="0" distL="114300" distR="114300" simplePos="0" relativeHeight="251660288" behindDoc="1" locked="0" layoutInCell="1" allowOverlap="1">
            <wp:simplePos x="0" y="0"/>
            <wp:positionH relativeFrom="column">
              <wp:posOffset>-38100</wp:posOffset>
            </wp:positionH>
            <wp:positionV relativeFrom="paragraph">
              <wp:posOffset>342900</wp:posOffset>
            </wp:positionV>
            <wp:extent cx="8882380" cy="4506595"/>
            <wp:effectExtent l="0" t="0" r="13970" b="82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8882380" cy="4506595"/>
                    </a:xfrm>
                    <a:prstGeom prst="rect">
                      <a:avLst/>
                    </a:prstGeom>
                    <a:noFill/>
                    <a:ln>
                      <a:noFill/>
                    </a:ln>
                  </pic:spPr>
                </pic:pic>
              </a:graphicData>
            </a:graphic>
          </wp:anchor>
        </w:drawing>
      </w:r>
      <w:r>
        <w:rPr>
          <w:rFonts w:hint="eastAsia" w:ascii="宋体" w:hAnsi="宋体" w:eastAsia="宋体" w:cs="宋体"/>
          <w:kern w:val="0"/>
          <w:sz w:val="21"/>
          <w:szCs w:val="21"/>
          <w:lang w:val="en-US" w:eastAsia="zh-CN" w:bidi="ar-SA"/>
        </w:rPr>
        <w:t>叶县                                                                                                                    单位：元</w:t>
      </w:r>
    </w:p>
    <w:p>
      <w:pPr>
        <w:pStyle w:val="48"/>
        <w:keepNext w:val="0"/>
        <w:keepLines w:val="0"/>
        <w:pageBreakBefore w:val="0"/>
        <w:widowControl w:val="0"/>
        <w:kinsoku/>
        <w:wordWrap/>
        <w:overflowPunct/>
        <w:topLinePunct w:val="0"/>
        <w:autoSpaceDE/>
        <w:autoSpaceDN/>
        <w:bidi w:val="0"/>
        <w:adjustRightInd/>
        <w:snapToGrid/>
        <w:spacing w:before="0" w:after="0" w:line="572" w:lineRule="exact"/>
        <w:jc w:val="both"/>
        <w:textAlignment w:val="auto"/>
        <w:outlineLvl w:val="9"/>
        <w:rPr>
          <w:rFonts w:hint="eastAsia" w:ascii="黑体" w:hAnsi="黑体" w:eastAsia="黑体" w:cs="黑体"/>
          <w:kern w:val="0"/>
          <w:sz w:val="32"/>
          <w:szCs w:val="32"/>
          <w:lang w:val="en-US" w:eastAsia="zh-CN" w:bidi="ar-SA"/>
        </w:rPr>
        <w:sectPr>
          <w:footerReference r:id="rId5" w:type="default"/>
          <w:footerReference r:id="rId6" w:type="even"/>
          <w:pgSz w:w="16838" w:h="11906" w:orient="landscape"/>
          <w:pgMar w:top="1417" w:right="1417" w:bottom="1417" w:left="1417"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pPr>
    </w:p>
    <w:bookmarkEnd w:id="6"/>
    <w:bookmarkEnd w:id="7"/>
    <w:bookmarkEnd w:id="8"/>
    <w:bookmarkEnd w:id="9"/>
    <w:p>
      <w:pPr>
        <w:keepNext w:val="0"/>
        <w:keepLines w:val="0"/>
        <w:pageBreakBefore w:val="0"/>
        <w:widowControl w:val="0"/>
        <w:kinsoku/>
        <w:wordWrap/>
        <w:overflowPunct/>
        <w:topLinePunct w:val="0"/>
        <w:bidi w:val="0"/>
        <w:adjustRightInd/>
        <w:snapToGrid/>
        <w:spacing w:before="0" w:after="0" w:line="572" w:lineRule="exact"/>
        <w:jc w:val="center"/>
        <w:textAlignment w:val="auto"/>
        <w:outlineLvl w:val="9"/>
        <w:rPr>
          <w:rFonts w:hint="eastAsia" w:ascii="方正小标宋简体" w:hAnsi="方正小标宋简体" w:eastAsia="方正小标宋简体" w:cs="方正小标宋简体"/>
          <w:b w:val="0"/>
          <w:color w:val="auto"/>
          <w:sz w:val="44"/>
          <w:szCs w:val="44"/>
        </w:rPr>
      </w:pPr>
      <w:r>
        <w:rPr>
          <w:rFonts w:hint="eastAsia" w:ascii="方正小标宋简体" w:hAnsi="方正小标宋简体" w:eastAsia="方正小标宋简体" w:cs="方正小标宋简体"/>
          <w:b w:val="0"/>
          <w:color w:val="auto"/>
          <w:sz w:val="44"/>
          <w:szCs w:val="44"/>
        </w:rPr>
        <w:t>财政名词解释</w:t>
      </w:r>
    </w:p>
    <w:p>
      <w:pPr>
        <w:keepNext w:val="0"/>
        <w:keepLines w:val="0"/>
        <w:pageBreakBefore w:val="0"/>
        <w:widowControl w:val="0"/>
        <w:kinsoku/>
        <w:wordWrap/>
        <w:overflowPunct/>
        <w:topLinePunct w:val="0"/>
        <w:bidi w:val="0"/>
        <w:adjustRightInd/>
        <w:snapToGrid/>
        <w:spacing w:before="0" w:after="0" w:line="572" w:lineRule="exact"/>
        <w:jc w:val="both"/>
        <w:textAlignment w:val="auto"/>
        <w:outlineLvl w:val="9"/>
        <w:rPr>
          <w:rFonts w:hint="eastAsia" w:ascii="仿宋_GB2312" w:hAnsi="仿宋_GB2312" w:eastAsia="仿宋_GB2312" w:cs="仿宋_GB2312"/>
          <w:b w:val="0"/>
          <w:color w:val="auto"/>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17" w:name="_Toc10136"/>
      <w:bookmarkStart w:id="18" w:name="_Toc10024"/>
      <w:bookmarkStart w:id="19" w:name="_Toc26343"/>
      <w:bookmarkStart w:id="20" w:name="_Toc3731"/>
      <w:bookmarkStart w:id="21" w:name="_Toc7153"/>
      <w:r>
        <w:rPr>
          <w:rFonts w:hint="eastAsia" w:ascii="仿宋_GB2312" w:hAnsi="仿宋_GB2312" w:eastAsia="仿宋_GB2312" w:cs="仿宋_GB2312"/>
          <w:b/>
          <w:bCs/>
          <w:color w:val="auto"/>
          <w:sz w:val="32"/>
          <w:szCs w:val="32"/>
        </w:rPr>
        <w:t>1.财政</w:t>
      </w:r>
      <w:bookmarkEnd w:id="17"/>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是以国家为主体的收支活动，财政包括财政收入和财政支出两个部分。作为政治范畴，财政是国家为实现其职能，凭借政治权利参与部分社会产品和国民收入的分配和再分配所形成的一种特殊分配关系。作为经济范畴，财政是以国家为主体的经济行为，是政府集中一部分国民收入用于满足公共需要的收支活动，以达到优化资源配置、公平分配及经济稳定和发展的目标。</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22" w:name="_Toc18169"/>
      <w:bookmarkStart w:id="23" w:name="_Toc10097"/>
      <w:bookmarkStart w:id="24" w:name="_Toc20755"/>
      <w:bookmarkStart w:id="25" w:name="_Toc28779"/>
      <w:bookmarkStart w:id="26" w:name="_Toc18447"/>
      <w:r>
        <w:rPr>
          <w:rFonts w:hint="eastAsia" w:ascii="仿宋_GB2312" w:hAnsi="仿宋_GB2312" w:eastAsia="仿宋_GB2312" w:cs="仿宋_GB2312"/>
          <w:b/>
          <w:bCs/>
          <w:color w:val="auto"/>
          <w:sz w:val="32"/>
          <w:szCs w:val="32"/>
        </w:rPr>
        <w:t>2.财政职能</w:t>
      </w:r>
      <w:bookmarkEnd w:id="22"/>
      <w:bookmarkEnd w:id="23"/>
      <w:bookmarkEnd w:id="24"/>
      <w:bookmarkEnd w:id="25"/>
      <w:bookmarkEnd w:id="26"/>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职能是指财政作为国家政府分配社会产品、调节经济活动的重要手段所具有的职责和功能。财政是履行和实现政府职能的手段，是国家治理的基础和重要支柱。财政职能包括优化资源配置、收入分配调节、监督管理、调控稳定经济。</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27" w:name="_Toc9551"/>
      <w:bookmarkStart w:id="28" w:name="_Toc11733"/>
      <w:bookmarkStart w:id="29" w:name="_Toc27561"/>
      <w:bookmarkStart w:id="30" w:name="_Toc12364"/>
      <w:bookmarkStart w:id="31" w:name="_Toc20089"/>
      <w:r>
        <w:rPr>
          <w:rFonts w:hint="eastAsia" w:ascii="仿宋_GB2312" w:hAnsi="仿宋_GB2312" w:eastAsia="仿宋_GB2312" w:cs="仿宋_GB2312"/>
          <w:b/>
          <w:bCs/>
          <w:color w:val="auto"/>
          <w:sz w:val="32"/>
          <w:szCs w:val="32"/>
        </w:rPr>
        <w:t>3.财政收入</w:t>
      </w:r>
      <w:bookmarkEnd w:id="27"/>
      <w:bookmarkEnd w:id="28"/>
      <w:bookmarkEnd w:id="29"/>
      <w:bookmarkEnd w:id="30"/>
      <w:bookmarkEnd w:id="31"/>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财政收入是指政府为履行其职能、实施公共政策和提供公共物品与服务需要而筹集的一切资金的总和，财政收入是衡量政府财力的重要指标，包括税收收入与非税收入。</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税收收入是指国家依据国家政权力无偿征收的收入，也是财政收入的主要来源。当前我国的18个税种分别为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增值税、土地增值税、城镇土地使用税、城市维护建设税、房产税、企业所得税、车船税、资源税、环境保护税、印花税、船舶吨税、个人所得税、消费税、车辆购置税、耕地占用税、关税、烟叶税、契税。</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非税收入是指除税收收入和政府债务收入外，由国家机关、事业单位、代行政府职能的社会团体和其他组织依法利用政府权力、政府荣誉、国家资源、国有资产或者提供特定公共服务，通过征收、收取、提取、募集、罚没等方式（统称征收）取得的财政资金。非税收入包括行政事业性收费、政府性基金、国有资源有偿使用收入、国有资产有偿使用收入、按照规定上缴财政的国有资本经营收益、罚没收入、以政府名义接受的非定向捐赠货币收入、主管部门集中收入、其他依照规定应当纳入政府非税收入管理的资金。</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32" w:name="_Toc24143"/>
      <w:bookmarkStart w:id="33" w:name="_Toc12044"/>
      <w:bookmarkStart w:id="34" w:name="_Toc11551"/>
      <w:bookmarkStart w:id="35" w:name="_Toc20378"/>
      <w:bookmarkStart w:id="36" w:name="_Toc32669"/>
      <w:r>
        <w:rPr>
          <w:rFonts w:hint="eastAsia" w:ascii="仿宋_GB2312" w:hAnsi="仿宋_GB2312" w:eastAsia="仿宋_GB2312" w:cs="仿宋_GB2312"/>
          <w:b/>
          <w:bCs/>
          <w:color w:val="auto"/>
          <w:sz w:val="32"/>
          <w:szCs w:val="32"/>
        </w:rPr>
        <w:t>4.财政支出</w:t>
      </w:r>
      <w:bookmarkEnd w:id="32"/>
      <w:bookmarkEnd w:id="33"/>
      <w:bookmarkEnd w:id="34"/>
      <w:bookmarkEnd w:id="35"/>
      <w:bookmarkEnd w:id="36"/>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支出是政府为提供公共产品和服务，满足社会共同需要而进行的财政资金的支付。为准确反应和科学分析支出活动的性质、结构、规模以及支出的效益，将财政支出的内容进行合理的归纳。我国现行支出分类采用了国际通行做法，即同时使用支出功能分类和支出经济分类两种方法对财政支出进行分类。</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功能分类是按政府主要职能活动分类，反应政府做什么。按照功能分类，财政支出分为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一般公共服务支出，外交、公共安全、国防支出，农业、环境保护支出，教育、科技、文化、卫生、体育支出，社会保障及就业支出和其他支出。</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经济分类是按支出的经济性质和具体用途分类，反应政府的钱怎么花。按照经济分类，财政支出分为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工资福利支出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商品和服务支出，资本性支出和其他支出。</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37" w:name="_Toc9141"/>
      <w:bookmarkStart w:id="38" w:name="_Toc7862"/>
      <w:bookmarkStart w:id="39" w:name="_Toc11100"/>
      <w:bookmarkStart w:id="40" w:name="_Toc630"/>
      <w:bookmarkStart w:id="41" w:name="_Toc21115"/>
      <w:r>
        <w:rPr>
          <w:rFonts w:hint="eastAsia" w:ascii="仿宋_GB2312" w:hAnsi="仿宋_GB2312" w:eastAsia="仿宋_GB2312" w:cs="仿宋_GB2312"/>
          <w:b/>
          <w:bCs/>
          <w:color w:val="auto"/>
          <w:sz w:val="32"/>
          <w:szCs w:val="32"/>
        </w:rPr>
        <w:t>5.政府债务</w:t>
      </w:r>
      <w:bookmarkEnd w:id="37"/>
      <w:bookmarkEnd w:id="38"/>
      <w:bookmarkEnd w:id="39"/>
      <w:bookmarkEnd w:id="40"/>
      <w:bookmarkEnd w:id="41"/>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政府债务是指政府在国内外发行的债券或向外国政府和银行借款所形成的，确定由财政资金偿还的债务。政府债务包括中央政府债务和地方政府债务。</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央政府债务即国债，是国家以其信用为基础，按照信用原则向社会筹集财政资金所形成的债务。国债与其他财政收入（如税收等）形式相比，具有自愿性、有偿性、灵活性的特点。我国从2006年开始对国债实行余额管理，即每年全国人大及其常委会为当年国债余额规定一个限额指标，中央政府可在当年限额指标内自行确定国债品种结构、期限结构和发债节奏。</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政府债务是指地方政府为公益性事业发展举借，确定由财政资金偿还的债务。预算法规定，经国务院批准的省、自治区、直辖市等预算中必需的建设投资的部分资金，可以在国务院确定的限额内，通过发行地方政府债券举借债务的方式筹措。除以上规定外，地方政府及其所属部门不得以任何方式举借债务。除法律另有规定外，地方政府及其所属部门不得为任何单位和个人的债务以任何方式提供担保。从2015年起，国家对地方政府债务余额实行限额管理，债务余额不得突破批准的债务限额。年度地方政府债务限额等于上年地方政府债务限额加上当年新增债务限额（或减去当年调减债务限额），具体又分为一般债务限额和专项债务限额。通过财政资金偿还的政府外债纳入债务限额管理。</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地方政府债务分为一般债务和专项债务。</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一般债务是指没有收益的公益性事业发展举借，主要以一般公共预算收入偿还的政府债务，由地方政府发行一般债券融资，纳入一般公共预算管理。</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专项债务是指有一定收益的公益性事业发展举借，以对应的政府性基金或专项收入偿还的政府债务，由地方政府通过发行专项债券融资，纳入政府性基金预算管理。</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42" w:name="_Toc14253"/>
      <w:bookmarkStart w:id="43" w:name="_Toc5389"/>
      <w:bookmarkStart w:id="44" w:name="_Toc25806"/>
      <w:bookmarkStart w:id="45" w:name="_Toc1758"/>
      <w:bookmarkStart w:id="46" w:name="_Toc27272"/>
      <w:r>
        <w:rPr>
          <w:rFonts w:hint="eastAsia" w:ascii="仿宋_GB2312" w:hAnsi="仿宋_GB2312" w:eastAsia="仿宋_GB2312" w:cs="仿宋_GB2312"/>
          <w:b/>
          <w:bCs/>
          <w:color w:val="auto"/>
          <w:sz w:val="32"/>
          <w:szCs w:val="32"/>
        </w:rPr>
        <w:t>6.财政体制</w:t>
      </w:r>
      <w:bookmarkEnd w:id="42"/>
      <w:bookmarkEnd w:id="43"/>
      <w:bookmarkEnd w:id="44"/>
      <w:bookmarkEnd w:id="45"/>
      <w:bookmarkEnd w:id="46"/>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财政体制是指处理政府间财政关系的基本制度。科学的财税体制是优化资源配置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维护市场统一、促进社会公平、实现国家长治久安的制度保障。财政体制基本要素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财政转移支付、收入划分、政府间财政事权和支出责任划分。</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47" w:name="_Toc821"/>
      <w:bookmarkStart w:id="48" w:name="_Toc24739"/>
      <w:bookmarkStart w:id="49" w:name="_Toc29121"/>
      <w:bookmarkStart w:id="50" w:name="_Toc29116"/>
      <w:bookmarkStart w:id="51" w:name="_Toc11981"/>
      <w:r>
        <w:rPr>
          <w:rFonts w:hint="eastAsia" w:ascii="仿宋_GB2312" w:hAnsi="仿宋_GB2312" w:eastAsia="仿宋_GB2312" w:cs="仿宋_GB2312"/>
          <w:b/>
          <w:bCs/>
          <w:color w:val="auto"/>
          <w:sz w:val="32"/>
          <w:szCs w:val="32"/>
        </w:rPr>
        <w:t>7.现行财政体制</w:t>
      </w:r>
      <w:bookmarkEnd w:id="47"/>
      <w:bookmarkEnd w:id="48"/>
      <w:bookmarkEnd w:id="49"/>
      <w:bookmarkEnd w:id="50"/>
      <w:bookmarkEnd w:id="51"/>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我国实行分税制财政管理体制，简称分税制，是指在合理划分各级政府财政事权范围的基础上确定其相应的财权和支出责任，通过税种的划分形成中央与地方的收入体系。</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财政事权和支出责任划分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2016年8月，国务院印发《国务院关于推进中央与地方财政事权和支出责任划分改革的指导意见》，为分领域改革有序展开奠定基础。2018年1月，国务院办公厅印发了《基本公共服务领域中央与地方共同财政事权和支出责任划分改革方案》，将教育、医疗卫生、社会保障等领域8大类18项基本公共服务事项，明确为中央与地方共同财政事权，规范划分支出责任，自2019年1月1日起实施。中央改革方案明确，地方承担的支出责任由省级政府考虑本地区实际合理划分。</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收入划分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将维护国家权益、实施宏观调控所必需的税种划为中央税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将同经济发展直接相关的主要税种划为中央与地方共享税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将适合地方征管的税种划为地方税，并调整、充实了地方税种，增加地方税收入。现行中央对地方税收返还包括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增值税返还、消费税基数返还、所得税基数返还以及成品油价格和税费改革税收返还。</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转移支付是指中央政府（或上级政府）对地方政府（或下级政府）进行无偿的财政资金转移所制定的制度。转移支付包括一般性转移支付和专项转移支付。一般性转移支付是指中央政府（或上级政府）对有财力缺口的地方政府（或下级政府），按照规定的办法给予的补助，地方政府（或下级政府）可以按照相关规定统筹安排使用。专项转移支付是指中央政府（或上级政府）对承担委托事务、共同事务的地方政府（或下级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给予的具有指定用途的资金补助，以及对应当由地方政府（或下级政府）承担的事务，给予的具有指定用途的奖励或补助。</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52" w:name="_Toc13718"/>
      <w:bookmarkStart w:id="53" w:name="_Toc16961"/>
      <w:bookmarkStart w:id="54" w:name="_Toc2577"/>
      <w:bookmarkStart w:id="55" w:name="_Toc7454"/>
      <w:bookmarkStart w:id="56" w:name="_Toc242"/>
      <w:r>
        <w:rPr>
          <w:rFonts w:hint="eastAsia" w:ascii="仿宋_GB2312" w:hAnsi="仿宋_GB2312" w:eastAsia="仿宋_GB2312" w:cs="仿宋_GB2312"/>
          <w:b/>
          <w:bCs/>
          <w:color w:val="auto"/>
          <w:sz w:val="32"/>
          <w:szCs w:val="32"/>
        </w:rPr>
        <w:t>8.政府预算</w:t>
      </w:r>
      <w:bookmarkEnd w:id="52"/>
      <w:bookmarkEnd w:id="53"/>
      <w:bookmarkEnd w:id="54"/>
      <w:bookmarkEnd w:id="55"/>
      <w:bookmarkEnd w:id="56"/>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预算是经法定程序审核批准的具有法律效力的政府年度财政收支计划。政府全部收支都纳入政府预算进行管理，并按照各自功能和定位，科学设置政府预算的结构和内容。政府预算包括一般公共预算、政府性基金预算、国有资本经营预算、社会保险基金预算。</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57" w:name="_Toc9739"/>
      <w:bookmarkStart w:id="58" w:name="_Toc23177"/>
      <w:bookmarkStart w:id="59" w:name="_Toc20549"/>
      <w:bookmarkStart w:id="60" w:name="_Toc32058"/>
      <w:bookmarkStart w:id="61" w:name="_Toc11564"/>
      <w:r>
        <w:rPr>
          <w:rFonts w:hint="eastAsia" w:ascii="仿宋_GB2312" w:hAnsi="仿宋_GB2312" w:eastAsia="仿宋_GB2312" w:cs="仿宋_GB2312"/>
          <w:b/>
          <w:bCs/>
          <w:color w:val="auto"/>
          <w:sz w:val="32"/>
          <w:szCs w:val="32"/>
        </w:rPr>
        <w:t>9.一般公共预算</w:t>
      </w:r>
      <w:bookmarkEnd w:id="57"/>
      <w:bookmarkEnd w:id="58"/>
      <w:bookmarkEnd w:id="59"/>
      <w:bookmarkEnd w:id="60"/>
      <w:bookmarkEnd w:id="61"/>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是对以税收为主体的财政收入，安排用于保障和改善民生、推动经济社会发展、维护国家安全、维持国家机构正常运转等方面的收支预算。一般公共预算由税收收入、行政事业性收费收入、国有资源（资产）有偿使用收入、转移性收入、其他收入组成。</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62" w:name="_Toc27419"/>
      <w:bookmarkStart w:id="63" w:name="_Toc24438"/>
      <w:bookmarkStart w:id="64" w:name="_Toc169"/>
      <w:bookmarkStart w:id="65" w:name="_Toc9064"/>
      <w:bookmarkStart w:id="66" w:name="_Toc26328"/>
      <w:r>
        <w:rPr>
          <w:rFonts w:hint="eastAsia" w:ascii="仿宋_GB2312" w:hAnsi="仿宋_GB2312" w:eastAsia="仿宋_GB2312" w:cs="仿宋_GB2312"/>
          <w:b/>
          <w:bCs/>
          <w:color w:val="auto"/>
          <w:sz w:val="32"/>
          <w:szCs w:val="32"/>
        </w:rPr>
        <w:t>10.政府性基金预算</w:t>
      </w:r>
      <w:bookmarkEnd w:id="62"/>
      <w:bookmarkEnd w:id="63"/>
      <w:bookmarkEnd w:id="64"/>
      <w:bookmarkEnd w:id="65"/>
      <w:bookmarkEnd w:id="66"/>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政府性基金预算由债务收入、非税收入、转移性收入组成。</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67" w:name="_Toc6371"/>
      <w:bookmarkStart w:id="68" w:name="_Toc6095"/>
      <w:bookmarkStart w:id="69" w:name="_Toc26512"/>
      <w:bookmarkStart w:id="70" w:name="_Toc3321"/>
      <w:bookmarkStart w:id="71" w:name="_Toc14866"/>
      <w:r>
        <w:rPr>
          <w:rFonts w:hint="eastAsia" w:ascii="仿宋_GB2312" w:hAnsi="仿宋_GB2312" w:eastAsia="仿宋_GB2312" w:cs="仿宋_GB2312"/>
          <w:b/>
          <w:bCs/>
          <w:color w:val="auto"/>
          <w:sz w:val="32"/>
          <w:szCs w:val="32"/>
        </w:rPr>
        <w:t>11.国有资本经营预算</w:t>
      </w:r>
      <w:bookmarkEnd w:id="67"/>
      <w:bookmarkEnd w:id="68"/>
      <w:bookmarkEnd w:id="69"/>
      <w:bookmarkEnd w:id="70"/>
      <w:bookmarkEnd w:id="71"/>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资本经营预算是对国有资本收益作出支出安排的收支预算。国有资本经营预算应当按照收支平衡的原则编制，不列赤字，并安排资金调入一般公共预算。国有资本经营预算由利润收入、股利和股息收入、产权转让收入、清算收入、其他收入、转移支付收入组成。</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72" w:name="_Toc23586"/>
      <w:bookmarkStart w:id="73" w:name="_Toc779"/>
      <w:bookmarkStart w:id="74" w:name="_Toc802"/>
      <w:bookmarkStart w:id="75" w:name="_Toc29209"/>
      <w:bookmarkStart w:id="76" w:name="_Toc19927"/>
      <w:r>
        <w:rPr>
          <w:rFonts w:hint="eastAsia" w:ascii="仿宋_GB2312" w:hAnsi="仿宋_GB2312" w:eastAsia="仿宋_GB2312" w:cs="仿宋_GB2312"/>
          <w:b/>
          <w:bCs/>
          <w:color w:val="auto"/>
          <w:sz w:val="32"/>
          <w:szCs w:val="32"/>
        </w:rPr>
        <w:t>12.社会保险基金预算</w:t>
      </w:r>
      <w:bookmarkEnd w:id="72"/>
      <w:bookmarkEnd w:id="73"/>
      <w:bookmarkEnd w:id="74"/>
      <w:bookmarkEnd w:id="75"/>
      <w:bookmarkEnd w:id="76"/>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社会保险基金预算是对社会保险缴款、一般公共预算安排和其他方式筹集的资金，专项用于社会保险的收支预算。社会保险基金预算应当按照统筹层次和社会保险险种分别编制，做到收支平衡。</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eastAsia" w:ascii="仿宋_GB2312" w:hAnsi="仿宋_GB2312" w:eastAsia="仿宋_GB2312" w:cs="仿宋_GB2312"/>
          <w:b/>
          <w:bCs/>
          <w:color w:val="auto"/>
          <w:sz w:val="32"/>
          <w:szCs w:val="32"/>
        </w:rPr>
      </w:pPr>
      <w:bookmarkStart w:id="77" w:name="_Toc25268"/>
      <w:bookmarkStart w:id="78" w:name="_Toc28952"/>
      <w:bookmarkStart w:id="79" w:name="_Toc3885"/>
      <w:bookmarkStart w:id="80" w:name="_Toc24146"/>
      <w:bookmarkStart w:id="81" w:name="_Toc14603"/>
      <w:r>
        <w:rPr>
          <w:rFonts w:hint="eastAsia" w:ascii="仿宋_GB2312" w:hAnsi="仿宋_GB2312" w:eastAsia="仿宋_GB2312" w:cs="仿宋_GB2312"/>
          <w:b/>
          <w:bCs/>
          <w:color w:val="auto"/>
          <w:sz w:val="32"/>
          <w:szCs w:val="32"/>
        </w:rPr>
        <w:t>13.预算绩效管理</w:t>
      </w:r>
      <w:bookmarkEnd w:id="77"/>
      <w:bookmarkEnd w:id="78"/>
      <w:bookmarkEnd w:id="79"/>
      <w:bookmarkEnd w:id="80"/>
      <w:bookmarkEnd w:id="81"/>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实施预算绩效管理是推进国家治理体系和治理能力现代化的内在要求，是深化财税体制改革、建立现代财政制度的重要内容，是优化财政资源配置、提升公共服务质量的关键举措。2018年9月，中共中央、国务院印发《关于全面实施预算绩效管理的意见》，加快建成全方位、全过程、全覆盖的预算绩效管理体系。</w:t>
      </w:r>
    </w:p>
    <w:p>
      <w:pPr>
        <w:keepNext w:val="0"/>
        <w:keepLines w:val="0"/>
        <w:pageBreakBefore w:val="0"/>
        <w:widowControl w:val="0"/>
        <w:kinsoku/>
        <w:wordWrap/>
        <w:overflowPunct/>
        <w:topLinePunct w:val="0"/>
        <w:autoSpaceDE w:val="0"/>
        <w:autoSpaceDN w:val="0"/>
        <w:bidi w:val="0"/>
        <w:adjustRightInd/>
        <w:snapToGrid/>
        <w:spacing w:before="0" w:after="0" w:line="572" w:lineRule="exact"/>
        <w:ind w:firstLine="643" w:firstLineChars="200"/>
        <w:contextualSpacing/>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14.</w:t>
      </w:r>
      <w:r>
        <w:rPr>
          <w:rFonts w:hint="eastAsia" w:ascii="仿宋_GB2312" w:hAnsi="仿宋_GB2312" w:eastAsia="仿宋_GB2312" w:cs="仿宋_GB2312"/>
          <w:b/>
          <w:bCs/>
          <w:color w:val="auto"/>
          <w:sz w:val="32"/>
          <w:szCs w:val="32"/>
          <w:lang w:val="en-US" w:eastAsia="zh-CN"/>
        </w:rPr>
        <w:t>预算稳定调节基金</w:t>
      </w:r>
    </w:p>
    <w:p>
      <w:pPr>
        <w:keepNext w:val="0"/>
        <w:keepLines w:val="0"/>
        <w:pageBreakBefore w:val="0"/>
        <w:widowControl w:val="0"/>
        <w:kinsoku/>
        <w:wordWrap/>
        <w:overflowPunct/>
        <w:topLinePunct w:val="0"/>
        <w:autoSpaceDE w:val="0"/>
        <w:autoSpaceDN w:val="0"/>
        <w:bidi w:val="0"/>
        <w:adjustRightInd/>
        <w:snapToGrid/>
        <w:spacing w:line="572" w:lineRule="exact"/>
        <w:ind w:firstLine="640" w:firstLineChars="2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中央或地方财政通过超收收入和支出结余等安排的具有储备性质的基金，视预算平衡情况，在安排下年度预算时调入并使用，或用于弥补短收年份预算执行的收支缺口。预算稳定调节基金的安排使用接受同级人大及其常委会的监督</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adjustRightInd/>
        <w:snapToGrid/>
        <w:spacing w:line="572"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15.</w:t>
      </w:r>
      <w:r>
        <w:rPr>
          <w:rFonts w:hint="eastAsia" w:ascii="仿宋_GB2312" w:hAnsi="仿宋_GB2312" w:eastAsia="仿宋_GB2312" w:cs="仿宋_GB2312"/>
          <w:b/>
          <w:bCs/>
          <w:color w:val="auto"/>
          <w:sz w:val="32"/>
          <w:szCs w:val="32"/>
          <w:lang w:val="en-US" w:eastAsia="zh-CN"/>
        </w:rPr>
        <w:t>省直管县</w:t>
      </w:r>
      <w:r>
        <w:rPr>
          <w:rFonts w:hint="eastAsia" w:ascii="仿宋_GB2312" w:hAnsi="仿宋_GB2312" w:eastAsia="仿宋_GB2312" w:cs="仿宋_GB2312"/>
          <w:b/>
          <w:bCs/>
          <w:color w:val="auto"/>
          <w:sz w:val="32"/>
          <w:szCs w:val="32"/>
        </w:rPr>
        <w:t>财政体制改革的主要内容</w:t>
      </w:r>
    </w:p>
    <w:p>
      <w:pPr>
        <w:keepNext w:val="0"/>
        <w:keepLines w:val="0"/>
        <w:pageBreakBefore w:val="0"/>
        <w:widowControl w:val="0"/>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自2022年起，财政直管县的范围由原有的24个扩大至全部102个县（市）。改革后，各县的财政体制由省财政直接核定，各类转移支付、债券资金由省财政直接下达。具体内容是：</w:t>
      </w:r>
    </w:p>
    <w:p>
      <w:pPr>
        <w:keepNext w:val="0"/>
        <w:keepLines w:val="0"/>
        <w:pageBreakBefore w:val="0"/>
        <w:widowControl w:val="0"/>
        <w:numPr>
          <w:ilvl w:val="0"/>
          <w:numId w:val="5"/>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财政收入除上划中央和省级部分外全部留归当地使用，原由市级分享的土地增值税、城镇土地使用税25%部分市级不再参与分享；县级范围内地方承担的共同财政事权支出责任，调整为省与县分担，市级不再分担。</w:t>
      </w:r>
    </w:p>
    <w:p>
      <w:pPr>
        <w:keepNext w:val="0"/>
        <w:keepLines w:val="0"/>
        <w:pageBreakBefore w:val="0"/>
        <w:widowControl w:val="0"/>
        <w:numPr>
          <w:ilvl w:val="0"/>
          <w:numId w:val="5"/>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省级固定税收收入及分成的环保税、水资源税全部下划到市县。原体制下按收入项目等实施的增量分成政策不再执行。改革后市县的增值税、企业所得税、个人所得税收入地方部分省级分成20%，市县其他税收省级分成15%，市县一般公共预算中的非税收入（不含地方教育附加、残疾人就业保障金、矿业权出让收益、防空地下室易地建设费、以及从土地出让收益中计提的教育资金和农田水利建设资金）省级分成15%。同时省级每年以我县2019年收入的同等比例补助我县，相当于分享我县一般公共预算收入比2019年增收部分的20%或15%。以上收入仍缴入县级金库，年终通过体制结算上解省级财政。</w:t>
      </w:r>
    </w:p>
    <w:p>
      <w:pPr>
        <w:keepNext w:val="0"/>
        <w:keepLines w:val="0"/>
        <w:pageBreakBefore w:val="0"/>
        <w:widowControl w:val="0"/>
        <w:numPr>
          <w:ilvl w:val="0"/>
          <w:numId w:val="5"/>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对改革形成的财力转移，以2019年为基期，按“保既得利益”原则核定划转基数，划转基数由市、县协商一致并报省财政核定。</w:t>
      </w:r>
    </w:p>
    <w:p>
      <w:pPr>
        <w:keepNext w:val="0"/>
        <w:keepLines w:val="0"/>
        <w:pageBreakBefore w:val="0"/>
        <w:widowControl w:val="0"/>
        <w:numPr>
          <w:ilvl w:val="0"/>
          <w:numId w:val="5"/>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金管理体制随财政结算体制变化相应调整，省财政直接核定县（市）现金留用比例和上解比例，直接向县（市）调度现金，取消省辖市对县（市）核定的现金留用比例和上解比例。除有明确规定外，有关财政专户资金也直接拨付到县（市）。</w:t>
      </w:r>
    </w:p>
    <w:p>
      <w:pPr>
        <w:keepNext w:val="0"/>
        <w:keepLines w:val="0"/>
        <w:pageBreakBefore w:val="0"/>
        <w:widowControl w:val="0"/>
        <w:numPr>
          <w:ilvl w:val="0"/>
          <w:numId w:val="5"/>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财政在单独或会同省直有关部门部署项目资金申报、布置财政收支管理等工作时，直接通知到县级。属于省委、省政府赋予县经济社会管理权限清单之内的事项，由县级直接上报省级。省财政安排转移支付、债券资金、下达指标和结算事项，直接下达到县级。</w:t>
      </w:r>
    </w:p>
    <w:p>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新出台的留抵退税政策的主要内容</w:t>
      </w:r>
    </w:p>
    <w:p>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党中央、国务院关于加大增值税期末留抵退税（以下简称留抵退税）力度的决策部署，从2022年4月1日起，进一步加大留抵退税实施力度，将先进制造业按月全额退还增值税增量留抵税额政策范围扩大至符合条件的小微企业、制造业等行业企</w:t>
      </w:r>
      <w:r>
        <w:rPr>
          <w:rFonts w:hint="eastAsia" w:ascii="仿宋_GB2312" w:hAnsi="仿宋_GB2312" w:eastAsia="仿宋_GB2312" w:cs="仿宋_GB2312"/>
          <w:color w:val="auto"/>
          <w:spacing w:val="6"/>
          <w:sz w:val="32"/>
          <w:szCs w:val="32"/>
          <w:lang w:val="en-US" w:eastAsia="zh-CN"/>
        </w:rPr>
        <w:t>业（含个体工商户，下同），并一次性退还上述企业存量留抵税额。</w:t>
      </w:r>
    </w:p>
    <w:p>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县乡财政体制改革的主要内容</w:t>
      </w:r>
    </w:p>
    <w:p>
      <w:pPr>
        <w:keepNext w:val="0"/>
        <w:keepLines w:val="0"/>
        <w:pageBreakBefore w:val="0"/>
        <w:widowControl w:val="0"/>
        <w:numPr>
          <w:ilvl w:val="0"/>
          <w:numId w:val="0"/>
        </w:numPr>
        <w:kinsoku/>
        <w:wordWrap/>
        <w:overflowPunct/>
        <w:topLinePunct w:val="0"/>
        <w:bidi w:val="0"/>
        <w:adjustRightInd/>
        <w:snapToGrid/>
        <w:spacing w:line="572" w:lineRule="exact"/>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新的县乡财政管理体制紧紧围绕“财权事权匹配、收支范围清晰、财力平衡兼顾、调动乡镇积极性”的原则，从明晰县乡财政事权和支出责任、完善乡镇基本保障制度、做实乡镇税收收入、建立正向激励措施四个方面对原财政体制进行了调整完善，主要内容是：</w:t>
      </w:r>
    </w:p>
    <w:p>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明确县乡收入范围。将县本级主导投资建设、且具备一定规模的平煤神马所属企业、发投公司等15家重点税源及县级以上重点行业和重点项目税收作为县本级固定税源，其余企业按属地管理作为乡镇税源。核定各乡镇税源清册，从源头上做实乡镇收入，避免收入混库、串库行为发生，把乡镇精力从协税护税转移到招商引资、培植财源、服务所属企业上来，激发乡镇发展经济的内在动力。</w:t>
      </w:r>
    </w:p>
    <w:p>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明确县乡支出范围。明确村级经费和党建三项经费、土地收储工作经费及征地业务费、县级重点项目产生的地租和安置费等相关费用、县级委托乡镇实施的项目资金、县级安排调研观摩等活动产生的奖励资金、县直部门经县委常委会议、县长办公会议或县政府常务会议研究确定对乡镇安排的各项资金、其他应属县级财政事权和支出责任的项目资金作为县级支出，由县财政给予乡镇专项追加补助。县级支出范围之外的支出作为乡镇事权和支出责任，由乡镇从财政体制分成中统筹解决，县财政不再承担相关费用。</w:t>
      </w:r>
    </w:p>
    <w:p>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明确支出基数核定办法。收入基数依据乡镇税源清册，以2022年实际收入情况结合县级当年一般公共预算收入增幅，合理分配收入任务；基本支出基数以2022年实际财供人员为准，以组织人事部门批复的工资为依据，加上应由财政负担的社保金，由县财政足额安排；经费支出基数根据乡镇总人口、行政村个数、财供人员数，综合考虑乡镇实际情况确定。</w:t>
      </w:r>
    </w:p>
    <w:p>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明确超收分成办法。大幅增加乡镇超收分成比例，由原来的乡镇分成比例从25%至50%不等，提高到昆阳、九龙、盐都3个街道办事处及龚店镇实行超收县乡3：7分成，马庄乡超收全留，其余乡镇实行超收县乡2：8分成；乡（镇、街道）自主招商引资落户在本辖区内的企业，产生的税收划归乡（镇、街道），入驻本辖区外的企业税收实行“飞地”政策，入驻县开发区的，实行县乡3：7分成，入驻其他乡（镇、街道）的，由招商乡（镇、街道）和入驻乡（镇、街道）按5：5分成；将烟叶税分成比例统一提高到1：9分成；明确超收分成按季度兑现，年终统算，进一步调动乡镇组织收入的积极性。</w:t>
      </w:r>
    </w:p>
    <w:p>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超长期特别国债</w:t>
      </w:r>
    </w:p>
    <w:p>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超长期特别国债是指期限超过10年的国债，通常为15年、20年、30年甚至50年。这类国债由政府发行，用于筹集长期资金，支持特定项目或应对重大经济挑战。超长期特别国债在我国已有多次发行历史。例如，1998年我国首次发行超长期特别国债以补充国有独资商业银行资本金；2007年发行特别国债用于筹集国家外汇投资公司资本金；2020年发行1万亿元抗疫特别国债以应对新冠疫情的冲击；2024年以来我国再次大规模发行超长期特别国债。</w:t>
      </w:r>
    </w:p>
    <w:p>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“两新”</w:t>
      </w:r>
    </w:p>
    <w:p>
      <w:pPr>
        <w:keepNext w:val="0"/>
        <w:keepLines w:val="0"/>
        <w:pageBreakBefore w:val="0"/>
        <w:widowControl w:val="0"/>
        <w:numPr>
          <w:ilvl w:val="0"/>
          <w:numId w:val="0"/>
        </w:numPr>
        <w:kinsoku/>
        <w:wordWrap/>
        <w:overflowPunct/>
        <w:topLinePunct w:val="0"/>
        <w:bidi w:val="0"/>
        <w:adjustRightInd/>
        <w:snapToGrid/>
        <w:spacing w:line="572"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是指推动新一轮大规模设备更新和消费品以旧换新，这一政策旨在通过政策措施支持重点领域的更新换新，以提振消费和扩大内需，加快现代化产业体系建设，促进先进制造业和现代服务业的融合发展。</w:t>
      </w:r>
    </w:p>
    <w:p>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基层“三保”</w:t>
      </w:r>
    </w:p>
    <w:p>
      <w:pPr>
        <w:keepNext w:val="0"/>
        <w:keepLines w:val="0"/>
        <w:pageBreakBefore w:val="0"/>
        <w:widowControl w:val="0"/>
        <w:numPr>
          <w:ilvl w:val="0"/>
          <w:numId w:val="0"/>
        </w:numPr>
        <w:kinsoku/>
        <w:wordWrap/>
        <w:overflowPunct/>
        <w:topLinePunct w:val="0"/>
        <w:bidi w:val="0"/>
        <w:adjustRightInd/>
        <w:snapToGrid/>
        <w:spacing w:line="572"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是指县（市、区）保基本民生、保工资、保运转相关支出，关系到政府履职尽责和人民群众切身利益，是促进地区经济协调发展的基础，也是维护经济运行秩序和社会大局稳定的“压舱石”。</w:t>
      </w:r>
    </w:p>
    <w:p>
      <w:pPr>
        <w:keepNext w:val="0"/>
        <w:keepLines w:val="0"/>
        <w:pageBreakBefore w:val="0"/>
        <w:widowControl w:val="0"/>
        <w:numPr>
          <w:ilvl w:val="0"/>
          <w:numId w:val="6"/>
        </w:numPr>
        <w:kinsoku/>
        <w:wordWrap/>
        <w:overflowPunct/>
        <w:topLinePunct w:val="0"/>
        <w:bidi w:val="0"/>
        <w:adjustRightInd/>
        <w:snapToGrid/>
        <w:spacing w:line="572" w:lineRule="exact"/>
        <w:ind w:left="640" w:leftChars="0" w:firstLine="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零基预算</w:t>
      </w:r>
    </w:p>
    <w:p>
      <w:pPr>
        <w:keepNext w:val="0"/>
        <w:keepLines w:val="0"/>
        <w:pageBreakBefore w:val="0"/>
        <w:widowControl w:val="0"/>
        <w:numPr>
          <w:ilvl w:val="0"/>
          <w:numId w:val="0"/>
        </w:numPr>
        <w:kinsoku/>
        <w:wordWrap/>
        <w:overflowPunct/>
        <w:topLinePunct w:val="0"/>
        <w:bidi w:val="0"/>
        <w:adjustRightInd/>
        <w:snapToGrid/>
        <w:spacing w:line="572"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是指不考虑过去预算项目和收支水平，以零为基点编制的预算，具体指不受以往预算安排情况的影响，一切从实际需要出发，逐项审核预算年度内各项费用的内容及其开支标准，结合财力状况，在综合平衡的基础上编制预算的一种科学的现代预算编制办法。</w:t>
      </w:r>
    </w:p>
    <w:p>
      <w:pPr>
        <w:keepNext w:val="0"/>
        <w:keepLines w:val="0"/>
        <w:pageBreakBefore w:val="0"/>
        <w:widowControl w:val="0"/>
        <w:numPr>
          <w:ilvl w:val="0"/>
          <w:numId w:val="0"/>
        </w:numPr>
        <w:kinsoku/>
        <w:wordWrap/>
        <w:overflowPunct/>
        <w:topLinePunct w:val="0"/>
        <w:bidi w:val="0"/>
        <w:adjustRightInd/>
        <w:snapToGrid/>
        <w:spacing w:line="572" w:lineRule="exact"/>
        <w:ind w:left="0" w:leftChars="0" w:firstLine="643"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22.预算管理一体化</w:t>
      </w:r>
    </w:p>
    <w:p>
      <w:pPr>
        <w:keepNext w:val="0"/>
        <w:keepLines w:val="0"/>
        <w:pageBreakBefore w:val="0"/>
        <w:widowControl w:val="0"/>
        <w:numPr>
          <w:ilvl w:val="0"/>
          <w:numId w:val="0"/>
        </w:numPr>
        <w:kinsoku/>
        <w:wordWrap/>
        <w:overflowPunct/>
        <w:topLinePunct w:val="0"/>
        <w:bidi w:val="0"/>
        <w:adjustRightInd/>
        <w:snapToGrid/>
        <w:spacing w:line="572"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组织制定全国统一的预算管理业务规范和技术标准，将预算编制、预算执行、决算和财务报告等业务环节按一个整体进行整合规范，贯通各级财政预算管理。各地由省级财政部门统一按照业务规范和技术标准建设一体化系统，将市县级预算数据集中到省级财政，并与财政部联网对接，市县关联业务间、上下级财政间、财政与部门和单位间的工作协同和数据衔接，动态反映各级财政部门预算管理情况，并通过嵌入系统的控制规则规范预算管理和硬化预算约束。</w:t>
      </w:r>
    </w:p>
    <w:sectPr>
      <w:footerReference r:id="rId7" w:type="default"/>
      <w:footerReference r:id="rId8" w:type="even"/>
      <w:pgSz w:w="11906" w:h="16838"/>
      <w:pgMar w:top="2098" w:right="1531" w:bottom="1928" w:left="1531"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222A68-FB5A-4927-B97C-F56305EA10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6198F98-E2AE-4702-AD3B-E9214A353F76}"/>
  </w:font>
  <w:font w:name="等线">
    <w:panose1 w:val="02010600030101010101"/>
    <w:charset w:val="86"/>
    <w:family w:val="auto"/>
    <w:pitch w:val="default"/>
    <w:sig w:usb0="A00002BF" w:usb1="38CF7CFA" w:usb2="00000016" w:usb3="00000000" w:csb0="0004000F" w:csb1="00000000"/>
    <w:embedRegular r:id="rId3" w:fontKey="{C65FA506-7FB9-433E-8FF0-3464176946F2}"/>
  </w:font>
  <w:font w:name="方正小标宋简体">
    <w:panose1 w:val="02010601030101010101"/>
    <w:charset w:val="86"/>
    <w:family w:val="auto"/>
    <w:pitch w:val="default"/>
    <w:sig w:usb0="00000001" w:usb1="080E0000" w:usb2="00000000" w:usb3="00000000" w:csb0="00040000" w:csb1="00000000"/>
    <w:embedRegular r:id="rId4" w:fontKey="{9378801B-841D-4609-AF89-6AE5EBC0AF13}"/>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69036452-43E2-43F7-8CF9-B73AE663B1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8"/>
      </w:rPr>
    </w:pPr>
    <w:r>
      <w:rPr>
        <w:sz w:val="28"/>
      </w:rPr>
      <w:pict>
        <v:shape id="_x0000_s4107" o:spid="_x0000_s4107" o:spt="202" type="#_x0000_t202" style="position:absolute;left:0pt;margin-left:387.15pt;margin-top:-6pt;height:144pt;width:144p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4108" o:spid="_x0000_s4108" o:spt="202" type="#_x0000_t202" style="position:absolute;left:0pt;margin-left:21.9pt;margin-top:-13.5pt;height:144pt;width:144pt;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8"/>
      </w:rPr>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8"/>
      </w:rPr>
    </w:pPr>
    <w:r>
      <w:rPr>
        <w:sz w:val="28"/>
      </w:rPr>
      <w:pict>
        <v:shape id="_x0000_s4103" o:spid="_x0000_s4103" o:spt="202" type="#_x0000_t202" style="position:absolute;left:0pt;margin-left:380.55pt;margin-top:2.95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24 -</w:t>
                </w:r>
                <w:r>
                  <w:rPr>
                    <w:rFonts w:hint="eastAsia" w:ascii="宋体" w:hAnsi="宋体" w:eastAsia="宋体" w:cs="宋体"/>
                    <w:sz w:val="28"/>
                    <w:szCs w:val="28"/>
                  </w:rPr>
                  <w:fldChar w:fldCharType="end"/>
                </w:r>
              </w:p>
            </w:txbxContent>
          </v:textbox>
        </v:shape>
      </w:pic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4101" o:spid="_x0000_s4101" o:spt="202" type="#_x0000_t202" style="position:absolute;left:0pt;margin-left:24.15pt;margin-top:-15.5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- 34 -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92D1C0"/>
    <w:multiLevelType w:val="singleLevel"/>
    <w:tmpl w:val="B992D1C0"/>
    <w:lvl w:ilvl="0" w:tentative="0">
      <w:start w:val="1"/>
      <w:numFmt w:val="decimal"/>
      <w:suff w:val="nothing"/>
      <w:lvlText w:val="（%1）"/>
      <w:lvlJc w:val="left"/>
    </w:lvl>
  </w:abstractNum>
  <w:abstractNum w:abstractNumId="1">
    <w:nsid w:val="C9A1ED0A"/>
    <w:multiLevelType w:val="singleLevel"/>
    <w:tmpl w:val="C9A1ED0A"/>
    <w:lvl w:ilvl="0" w:tentative="0">
      <w:start w:val="16"/>
      <w:numFmt w:val="decimal"/>
      <w:lvlText w:val="%1."/>
      <w:lvlJc w:val="left"/>
      <w:pPr>
        <w:tabs>
          <w:tab w:val="left" w:pos="312"/>
        </w:tabs>
        <w:ind w:left="640" w:leftChars="0" w:firstLine="0" w:firstLineChars="0"/>
      </w:pPr>
    </w:lvl>
  </w:abstractNum>
  <w:abstractNum w:abstractNumId="2">
    <w:nsid w:val="FA1AB61E"/>
    <w:multiLevelType w:val="singleLevel"/>
    <w:tmpl w:val="FA1AB61E"/>
    <w:lvl w:ilvl="0" w:tentative="0">
      <w:start w:val="6"/>
      <w:numFmt w:val="chineseCounting"/>
      <w:suff w:val="nothing"/>
      <w:lvlText w:val="%1、"/>
      <w:lvlJc w:val="left"/>
      <w:rPr>
        <w:rFonts w:hint="eastAsia"/>
      </w:rPr>
    </w:lvl>
  </w:abstractNum>
  <w:abstractNum w:abstractNumId="3">
    <w:nsid w:val="417B3ABE"/>
    <w:multiLevelType w:val="singleLevel"/>
    <w:tmpl w:val="417B3ABE"/>
    <w:lvl w:ilvl="0" w:tentative="0">
      <w:start w:val="1"/>
      <w:numFmt w:val="decimal"/>
      <w:lvlText w:val="%1."/>
      <w:lvlJc w:val="left"/>
      <w:pPr>
        <w:tabs>
          <w:tab w:val="left" w:pos="312"/>
        </w:tabs>
      </w:pPr>
    </w:lvl>
  </w:abstractNum>
  <w:abstractNum w:abstractNumId="4">
    <w:nsid w:val="5C8B5F1F"/>
    <w:multiLevelType w:val="singleLevel"/>
    <w:tmpl w:val="5C8B5F1F"/>
    <w:lvl w:ilvl="0" w:tentative="0">
      <w:start w:val="1"/>
      <w:numFmt w:val="decimal"/>
      <w:lvlText w:val="%1."/>
      <w:lvlJc w:val="left"/>
      <w:pPr>
        <w:tabs>
          <w:tab w:val="left" w:pos="312"/>
        </w:tabs>
        <w:ind w:left="-10"/>
      </w:pPr>
      <w:rPr>
        <w:rFonts w:hint="default"/>
        <w:color w:val="auto"/>
      </w:rPr>
    </w:lvl>
  </w:abstractNum>
  <w:abstractNum w:abstractNumId="5">
    <w:nsid w:val="7870E287"/>
    <w:multiLevelType w:val="singleLevel"/>
    <w:tmpl w:val="7870E287"/>
    <w:lvl w:ilvl="0" w:tentative="0">
      <w:start w:val="1"/>
      <w:numFmt w:val="decimal"/>
      <w:suff w:val="space"/>
      <w:lvlText w:val="%1."/>
      <w:lvlJc w:val="left"/>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MxMmExMTQ3OTI4NThiYzQ5OGQwMGMxMjFkYTdmNWMifQ=="/>
  </w:docVars>
  <w:rsids>
    <w:rsidRoot w:val="00BE755F"/>
    <w:rsid w:val="000178C5"/>
    <w:rsid w:val="000376F6"/>
    <w:rsid w:val="00051051"/>
    <w:rsid w:val="00065786"/>
    <w:rsid w:val="000834F0"/>
    <w:rsid w:val="00083DF7"/>
    <w:rsid w:val="000B7F5E"/>
    <w:rsid w:val="000C7A27"/>
    <w:rsid w:val="000F5A10"/>
    <w:rsid w:val="00103149"/>
    <w:rsid w:val="001031BD"/>
    <w:rsid w:val="0010533B"/>
    <w:rsid w:val="00107BE7"/>
    <w:rsid w:val="00124142"/>
    <w:rsid w:val="00124B09"/>
    <w:rsid w:val="00131A2D"/>
    <w:rsid w:val="001444D9"/>
    <w:rsid w:val="00150EAD"/>
    <w:rsid w:val="00173094"/>
    <w:rsid w:val="00180F72"/>
    <w:rsid w:val="00186D62"/>
    <w:rsid w:val="001A2A2C"/>
    <w:rsid w:val="001C1371"/>
    <w:rsid w:val="001C3DA6"/>
    <w:rsid w:val="001C5E05"/>
    <w:rsid w:val="001D1189"/>
    <w:rsid w:val="001D6D81"/>
    <w:rsid w:val="001E638D"/>
    <w:rsid w:val="002003DB"/>
    <w:rsid w:val="00221BCB"/>
    <w:rsid w:val="00226E7E"/>
    <w:rsid w:val="002276E0"/>
    <w:rsid w:val="00266DBD"/>
    <w:rsid w:val="00272414"/>
    <w:rsid w:val="002A1E12"/>
    <w:rsid w:val="002B1E4F"/>
    <w:rsid w:val="002C40B0"/>
    <w:rsid w:val="002D2D8D"/>
    <w:rsid w:val="003129C5"/>
    <w:rsid w:val="00313A7C"/>
    <w:rsid w:val="00323577"/>
    <w:rsid w:val="003433E1"/>
    <w:rsid w:val="00352CCE"/>
    <w:rsid w:val="00353335"/>
    <w:rsid w:val="00356184"/>
    <w:rsid w:val="003625AA"/>
    <w:rsid w:val="003672F6"/>
    <w:rsid w:val="003705AF"/>
    <w:rsid w:val="00371BF0"/>
    <w:rsid w:val="00377EAC"/>
    <w:rsid w:val="003D3408"/>
    <w:rsid w:val="003D3A3B"/>
    <w:rsid w:val="003E003F"/>
    <w:rsid w:val="003E0769"/>
    <w:rsid w:val="003F3A52"/>
    <w:rsid w:val="003F56AE"/>
    <w:rsid w:val="00414FA1"/>
    <w:rsid w:val="004326E5"/>
    <w:rsid w:val="00434560"/>
    <w:rsid w:val="004350D4"/>
    <w:rsid w:val="004354DA"/>
    <w:rsid w:val="00435E61"/>
    <w:rsid w:val="00436A67"/>
    <w:rsid w:val="00453694"/>
    <w:rsid w:val="00456F66"/>
    <w:rsid w:val="00466DD4"/>
    <w:rsid w:val="00472705"/>
    <w:rsid w:val="004745E8"/>
    <w:rsid w:val="00474A1E"/>
    <w:rsid w:val="0047544D"/>
    <w:rsid w:val="0047756B"/>
    <w:rsid w:val="00483640"/>
    <w:rsid w:val="00484DCA"/>
    <w:rsid w:val="004D7E6C"/>
    <w:rsid w:val="004F1E69"/>
    <w:rsid w:val="004F5331"/>
    <w:rsid w:val="004F61FF"/>
    <w:rsid w:val="00504138"/>
    <w:rsid w:val="00511226"/>
    <w:rsid w:val="00516AD6"/>
    <w:rsid w:val="00522937"/>
    <w:rsid w:val="00524C91"/>
    <w:rsid w:val="00526100"/>
    <w:rsid w:val="00544BE7"/>
    <w:rsid w:val="00546EF0"/>
    <w:rsid w:val="005573E4"/>
    <w:rsid w:val="005635C0"/>
    <w:rsid w:val="00585981"/>
    <w:rsid w:val="005A3502"/>
    <w:rsid w:val="005A6275"/>
    <w:rsid w:val="005C4B98"/>
    <w:rsid w:val="005E0295"/>
    <w:rsid w:val="00604556"/>
    <w:rsid w:val="00604B1D"/>
    <w:rsid w:val="00605A2F"/>
    <w:rsid w:val="006301B7"/>
    <w:rsid w:val="00631FD5"/>
    <w:rsid w:val="00641419"/>
    <w:rsid w:val="00647DFD"/>
    <w:rsid w:val="00667A28"/>
    <w:rsid w:val="00671B44"/>
    <w:rsid w:val="006804DF"/>
    <w:rsid w:val="00692E48"/>
    <w:rsid w:val="00695030"/>
    <w:rsid w:val="006A5FF1"/>
    <w:rsid w:val="006B5CB6"/>
    <w:rsid w:val="006C674E"/>
    <w:rsid w:val="006D0FDC"/>
    <w:rsid w:val="006D468E"/>
    <w:rsid w:val="006E30A5"/>
    <w:rsid w:val="006E6ACF"/>
    <w:rsid w:val="006F4ADC"/>
    <w:rsid w:val="00705FA8"/>
    <w:rsid w:val="00716344"/>
    <w:rsid w:val="00716550"/>
    <w:rsid w:val="00716782"/>
    <w:rsid w:val="00721FFA"/>
    <w:rsid w:val="00751154"/>
    <w:rsid w:val="007568AF"/>
    <w:rsid w:val="00795627"/>
    <w:rsid w:val="007A79E3"/>
    <w:rsid w:val="007D069B"/>
    <w:rsid w:val="007E5694"/>
    <w:rsid w:val="007E74A7"/>
    <w:rsid w:val="00800AB7"/>
    <w:rsid w:val="00822411"/>
    <w:rsid w:val="00823FEF"/>
    <w:rsid w:val="00842670"/>
    <w:rsid w:val="00843FD8"/>
    <w:rsid w:val="00846547"/>
    <w:rsid w:val="00857249"/>
    <w:rsid w:val="0086032B"/>
    <w:rsid w:val="00862813"/>
    <w:rsid w:val="0087082F"/>
    <w:rsid w:val="0087335F"/>
    <w:rsid w:val="00876A81"/>
    <w:rsid w:val="00883B3E"/>
    <w:rsid w:val="00894C85"/>
    <w:rsid w:val="00895CBF"/>
    <w:rsid w:val="008B248E"/>
    <w:rsid w:val="008C318E"/>
    <w:rsid w:val="008C7C52"/>
    <w:rsid w:val="008D030B"/>
    <w:rsid w:val="008E3452"/>
    <w:rsid w:val="00904A8E"/>
    <w:rsid w:val="00904FBA"/>
    <w:rsid w:val="009217C3"/>
    <w:rsid w:val="009343D1"/>
    <w:rsid w:val="0094019C"/>
    <w:rsid w:val="0094361F"/>
    <w:rsid w:val="0096162B"/>
    <w:rsid w:val="00977805"/>
    <w:rsid w:val="00977CDE"/>
    <w:rsid w:val="00981687"/>
    <w:rsid w:val="00982FB7"/>
    <w:rsid w:val="0099447F"/>
    <w:rsid w:val="00997274"/>
    <w:rsid w:val="009A08F6"/>
    <w:rsid w:val="009A5D87"/>
    <w:rsid w:val="009C16A2"/>
    <w:rsid w:val="009C2812"/>
    <w:rsid w:val="009D7CD9"/>
    <w:rsid w:val="009E672A"/>
    <w:rsid w:val="009F5E96"/>
    <w:rsid w:val="00A06263"/>
    <w:rsid w:val="00A10FDC"/>
    <w:rsid w:val="00A12DAE"/>
    <w:rsid w:val="00A22FEC"/>
    <w:rsid w:val="00A23E15"/>
    <w:rsid w:val="00A24A0B"/>
    <w:rsid w:val="00A4631E"/>
    <w:rsid w:val="00A6528D"/>
    <w:rsid w:val="00A7488B"/>
    <w:rsid w:val="00A76F23"/>
    <w:rsid w:val="00A805AD"/>
    <w:rsid w:val="00A84B3C"/>
    <w:rsid w:val="00A9109A"/>
    <w:rsid w:val="00AA4B06"/>
    <w:rsid w:val="00AA71E1"/>
    <w:rsid w:val="00AB1936"/>
    <w:rsid w:val="00AB7118"/>
    <w:rsid w:val="00AC09AC"/>
    <w:rsid w:val="00AC154D"/>
    <w:rsid w:val="00AC5C4E"/>
    <w:rsid w:val="00AC6EEA"/>
    <w:rsid w:val="00AD34B3"/>
    <w:rsid w:val="00AD6E27"/>
    <w:rsid w:val="00AE1CB1"/>
    <w:rsid w:val="00AE7DBB"/>
    <w:rsid w:val="00AF1281"/>
    <w:rsid w:val="00AF1CF0"/>
    <w:rsid w:val="00AF60C7"/>
    <w:rsid w:val="00B06FD4"/>
    <w:rsid w:val="00B10F18"/>
    <w:rsid w:val="00B21C23"/>
    <w:rsid w:val="00B2417B"/>
    <w:rsid w:val="00B2514B"/>
    <w:rsid w:val="00B658D4"/>
    <w:rsid w:val="00B8398D"/>
    <w:rsid w:val="00B84727"/>
    <w:rsid w:val="00B91E9E"/>
    <w:rsid w:val="00BC7601"/>
    <w:rsid w:val="00BD059B"/>
    <w:rsid w:val="00BD0E2A"/>
    <w:rsid w:val="00BD553A"/>
    <w:rsid w:val="00BE755F"/>
    <w:rsid w:val="00C007CE"/>
    <w:rsid w:val="00C01ECC"/>
    <w:rsid w:val="00C23296"/>
    <w:rsid w:val="00C25A95"/>
    <w:rsid w:val="00C320ED"/>
    <w:rsid w:val="00C3650D"/>
    <w:rsid w:val="00C371E4"/>
    <w:rsid w:val="00C46C15"/>
    <w:rsid w:val="00C52C98"/>
    <w:rsid w:val="00C572E6"/>
    <w:rsid w:val="00C7050E"/>
    <w:rsid w:val="00C70948"/>
    <w:rsid w:val="00C869F9"/>
    <w:rsid w:val="00C87B0C"/>
    <w:rsid w:val="00C91554"/>
    <w:rsid w:val="00CA5188"/>
    <w:rsid w:val="00CC1B63"/>
    <w:rsid w:val="00CC1F05"/>
    <w:rsid w:val="00CC6567"/>
    <w:rsid w:val="00CE327A"/>
    <w:rsid w:val="00CE6B3B"/>
    <w:rsid w:val="00CF09A5"/>
    <w:rsid w:val="00D01F9B"/>
    <w:rsid w:val="00D10DD8"/>
    <w:rsid w:val="00D14036"/>
    <w:rsid w:val="00D253B9"/>
    <w:rsid w:val="00D313B0"/>
    <w:rsid w:val="00D34863"/>
    <w:rsid w:val="00D65272"/>
    <w:rsid w:val="00D77955"/>
    <w:rsid w:val="00D850B1"/>
    <w:rsid w:val="00D85372"/>
    <w:rsid w:val="00DA0D33"/>
    <w:rsid w:val="00DA5797"/>
    <w:rsid w:val="00DC3126"/>
    <w:rsid w:val="00DC36F9"/>
    <w:rsid w:val="00DD6059"/>
    <w:rsid w:val="00DE33C0"/>
    <w:rsid w:val="00DF0A7C"/>
    <w:rsid w:val="00DF57E8"/>
    <w:rsid w:val="00DF6F3D"/>
    <w:rsid w:val="00DF757B"/>
    <w:rsid w:val="00E0781A"/>
    <w:rsid w:val="00E243D8"/>
    <w:rsid w:val="00E423B5"/>
    <w:rsid w:val="00E42582"/>
    <w:rsid w:val="00E56A2A"/>
    <w:rsid w:val="00E71AD9"/>
    <w:rsid w:val="00E826BB"/>
    <w:rsid w:val="00EA09C3"/>
    <w:rsid w:val="00EA0FEE"/>
    <w:rsid w:val="00EA24E9"/>
    <w:rsid w:val="00EA6915"/>
    <w:rsid w:val="00EA78E2"/>
    <w:rsid w:val="00EB7467"/>
    <w:rsid w:val="00ED267A"/>
    <w:rsid w:val="00EF0A07"/>
    <w:rsid w:val="00F20B2A"/>
    <w:rsid w:val="00F2487F"/>
    <w:rsid w:val="00F32F96"/>
    <w:rsid w:val="00F5402F"/>
    <w:rsid w:val="00F56401"/>
    <w:rsid w:val="00F62461"/>
    <w:rsid w:val="00F73C27"/>
    <w:rsid w:val="00F848EB"/>
    <w:rsid w:val="00F87DCA"/>
    <w:rsid w:val="00F945F2"/>
    <w:rsid w:val="00F962CB"/>
    <w:rsid w:val="00FB6E77"/>
    <w:rsid w:val="00FC1DCE"/>
    <w:rsid w:val="00FD4526"/>
    <w:rsid w:val="00FD4C50"/>
    <w:rsid w:val="00FE2F62"/>
    <w:rsid w:val="00FF0FBE"/>
    <w:rsid w:val="00FF67C8"/>
    <w:rsid w:val="01461924"/>
    <w:rsid w:val="01503E45"/>
    <w:rsid w:val="015873C5"/>
    <w:rsid w:val="018A3879"/>
    <w:rsid w:val="01E27F2C"/>
    <w:rsid w:val="02065006"/>
    <w:rsid w:val="021C29C7"/>
    <w:rsid w:val="02895B83"/>
    <w:rsid w:val="02FA082F"/>
    <w:rsid w:val="03B714B6"/>
    <w:rsid w:val="03D53C58"/>
    <w:rsid w:val="041C0B83"/>
    <w:rsid w:val="042C4720"/>
    <w:rsid w:val="046759FD"/>
    <w:rsid w:val="04844854"/>
    <w:rsid w:val="048F7CF9"/>
    <w:rsid w:val="05066240"/>
    <w:rsid w:val="05173495"/>
    <w:rsid w:val="056E0165"/>
    <w:rsid w:val="057730B9"/>
    <w:rsid w:val="05B90B7D"/>
    <w:rsid w:val="05D435A4"/>
    <w:rsid w:val="06093D6C"/>
    <w:rsid w:val="063F489B"/>
    <w:rsid w:val="06501646"/>
    <w:rsid w:val="06636BD2"/>
    <w:rsid w:val="068C79F0"/>
    <w:rsid w:val="069808C0"/>
    <w:rsid w:val="06EA1C4B"/>
    <w:rsid w:val="077578D8"/>
    <w:rsid w:val="07EA6E77"/>
    <w:rsid w:val="07EC3F0B"/>
    <w:rsid w:val="07ED7D3F"/>
    <w:rsid w:val="085D4A17"/>
    <w:rsid w:val="08852948"/>
    <w:rsid w:val="08B1339A"/>
    <w:rsid w:val="093167F8"/>
    <w:rsid w:val="09976EA2"/>
    <w:rsid w:val="0A044BC3"/>
    <w:rsid w:val="0A261F09"/>
    <w:rsid w:val="0ABA0A6D"/>
    <w:rsid w:val="0AC8448C"/>
    <w:rsid w:val="0AE256C0"/>
    <w:rsid w:val="0AF00D84"/>
    <w:rsid w:val="0B5032E8"/>
    <w:rsid w:val="0B7B71BE"/>
    <w:rsid w:val="0B8E6F24"/>
    <w:rsid w:val="0B932A7E"/>
    <w:rsid w:val="0BAA3CCB"/>
    <w:rsid w:val="0BCF2858"/>
    <w:rsid w:val="0BF00A21"/>
    <w:rsid w:val="0C13591B"/>
    <w:rsid w:val="0CBB622C"/>
    <w:rsid w:val="0CC53CAC"/>
    <w:rsid w:val="0CDD1DBA"/>
    <w:rsid w:val="0CEA54BC"/>
    <w:rsid w:val="0D3974A1"/>
    <w:rsid w:val="0D4E1EA3"/>
    <w:rsid w:val="0D86080C"/>
    <w:rsid w:val="0DA25EF2"/>
    <w:rsid w:val="0DBD4AC2"/>
    <w:rsid w:val="0DC13B67"/>
    <w:rsid w:val="0DD72AE2"/>
    <w:rsid w:val="0E6F41E6"/>
    <w:rsid w:val="0E946E9F"/>
    <w:rsid w:val="0EA22E5F"/>
    <w:rsid w:val="0F440D34"/>
    <w:rsid w:val="0FD404A0"/>
    <w:rsid w:val="10263749"/>
    <w:rsid w:val="10282537"/>
    <w:rsid w:val="10335074"/>
    <w:rsid w:val="10415CD9"/>
    <w:rsid w:val="10E3669B"/>
    <w:rsid w:val="10E9124D"/>
    <w:rsid w:val="115455AE"/>
    <w:rsid w:val="11B42572"/>
    <w:rsid w:val="11C9597F"/>
    <w:rsid w:val="12062188"/>
    <w:rsid w:val="12F264FA"/>
    <w:rsid w:val="1317675E"/>
    <w:rsid w:val="13786201"/>
    <w:rsid w:val="138C43C4"/>
    <w:rsid w:val="13E640E2"/>
    <w:rsid w:val="1432048A"/>
    <w:rsid w:val="145851D8"/>
    <w:rsid w:val="147032C4"/>
    <w:rsid w:val="149F2FE4"/>
    <w:rsid w:val="14DD4DA8"/>
    <w:rsid w:val="14E7655D"/>
    <w:rsid w:val="152D5ED1"/>
    <w:rsid w:val="15843157"/>
    <w:rsid w:val="15B17733"/>
    <w:rsid w:val="15F766E6"/>
    <w:rsid w:val="162035BC"/>
    <w:rsid w:val="16393358"/>
    <w:rsid w:val="169F551D"/>
    <w:rsid w:val="16BF6BD5"/>
    <w:rsid w:val="17210388"/>
    <w:rsid w:val="17AD3E74"/>
    <w:rsid w:val="17CA481C"/>
    <w:rsid w:val="17DB4333"/>
    <w:rsid w:val="181761DA"/>
    <w:rsid w:val="18583BD5"/>
    <w:rsid w:val="18761C7A"/>
    <w:rsid w:val="187F2FB0"/>
    <w:rsid w:val="18A312F5"/>
    <w:rsid w:val="18DB0B35"/>
    <w:rsid w:val="19002914"/>
    <w:rsid w:val="1905117A"/>
    <w:rsid w:val="195645B9"/>
    <w:rsid w:val="19744A3F"/>
    <w:rsid w:val="198E7996"/>
    <w:rsid w:val="199742D9"/>
    <w:rsid w:val="19A40E7C"/>
    <w:rsid w:val="19A41754"/>
    <w:rsid w:val="19BA7EE4"/>
    <w:rsid w:val="19C37774"/>
    <w:rsid w:val="1ACF6B5C"/>
    <w:rsid w:val="1AD17A77"/>
    <w:rsid w:val="1AE422FE"/>
    <w:rsid w:val="1AEB63E3"/>
    <w:rsid w:val="1B4560C7"/>
    <w:rsid w:val="1BA955E3"/>
    <w:rsid w:val="1BE61676"/>
    <w:rsid w:val="1BF55F80"/>
    <w:rsid w:val="1BFB6048"/>
    <w:rsid w:val="1C112A19"/>
    <w:rsid w:val="1C200142"/>
    <w:rsid w:val="1C201283"/>
    <w:rsid w:val="1C6074FD"/>
    <w:rsid w:val="1CBE71D7"/>
    <w:rsid w:val="1CEB4B27"/>
    <w:rsid w:val="1CF2566D"/>
    <w:rsid w:val="1D4E321C"/>
    <w:rsid w:val="1DA41221"/>
    <w:rsid w:val="1E101163"/>
    <w:rsid w:val="1E1E4F79"/>
    <w:rsid w:val="1E2C2438"/>
    <w:rsid w:val="1E2C2FDF"/>
    <w:rsid w:val="1E591461"/>
    <w:rsid w:val="1E627640"/>
    <w:rsid w:val="1EA83AE7"/>
    <w:rsid w:val="1F181382"/>
    <w:rsid w:val="1F271230"/>
    <w:rsid w:val="1F385DE2"/>
    <w:rsid w:val="1F602A2A"/>
    <w:rsid w:val="1F7B0C6F"/>
    <w:rsid w:val="20233781"/>
    <w:rsid w:val="20453DBC"/>
    <w:rsid w:val="2073362B"/>
    <w:rsid w:val="20895274"/>
    <w:rsid w:val="20D66D3A"/>
    <w:rsid w:val="212D30B7"/>
    <w:rsid w:val="214815A8"/>
    <w:rsid w:val="21AA0E03"/>
    <w:rsid w:val="220902AC"/>
    <w:rsid w:val="221410F3"/>
    <w:rsid w:val="22280E3A"/>
    <w:rsid w:val="226B3A41"/>
    <w:rsid w:val="22BB6735"/>
    <w:rsid w:val="22F15777"/>
    <w:rsid w:val="235F6D01"/>
    <w:rsid w:val="237B489A"/>
    <w:rsid w:val="23965EDC"/>
    <w:rsid w:val="23A36E67"/>
    <w:rsid w:val="23C15534"/>
    <w:rsid w:val="23D51C28"/>
    <w:rsid w:val="24020C29"/>
    <w:rsid w:val="24041378"/>
    <w:rsid w:val="242515DF"/>
    <w:rsid w:val="248C70E1"/>
    <w:rsid w:val="24C126BD"/>
    <w:rsid w:val="255231DD"/>
    <w:rsid w:val="25804245"/>
    <w:rsid w:val="258B7398"/>
    <w:rsid w:val="25AA5A01"/>
    <w:rsid w:val="2640288A"/>
    <w:rsid w:val="267D10C1"/>
    <w:rsid w:val="26AD77E2"/>
    <w:rsid w:val="27000403"/>
    <w:rsid w:val="2752029D"/>
    <w:rsid w:val="278A4BDE"/>
    <w:rsid w:val="27A5194E"/>
    <w:rsid w:val="27C272BD"/>
    <w:rsid w:val="27CB1640"/>
    <w:rsid w:val="284B72B3"/>
    <w:rsid w:val="284D363D"/>
    <w:rsid w:val="287C66AB"/>
    <w:rsid w:val="28974C2F"/>
    <w:rsid w:val="28A075FF"/>
    <w:rsid w:val="28A16ED3"/>
    <w:rsid w:val="28C86A32"/>
    <w:rsid w:val="28FE663D"/>
    <w:rsid w:val="292B3EDD"/>
    <w:rsid w:val="29422464"/>
    <w:rsid w:val="295647E3"/>
    <w:rsid w:val="29B35110"/>
    <w:rsid w:val="29B6075C"/>
    <w:rsid w:val="29BF76D2"/>
    <w:rsid w:val="29C35E18"/>
    <w:rsid w:val="29CF0BEF"/>
    <w:rsid w:val="29D95C95"/>
    <w:rsid w:val="29DB6414"/>
    <w:rsid w:val="2A0441BB"/>
    <w:rsid w:val="2A62584A"/>
    <w:rsid w:val="2ABC6471"/>
    <w:rsid w:val="2AD70D68"/>
    <w:rsid w:val="2ADC2F43"/>
    <w:rsid w:val="2AE5543A"/>
    <w:rsid w:val="2AF87773"/>
    <w:rsid w:val="2B17347C"/>
    <w:rsid w:val="2B5F34F3"/>
    <w:rsid w:val="2B631DDB"/>
    <w:rsid w:val="2C1D30CB"/>
    <w:rsid w:val="2CA14D1E"/>
    <w:rsid w:val="2CA57561"/>
    <w:rsid w:val="2CA62D0A"/>
    <w:rsid w:val="2CBB6EA3"/>
    <w:rsid w:val="2CBC445F"/>
    <w:rsid w:val="2D25333D"/>
    <w:rsid w:val="2D6E0857"/>
    <w:rsid w:val="2D740A00"/>
    <w:rsid w:val="2D820600"/>
    <w:rsid w:val="2DB574AC"/>
    <w:rsid w:val="2E015966"/>
    <w:rsid w:val="2E6231F0"/>
    <w:rsid w:val="2E813A2E"/>
    <w:rsid w:val="2E8751A1"/>
    <w:rsid w:val="2EF03EB1"/>
    <w:rsid w:val="2F434220"/>
    <w:rsid w:val="2F526A68"/>
    <w:rsid w:val="2F907ABF"/>
    <w:rsid w:val="2F9E0B25"/>
    <w:rsid w:val="2FC260AC"/>
    <w:rsid w:val="307E2516"/>
    <w:rsid w:val="30AE2135"/>
    <w:rsid w:val="30AE4883"/>
    <w:rsid w:val="31991796"/>
    <w:rsid w:val="31CE2E2E"/>
    <w:rsid w:val="31DE7294"/>
    <w:rsid w:val="31FA6794"/>
    <w:rsid w:val="325F1003"/>
    <w:rsid w:val="326824ED"/>
    <w:rsid w:val="32BF5F44"/>
    <w:rsid w:val="32EF6F21"/>
    <w:rsid w:val="32F50493"/>
    <w:rsid w:val="331E78D1"/>
    <w:rsid w:val="332B2B0F"/>
    <w:rsid w:val="33504835"/>
    <w:rsid w:val="33541711"/>
    <w:rsid w:val="338A2042"/>
    <w:rsid w:val="33D07264"/>
    <w:rsid w:val="33D20888"/>
    <w:rsid w:val="351F7AFD"/>
    <w:rsid w:val="352A6A1D"/>
    <w:rsid w:val="352F37E7"/>
    <w:rsid w:val="360F1AFB"/>
    <w:rsid w:val="362B2CAB"/>
    <w:rsid w:val="37202D72"/>
    <w:rsid w:val="37900641"/>
    <w:rsid w:val="37F74A24"/>
    <w:rsid w:val="38116670"/>
    <w:rsid w:val="38180178"/>
    <w:rsid w:val="382571D4"/>
    <w:rsid w:val="382900D1"/>
    <w:rsid w:val="38733348"/>
    <w:rsid w:val="38850C10"/>
    <w:rsid w:val="38A33135"/>
    <w:rsid w:val="38F00C43"/>
    <w:rsid w:val="393A550E"/>
    <w:rsid w:val="394E59E5"/>
    <w:rsid w:val="39E5072A"/>
    <w:rsid w:val="3A206FF1"/>
    <w:rsid w:val="3A3B6B62"/>
    <w:rsid w:val="3AB66948"/>
    <w:rsid w:val="3C1934F8"/>
    <w:rsid w:val="3C4E4BA9"/>
    <w:rsid w:val="3C69155C"/>
    <w:rsid w:val="3CAF1767"/>
    <w:rsid w:val="3CB2624E"/>
    <w:rsid w:val="3D29758D"/>
    <w:rsid w:val="3D3C3DF6"/>
    <w:rsid w:val="3D3E0D3C"/>
    <w:rsid w:val="3D5B2CF0"/>
    <w:rsid w:val="3DB50455"/>
    <w:rsid w:val="3DBC05DF"/>
    <w:rsid w:val="3DE504E4"/>
    <w:rsid w:val="3E5F4CFA"/>
    <w:rsid w:val="3E672B11"/>
    <w:rsid w:val="3EC27B99"/>
    <w:rsid w:val="3EE31608"/>
    <w:rsid w:val="3F0F3142"/>
    <w:rsid w:val="3F1D32FF"/>
    <w:rsid w:val="3F1E49E1"/>
    <w:rsid w:val="3F391DA6"/>
    <w:rsid w:val="3F7B6278"/>
    <w:rsid w:val="3FD42DF2"/>
    <w:rsid w:val="3FD91B42"/>
    <w:rsid w:val="3FFB76FA"/>
    <w:rsid w:val="4001677D"/>
    <w:rsid w:val="4007707E"/>
    <w:rsid w:val="40941371"/>
    <w:rsid w:val="409E32EE"/>
    <w:rsid w:val="40D873A7"/>
    <w:rsid w:val="41421084"/>
    <w:rsid w:val="41B74DEC"/>
    <w:rsid w:val="41D269EF"/>
    <w:rsid w:val="41D34149"/>
    <w:rsid w:val="41E2438C"/>
    <w:rsid w:val="42022034"/>
    <w:rsid w:val="420D71AC"/>
    <w:rsid w:val="4224272E"/>
    <w:rsid w:val="426536F3"/>
    <w:rsid w:val="426C4C24"/>
    <w:rsid w:val="42A17DA3"/>
    <w:rsid w:val="431E02ED"/>
    <w:rsid w:val="433A6AFE"/>
    <w:rsid w:val="4387500B"/>
    <w:rsid w:val="43C0715A"/>
    <w:rsid w:val="43E32C77"/>
    <w:rsid w:val="43F17418"/>
    <w:rsid w:val="43FC70EF"/>
    <w:rsid w:val="440C0524"/>
    <w:rsid w:val="444C2128"/>
    <w:rsid w:val="44E262A7"/>
    <w:rsid w:val="46287842"/>
    <w:rsid w:val="467B090B"/>
    <w:rsid w:val="46B03750"/>
    <w:rsid w:val="46B46B8E"/>
    <w:rsid w:val="47213261"/>
    <w:rsid w:val="47564EF6"/>
    <w:rsid w:val="479152E5"/>
    <w:rsid w:val="47943423"/>
    <w:rsid w:val="47954AF8"/>
    <w:rsid w:val="48C74B0D"/>
    <w:rsid w:val="48D72771"/>
    <w:rsid w:val="48E01221"/>
    <w:rsid w:val="48E645ED"/>
    <w:rsid w:val="490A4786"/>
    <w:rsid w:val="49705A3A"/>
    <w:rsid w:val="49A1700A"/>
    <w:rsid w:val="4A2D5EED"/>
    <w:rsid w:val="4A4871AE"/>
    <w:rsid w:val="4AEA2282"/>
    <w:rsid w:val="4B317DE6"/>
    <w:rsid w:val="4B4B4017"/>
    <w:rsid w:val="4B6B4AC1"/>
    <w:rsid w:val="4BBC369E"/>
    <w:rsid w:val="4C20409E"/>
    <w:rsid w:val="4C575C76"/>
    <w:rsid w:val="4C7A342D"/>
    <w:rsid w:val="4CDC5734"/>
    <w:rsid w:val="4D115FA5"/>
    <w:rsid w:val="4D44414D"/>
    <w:rsid w:val="4D600677"/>
    <w:rsid w:val="4E1B063B"/>
    <w:rsid w:val="4E47536F"/>
    <w:rsid w:val="4EC862DE"/>
    <w:rsid w:val="4F057B17"/>
    <w:rsid w:val="4F10078B"/>
    <w:rsid w:val="4F18319B"/>
    <w:rsid w:val="4F2117B1"/>
    <w:rsid w:val="4FFE1A90"/>
    <w:rsid w:val="5047505E"/>
    <w:rsid w:val="504B134F"/>
    <w:rsid w:val="50FE637F"/>
    <w:rsid w:val="513D1C32"/>
    <w:rsid w:val="5157488F"/>
    <w:rsid w:val="519A0805"/>
    <w:rsid w:val="51E842FE"/>
    <w:rsid w:val="52AF6EF9"/>
    <w:rsid w:val="52BC3ADA"/>
    <w:rsid w:val="52D941BD"/>
    <w:rsid w:val="5362532D"/>
    <w:rsid w:val="5394115F"/>
    <w:rsid w:val="539B0E0D"/>
    <w:rsid w:val="53D8290B"/>
    <w:rsid w:val="54587510"/>
    <w:rsid w:val="546B1FBF"/>
    <w:rsid w:val="5563538C"/>
    <w:rsid w:val="558A4236"/>
    <w:rsid w:val="561631CE"/>
    <w:rsid w:val="567909DD"/>
    <w:rsid w:val="56811AE4"/>
    <w:rsid w:val="56953223"/>
    <w:rsid w:val="56F826DD"/>
    <w:rsid w:val="576708C7"/>
    <w:rsid w:val="57895015"/>
    <w:rsid w:val="5789732C"/>
    <w:rsid w:val="58085B9B"/>
    <w:rsid w:val="581819E9"/>
    <w:rsid w:val="588C5714"/>
    <w:rsid w:val="59615C72"/>
    <w:rsid w:val="5A733C39"/>
    <w:rsid w:val="5A7A4CD8"/>
    <w:rsid w:val="5A7B2721"/>
    <w:rsid w:val="5A976BE6"/>
    <w:rsid w:val="5AAD194C"/>
    <w:rsid w:val="5AB0015E"/>
    <w:rsid w:val="5ACF4D9E"/>
    <w:rsid w:val="5B035313"/>
    <w:rsid w:val="5B1573E9"/>
    <w:rsid w:val="5B4E4363"/>
    <w:rsid w:val="5B587F07"/>
    <w:rsid w:val="5B7A0AD3"/>
    <w:rsid w:val="5B8D0F09"/>
    <w:rsid w:val="5BF77C6D"/>
    <w:rsid w:val="5CF274BE"/>
    <w:rsid w:val="5D31488A"/>
    <w:rsid w:val="5D587190"/>
    <w:rsid w:val="5D5E5A9E"/>
    <w:rsid w:val="5DA22550"/>
    <w:rsid w:val="5DF712CB"/>
    <w:rsid w:val="5E7D3926"/>
    <w:rsid w:val="5E8A4646"/>
    <w:rsid w:val="5EA558DA"/>
    <w:rsid w:val="5EB557B5"/>
    <w:rsid w:val="5EEF6458"/>
    <w:rsid w:val="5F6702BD"/>
    <w:rsid w:val="5F68143E"/>
    <w:rsid w:val="5F696A52"/>
    <w:rsid w:val="5FF02617"/>
    <w:rsid w:val="60275CA7"/>
    <w:rsid w:val="603A02FA"/>
    <w:rsid w:val="60464805"/>
    <w:rsid w:val="60BC2C2C"/>
    <w:rsid w:val="60E40EC0"/>
    <w:rsid w:val="610B74ED"/>
    <w:rsid w:val="616B3D76"/>
    <w:rsid w:val="61905BDA"/>
    <w:rsid w:val="61F608EE"/>
    <w:rsid w:val="62292567"/>
    <w:rsid w:val="624A498D"/>
    <w:rsid w:val="62964B1D"/>
    <w:rsid w:val="629D2947"/>
    <w:rsid w:val="62A430DA"/>
    <w:rsid w:val="62B7354C"/>
    <w:rsid w:val="62C4653F"/>
    <w:rsid w:val="62FB30A8"/>
    <w:rsid w:val="634903F1"/>
    <w:rsid w:val="637E0C03"/>
    <w:rsid w:val="63935C90"/>
    <w:rsid w:val="63E87188"/>
    <w:rsid w:val="64020774"/>
    <w:rsid w:val="64857118"/>
    <w:rsid w:val="6492186F"/>
    <w:rsid w:val="64B928D3"/>
    <w:rsid w:val="64F067D8"/>
    <w:rsid w:val="65155553"/>
    <w:rsid w:val="651925F7"/>
    <w:rsid w:val="655D335E"/>
    <w:rsid w:val="656C5B97"/>
    <w:rsid w:val="65A14AC2"/>
    <w:rsid w:val="66257375"/>
    <w:rsid w:val="6641488D"/>
    <w:rsid w:val="665C3E5E"/>
    <w:rsid w:val="665F480A"/>
    <w:rsid w:val="66A248CF"/>
    <w:rsid w:val="66D97E60"/>
    <w:rsid w:val="67104781"/>
    <w:rsid w:val="676B67CF"/>
    <w:rsid w:val="67CA42A6"/>
    <w:rsid w:val="682409AB"/>
    <w:rsid w:val="6834572D"/>
    <w:rsid w:val="685A4DA8"/>
    <w:rsid w:val="68823C33"/>
    <w:rsid w:val="689E250C"/>
    <w:rsid w:val="69164798"/>
    <w:rsid w:val="69315D62"/>
    <w:rsid w:val="6933210C"/>
    <w:rsid w:val="694C640B"/>
    <w:rsid w:val="69A92438"/>
    <w:rsid w:val="6A1D3904"/>
    <w:rsid w:val="6A5C2D64"/>
    <w:rsid w:val="6A8A71EB"/>
    <w:rsid w:val="6A99742E"/>
    <w:rsid w:val="6AE85276"/>
    <w:rsid w:val="6B4355EC"/>
    <w:rsid w:val="6B87277E"/>
    <w:rsid w:val="6B940BBB"/>
    <w:rsid w:val="6BB206B5"/>
    <w:rsid w:val="6C57704A"/>
    <w:rsid w:val="6C645BF3"/>
    <w:rsid w:val="6C7657AC"/>
    <w:rsid w:val="6CB03829"/>
    <w:rsid w:val="6CB625DD"/>
    <w:rsid w:val="6CC94CE8"/>
    <w:rsid w:val="6CE63E7B"/>
    <w:rsid w:val="6CF50B68"/>
    <w:rsid w:val="6D1F5A2D"/>
    <w:rsid w:val="6D5D5570"/>
    <w:rsid w:val="6D6F091A"/>
    <w:rsid w:val="6DE76B6A"/>
    <w:rsid w:val="6DF655E0"/>
    <w:rsid w:val="6E155A08"/>
    <w:rsid w:val="6E1F0A0B"/>
    <w:rsid w:val="6F08375A"/>
    <w:rsid w:val="6F2D4E50"/>
    <w:rsid w:val="6F8A6BAA"/>
    <w:rsid w:val="6FBC4AB7"/>
    <w:rsid w:val="6FC41DF4"/>
    <w:rsid w:val="701B6F36"/>
    <w:rsid w:val="70765B1C"/>
    <w:rsid w:val="70B9465D"/>
    <w:rsid w:val="70BA4F57"/>
    <w:rsid w:val="70C50FD5"/>
    <w:rsid w:val="7128150C"/>
    <w:rsid w:val="71306BFB"/>
    <w:rsid w:val="71BC60F4"/>
    <w:rsid w:val="72051890"/>
    <w:rsid w:val="720720B3"/>
    <w:rsid w:val="723D62BF"/>
    <w:rsid w:val="727B38BE"/>
    <w:rsid w:val="727C5295"/>
    <w:rsid w:val="73840550"/>
    <w:rsid w:val="739F46B3"/>
    <w:rsid w:val="73C51D26"/>
    <w:rsid w:val="73DA7E90"/>
    <w:rsid w:val="73E01C2A"/>
    <w:rsid w:val="73E52EC1"/>
    <w:rsid w:val="740C7E56"/>
    <w:rsid w:val="74434CA1"/>
    <w:rsid w:val="74E05E61"/>
    <w:rsid w:val="75303A18"/>
    <w:rsid w:val="753F177D"/>
    <w:rsid w:val="75796A81"/>
    <w:rsid w:val="75D42404"/>
    <w:rsid w:val="76F61765"/>
    <w:rsid w:val="77004ACB"/>
    <w:rsid w:val="774176D8"/>
    <w:rsid w:val="77A23FC0"/>
    <w:rsid w:val="77BD35A2"/>
    <w:rsid w:val="77C16217"/>
    <w:rsid w:val="77C84869"/>
    <w:rsid w:val="783267CC"/>
    <w:rsid w:val="784B3465"/>
    <w:rsid w:val="7866291A"/>
    <w:rsid w:val="78955FA4"/>
    <w:rsid w:val="79094101"/>
    <w:rsid w:val="79DC10E6"/>
    <w:rsid w:val="79EA1A55"/>
    <w:rsid w:val="7A020BB7"/>
    <w:rsid w:val="7A4647B1"/>
    <w:rsid w:val="7A7601E0"/>
    <w:rsid w:val="7A7D4634"/>
    <w:rsid w:val="7ABA486A"/>
    <w:rsid w:val="7AC9779D"/>
    <w:rsid w:val="7ADF72B5"/>
    <w:rsid w:val="7AE364A4"/>
    <w:rsid w:val="7AF36E53"/>
    <w:rsid w:val="7B7207AD"/>
    <w:rsid w:val="7BAD2547"/>
    <w:rsid w:val="7C1D11E6"/>
    <w:rsid w:val="7C6363CD"/>
    <w:rsid w:val="7CB26E8E"/>
    <w:rsid w:val="7CB80EF9"/>
    <w:rsid w:val="7CC11C0F"/>
    <w:rsid w:val="7D1376D3"/>
    <w:rsid w:val="7D6A2F54"/>
    <w:rsid w:val="7DA57B21"/>
    <w:rsid w:val="7DC10D1E"/>
    <w:rsid w:val="7DD1053E"/>
    <w:rsid w:val="7DE6123C"/>
    <w:rsid w:val="7E0A0F65"/>
    <w:rsid w:val="7E3A5498"/>
    <w:rsid w:val="7EA936F6"/>
    <w:rsid w:val="7FB139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0"/>
    <w:pPr>
      <w:keepNext/>
      <w:keepLines/>
      <w:spacing w:before="260" w:after="260" w:line="413" w:lineRule="auto"/>
      <w:outlineLvl w:val="1"/>
    </w:pPr>
    <w:rPr>
      <w:rFonts w:ascii="Arial" w:hAnsi="Arial" w:eastAsia="黑体"/>
      <w:b/>
      <w:sz w:val="32"/>
      <w:szCs w:val="24"/>
    </w:rPr>
  </w:style>
  <w:style w:type="paragraph" w:styleId="4">
    <w:name w:val="heading 3"/>
    <w:basedOn w:val="1"/>
    <w:next w:val="1"/>
    <w:link w:val="45"/>
    <w:unhideWhenUsed/>
    <w:qFormat/>
    <w:uiPriority w:val="0"/>
    <w:pPr>
      <w:keepNext/>
      <w:keepLines/>
      <w:spacing w:before="260" w:after="260" w:line="413" w:lineRule="auto"/>
      <w:outlineLvl w:val="2"/>
    </w:pPr>
    <w:rPr>
      <w:b/>
      <w:sz w:val="32"/>
      <w:szCs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toc 7"/>
    <w:basedOn w:val="1"/>
    <w:next w:val="1"/>
    <w:semiHidden/>
    <w:qFormat/>
    <w:uiPriority w:val="0"/>
    <w:pPr>
      <w:ind w:left="2520" w:leftChars="1200"/>
    </w:pPr>
    <w:rPr>
      <w:rFonts w:ascii="Times New Roman" w:hAnsi="Times New Roman" w:eastAsia="宋体" w:cs="Times New Roman"/>
      <w:szCs w:val="24"/>
    </w:rPr>
  </w:style>
  <w:style w:type="paragraph" w:styleId="6">
    <w:name w:val="Document Map"/>
    <w:basedOn w:val="1"/>
    <w:link w:val="32"/>
    <w:qFormat/>
    <w:uiPriority w:val="0"/>
    <w:rPr>
      <w:rFonts w:ascii="宋体" w:eastAsia="宋体"/>
      <w:sz w:val="18"/>
      <w:szCs w:val="18"/>
    </w:rPr>
  </w:style>
  <w:style w:type="paragraph" w:styleId="7">
    <w:name w:val="annotation text"/>
    <w:basedOn w:val="1"/>
    <w:link w:val="30"/>
    <w:qFormat/>
    <w:uiPriority w:val="0"/>
    <w:pPr>
      <w:jc w:val="left"/>
    </w:pPr>
    <w:rPr>
      <w:rFonts w:eastAsia="宋体"/>
      <w:szCs w:val="24"/>
    </w:rPr>
  </w:style>
  <w:style w:type="paragraph" w:styleId="8">
    <w:name w:val="toc 5"/>
    <w:basedOn w:val="1"/>
    <w:next w:val="1"/>
    <w:semiHidden/>
    <w:qFormat/>
    <w:uiPriority w:val="0"/>
    <w:pPr>
      <w:ind w:left="1680" w:leftChars="800"/>
    </w:pPr>
    <w:rPr>
      <w:rFonts w:ascii="Times New Roman" w:hAnsi="Times New Roman" w:eastAsia="宋体" w:cs="Times New Roman"/>
      <w:szCs w:val="24"/>
    </w:rPr>
  </w:style>
  <w:style w:type="paragraph" w:styleId="9">
    <w:name w:val="toc 3"/>
    <w:basedOn w:val="1"/>
    <w:next w:val="1"/>
    <w:qFormat/>
    <w:uiPriority w:val="39"/>
    <w:pPr>
      <w:tabs>
        <w:tab w:val="right" w:leader="middleDot" w:pos="8720"/>
      </w:tabs>
      <w:spacing w:line="600" w:lineRule="exact"/>
      <w:ind w:left="210" w:leftChars="100"/>
    </w:pPr>
    <w:rPr>
      <w:rFonts w:ascii="Times New Roman" w:hAnsi="Times New Roman" w:eastAsia="宋体" w:cs="Times New Roman"/>
      <w:szCs w:val="24"/>
    </w:rPr>
  </w:style>
  <w:style w:type="paragraph" w:styleId="10">
    <w:name w:val="Plain Text"/>
    <w:basedOn w:val="1"/>
    <w:link w:val="43"/>
    <w:qFormat/>
    <w:uiPriority w:val="0"/>
    <w:rPr>
      <w:rFonts w:ascii="宋体" w:hAnsi="Courier New" w:eastAsia="宋体" w:cs="Courier New"/>
      <w:szCs w:val="21"/>
    </w:rPr>
  </w:style>
  <w:style w:type="paragraph" w:styleId="11">
    <w:name w:val="toc 8"/>
    <w:basedOn w:val="1"/>
    <w:next w:val="1"/>
    <w:semiHidden/>
    <w:qFormat/>
    <w:uiPriority w:val="0"/>
    <w:pPr>
      <w:ind w:left="2940" w:leftChars="1400"/>
    </w:pPr>
    <w:rPr>
      <w:rFonts w:ascii="Times New Roman" w:hAnsi="Times New Roman" w:eastAsia="宋体" w:cs="Times New Roman"/>
      <w:szCs w:val="24"/>
    </w:rPr>
  </w:style>
  <w:style w:type="paragraph" w:styleId="12">
    <w:name w:val="Balloon Text"/>
    <w:basedOn w:val="1"/>
    <w:link w:val="34"/>
    <w:qFormat/>
    <w:uiPriority w:val="0"/>
    <w:rPr>
      <w:rFonts w:eastAsia="宋体"/>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rFonts w:ascii="Times New Roman" w:hAnsi="Times New Roman" w:eastAsia="宋体" w:cs="Times New Roman"/>
      <w:szCs w:val="24"/>
    </w:rPr>
  </w:style>
  <w:style w:type="paragraph" w:styleId="16">
    <w:name w:val="toc 4"/>
    <w:basedOn w:val="1"/>
    <w:next w:val="1"/>
    <w:semiHidden/>
    <w:qFormat/>
    <w:uiPriority w:val="0"/>
    <w:pPr>
      <w:ind w:left="1260" w:leftChars="600"/>
    </w:pPr>
    <w:rPr>
      <w:rFonts w:ascii="Times New Roman" w:hAnsi="Times New Roman" w:eastAsia="宋体" w:cs="Times New Roman"/>
      <w:szCs w:val="24"/>
    </w:rPr>
  </w:style>
  <w:style w:type="paragraph" w:styleId="17">
    <w:name w:val="toc 6"/>
    <w:basedOn w:val="1"/>
    <w:next w:val="1"/>
    <w:semiHidden/>
    <w:qFormat/>
    <w:uiPriority w:val="0"/>
    <w:pPr>
      <w:ind w:left="2100" w:leftChars="1000"/>
    </w:pPr>
    <w:rPr>
      <w:rFonts w:ascii="Times New Roman" w:hAnsi="Times New Roman" w:eastAsia="宋体" w:cs="Times New Roman"/>
      <w:szCs w:val="24"/>
    </w:rPr>
  </w:style>
  <w:style w:type="paragraph" w:styleId="18">
    <w:name w:val="toc 2"/>
    <w:basedOn w:val="1"/>
    <w:next w:val="1"/>
    <w:qFormat/>
    <w:uiPriority w:val="39"/>
    <w:pPr>
      <w:tabs>
        <w:tab w:val="right" w:leader="middleDot" w:pos="8720"/>
      </w:tabs>
      <w:spacing w:line="600" w:lineRule="exact"/>
      <w:ind w:left="480" w:hanging="480" w:hangingChars="150"/>
    </w:pPr>
    <w:rPr>
      <w:rFonts w:ascii="Times New Roman" w:hAnsi="Times New Roman" w:eastAsia="宋体" w:cs="Times New Roman"/>
      <w:szCs w:val="24"/>
    </w:rPr>
  </w:style>
  <w:style w:type="paragraph" w:styleId="19">
    <w:name w:val="toc 9"/>
    <w:basedOn w:val="1"/>
    <w:next w:val="1"/>
    <w:semiHidden/>
    <w:qFormat/>
    <w:uiPriority w:val="0"/>
    <w:pPr>
      <w:ind w:left="3360" w:leftChars="1600"/>
    </w:pPr>
    <w:rPr>
      <w:rFonts w:ascii="Times New Roman" w:hAnsi="Times New Roman" w:eastAsia="宋体" w:cs="Times New Roman"/>
      <w:szCs w:val="24"/>
    </w:rPr>
  </w:style>
  <w:style w:type="character" w:styleId="22">
    <w:name w:val="page number"/>
    <w:basedOn w:val="21"/>
    <w:qFormat/>
    <w:uiPriority w:val="0"/>
    <w:rPr>
      <w:rFonts w:cs="Times New Roman"/>
    </w:rPr>
  </w:style>
  <w:style w:type="character" w:styleId="23">
    <w:name w:val="Hyperlink"/>
    <w:basedOn w:val="21"/>
    <w:qFormat/>
    <w:uiPriority w:val="99"/>
    <w:rPr>
      <w:color w:val="0000FF"/>
      <w:u w:val="single"/>
    </w:rPr>
  </w:style>
  <w:style w:type="character" w:styleId="24">
    <w:name w:val="annotation reference"/>
    <w:basedOn w:val="21"/>
    <w:qFormat/>
    <w:uiPriority w:val="0"/>
    <w:rPr>
      <w:rFonts w:cs="Times New Roman"/>
      <w:sz w:val="21"/>
      <w:szCs w:val="21"/>
    </w:rPr>
  </w:style>
  <w:style w:type="paragraph" w:customStyle="1" w:styleId="25">
    <w:name w:val="样式1"/>
    <w:basedOn w:val="3"/>
    <w:link w:val="49"/>
    <w:qFormat/>
    <w:uiPriority w:val="0"/>
    <w:pPr>
      <w:jc w:val="center"/>
    </w:pPr>
    <w:rPr>
      <w:rFonts w:ascii="方正小标宋简体" w:hAnsi="宋体" w:eastAsia="方正小标宋简体" w:cs="宋体"/>
      <w:b w:val="0"/>
      <w:kern w:val="0"/>
      <w:sz w:val="40"/>
      <w:szCs w:val="40"/>
    </w:rPr>
  </w:style>
  <w:style w:type="paragraph" w:styleId="26">
    <w:name w:val="List Paragraph"/>
    <w:basedOn w:val="1"/>
    <w:qFormat/>
    <w:uiPriority w:val="99"/>
    <w:pPr>
      <w:ind w:firstLine="420" w:firstLineChars="200"/>
    </w:pPr>
  </w:style>
  <w:style w:type="character" w:customStyle="1" w:styleId="27">
    <w:name w:val="页眉 Char"/>
    <w:basedOn w:val="21"/>
    <w:link w:val="14"/>
    <w:semiHidden/>
    <w:qFormat/>
    <w:uiPriority w:val="0"/>
    <w:rPr>
      <w:sz w:val="18"/>
      <w:szCs w:val="18"/>
    </w:rPr>
  </w:style>
  <w:style w:type="character" w:customStyle="1" w:styleId="28">
    <w:name w:val="页脚 Char"/>
    <w:basedOn w:val="21"/>
    <w:link w:val="13"/>
    <w:qFormat/>
    <w:uiPriority w:val="99"/>
    <w:rPr>
      <w:sz w:val="18"/>
      <w:szCs w:val="18"/>
    </w:rPr>
  </w:style>
  <w:style w:type="character" w:customStyle="1" w:styleId="29">
    <w:name w:val="批注文字 Char"/>
    <w:basedOn w:val="21"/>
    <w:link w:val="7"/>
    <w:qFormat/>
    <w:locked/>
    <w:uiPriority w:val="0"/>
    <w:rPr>
      <w:rFonts w:eastAsia="宋体"/>
      <w:szCs w:val="24"/>
    </w:rPr>
  </w:style>
  <w:style w:type="character" w:customStyle="1" w:styleId="30">
    <w:name w:val="批注文字 Char1"/>
    <w:basedOn w:val="21"/>
    <w:link w:val="7"/>
    <w:semiHidden/>
    <w:qFormat/>
    <w:uiPriority w:val="99"/>
  </w:style>
  <w:style w:type="character" w:customStyle="1" w:styleId="31">
    <w:name w:val="文档结构图 Char"/>
    <w:basedOn w:val="21"/>
    <w:link w:val="6"/>
    <w:qFormat/>
    <w:locked/>
    <w:uiPriority w:val="0"/>
    <w:rPr>
      <w:rFonts w:ascii="宋体" w:eastAsia="宋体"/>
      <w:sz w:val="18"/>
      <w:szCs w:val="18"/>
    </w:rPr>
  </w:style>
  <w:style w:type="character" w:customStyle="1" w:styleId="32">
    <w:name w:val="文档结构图 Char1"/>
    <w:basedOn w:val="21"/>
    <w:link w:val="6"/>
    <w:semiHidden/>
    <w:qFormat/>
    <w:uiPriority w:val="99"/>
    <w:rPr>
      <w:rFonts w:ascii="宋体" w:eastAsia="宋体"/>
      <w:sz w:val="18"/>
      <w:szCs w:val="18"/>
    </w:rPr>
  </w:style>
  <w:style w:type="character" w:customStyle="1" w:styleId="33">
    <w:name w:val="批注框文本 Char"/>
    <w:basedOn w:val="21"/>
    <w:link w:val="12"/>
    <w:qFormat/>
    <w:locked/>
    <w:uiPriority w:val="0"/>
    <w:rPr>
      <w:rFonts w:eastAsia="宋体"/>
      <w:sz w:val="18"/>
      <w:szCs w:val="18"/>
    </w:rPr>
  </w:style>
  <w:style w:type="character" w:customStyle="1" w:styleId="34">
    <w:name w:val="批注框文本 Char1"/>
    <w:basedOn w:val="21"/>
    <w:link w:val="12"/>
    <w:semiHidden/>
    <w:qFormat/>
    <w:uiPriority w:val="99"/>
    <w:rPr>
      <w:sz w:val="18"/>
      <w:szCs w:val="18"/>
    </w:rPr>
  </w:style>
  <w:style w:type="paragraph" w:customStyle="1" w:styleId="35">
    <w:name w:val="Char Char3 Char Char Char Char"/>
    <w:basedOn w:val="1"/>
    <w:qFormat/>
    <w:uiPriority w:val="0"/>
    <w:rPr>
      <w:rFonts w:ascii="Times New Roman" w:hAnsi="Times New Roman" w:eastAsia="宋体" w:cs="Times New Roman"/>
      <w:szCs w:val="21"/>
    </w:rPr>
  </w:style>
  <w:style w:type="paragraph" w:customStyle="1" w:styleId="36">
    <w:name w:val="默认段落字体 Para Char Char Char Char"/>
    <w:basedOn w:val="1"/>
    <w:qFormat/>
    <w:uiPriority w:val="0"/>
    <w:rPr>
      <w:rFonts w:ascii="Times New Roman" w:hAnsi="Times New Roman" w:eastAsia="宋体" w:cs="Times New Roman"/>
      <w:sz w:val="32"/>
      <w:szCs w:val="32"/>
    </w:rPr>
  </w:style>
  <w:style w:type="paragraph" w:customStyle="1" w:styleId="37">
    <w:name w:val="Char Char Char Char Char Char Char"/>
    <w:basedOn w:val="1"/>
    <w:qFormat/>
    <w:uiPriority w:val="0"/>
    <w:rPr>
      <w:rFonts w:ascii="Times New Roman" w:hAnsi="Times New Roman" w:eastAsia="宋体" w:cs="Times New Roman"/>
      <w:szCs w:val="21"/>
    </w:rPr>
  </w:style>
  <w:style w:type="character" w:customStyle="1" w:styleId="38">
    <w:name w:val="Char Char1"/>
    <w:basedOn w:val="21"/>
    <w:semiHidden/>
    <w:qFormat/>
    <w:locked/>
    <w:uiPriority w:val="0"/>
    <w:rPr>
      <w:sz w:val="18"/>
      <w:szCs w:val="18"/>
    </w:rPr>
  </w:style>
  <w:style w:type="character" w:customStyle="1" w:styleId="39">
    <w:name w:val="Char Char"/>
    <w:basedOn w:val="21"/>
    <w:semiHidden/>
    <w:qFormat/>
    <w:locked/>
    <w:uiPriority w:val="0"/>
    <w:rPr>
      <w:sz w:val="18"/>
      <w:szCs w:val="18"/>
    </w:rPr>
  </w:style>
  <w:style w:type="paragraph" w:customStyle="1" w:styleId="40">
    <w:name w:val="List Paragraph1"/>
    <w:basedOn w:val="1"/>
    <w:qFormat/>
    <w:uiPriority w:val="0"/>
    <w:pPr>
      <w:ind w:firstLine="420" w:firstLineChars="200"/>
    </w:pPr>
    <w:rPr>
      <w:rFonts w:ascii="Calibri" w:hAnsi="Calibri" w:eastAsia="宋体" w:cs="Times New Roman"/>
    </w:rPr>
  </w:style>
  <w:style w:type="character" w:customStyle="1" w:styleId="41">
    <w:name w:val="Char Char3"/>
    <w:basedOn w:val="21"/>
    <w:semiHidden/>
    <w:qFormat/>
    <w:locked/>
    <w:uiPriority w:val="0"/>
    <w:rPr>
      <w:rFonts w:eastAsia="宋体"/>
      <w:kern w:val="2"/>
      <w:sz w:val="18"/>
      <w:szCs w:val="18"/>
      <w:lang w:val="en-US" w:eastAsia="zh-CN" w:bidi="ar-SA"/>
    </w:rPr>
  </w:style>
  <w:style w:type="character" w:customStyle="1" w:styleId="42">
    <w:name w:val="Char Char4"/>
    <w:basedOn w:val="21"/>
    <w:semiHidden/>
    <w:qFormat/>
    <w:locked/>
    <w:uiPriority w:val="0"/>
    <w:rPr>
      <w:rFonts w:eastAsia="宋体"/>
      <w:kern w:val="2"/>
      <w:sz w:val="18"/>
      <w:szCs w:val="18"/>
      <w:lang w:val="en-US" w:eastAsia="zh-CN" w:bidi="ar-SA"/>
    </w:rPr>
  </w:style>
  <w:style w:type="character" w:customStyle="1" w:styleId="43">
    <w:name w:val="纯文本 Char"/>
    <w:basedOn w:val="21"/>
    <w:link w:val="10"/>
    <w:qFormat/>
    <w:uiPriority w:val="0"/>
    <w:rPr>
      <w:rFonts w:ascii="宋体" w:hAnsi="Courier New" w:eastAsia="宋体" w:cs="Courier New"/>
      <w:szCs w:val="21"/>
    </w:rPr>
  </w:style>
  <w:style w:type="character" w:customStyle="1" w:styleId="44">
    <w:name w:val="标题 2 Char"/>
    <w:basedOn w:val="21"/>
    <w:link w:val="3"/>
    <w:qFormat/>
    <w:uiPriority w:val="0"/>
    <w:rPr>
      <w:rFonts w:ascii="Arial" w:hAnsi="Arial" w:eastAsia="黑体"/>
      <w:b/>
      <w:sz w:val="32"/>
      <w:szCs w:val="24"/>
    </w:rPr>
  </w:style>
  <w:style w:type="character" w:customStyle="1" w:styleId="45">
    <w:name w:val="标题 3 Char"/>
    <w:basedOn w:val="21"/>
    <w:link w:val="4"/>
    <w:qFormat/>
    <w:uiPriority w:val="0"/>
    <w:rPr>
      <w:b/>
      <w:sz w:val="32"/>
      <w:szCs w:val="24"/>
    </w:rPr>
  </w:style>
  <w:style w:type="character" w:customStyle="1" w:styleId="46">
    <w:name w:val="标题 1 Char"/>
    <w:basedOn w:val="21"/>
    <w:link w:val="2"/>
    <w:qFormat/>
    <w:uiPriority w:val="9"/>
    <w:rPr>
      <w:b/>
      <w:bCs/>
      <w:kern w:val="44"/>
      <w:sz w:val="44"/>
      <w:szCs w:val="44"/>
    </w:rPr>
  </w:style>
  <w:style w:type="paragraph" w:customStyle="1" w:styleId="4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paragraph" w:customStyle="1" w:styleId="48">
    <w:name w:val="目录2级"/>
    <w:basedOn w:val="25"/>
    <w:link w:val="50"/>
    <w:qFormat/>
    <w:uiPriority w:val="0"/>
    <w:pPr>
      <w:spacing w:line="560" w:lineRule="exact"/>
    </w:pPr>
  </w:style>
  <w:style w:type="character" w:customStyle="1" w:styleId="49">
    <w:name w:val="样式1 Char"/>
    <w:basedOn w:val="44"/>
    <w:link w:val="25"/>
    <w:qFormat/>
    <w:uiPriority w:val="0"/>
    <w:rPr>
      <w:rFonts w:ascii="方正小标宋简体" w:hAnsi="宋体" w:eastAsia="方正小标宋简体" w:cs="宋体"/>
      <w:kern w:val="0"/>
      <w:sz w:val="40"/>
      <w:szCs w:val="40"/>
    </w:rPr>
  </w:style>
  <w:style w:type="character" w:customStyle="1" w:styleId="50">
    <w:name w:val="目录2级 Char"/>
    <w:basedOn w:val="49"/>
    <w:link w:val="48"/>
    <w:qFormat/>
    <w:uiPriority w:val="0"/>
  </w:style>
  <w:style w:type="character" w:customStyle="1" w:styleId="51">
    <w:name w:val="font01"/>
    <w:basedOn w:val="21"/>
    <w:qFormat/>
    <w:uiPriority w:val="0"/>
    <w:rPr>
      <w:rFonts w:hint="eastAsia" w:ascii="方正小标宋简体" w:hAnsi="方正小标宋简体" w:eastAsia="方正小标宋简体" w:cs="方正小标宋简体"/>
      <w:color w:val="000000"/>
      <w:sz w:val="40"/>
      <w:szCs w:val="40"/>
      <w:u w:val="none"/>
    </w:rPr>
  </w:style>
  <w:style w:type="character" w:customStyle="1" w:styleId="52">
    <w:name w:val="font31"/>
    <w:basedOn w:val="21"/>
    <w:qFormat/>
    <w:uiPriority w:val="0"/>
    <w:rPr>
      <w:rFonts w:hint="eastAsia" w:ascii="宋体" w:hAnsi="宋体" w:eastAsia="宋体" w:cs="宋体"/>
      <w:b/>
      <w:bCs/>
      <w:color w:val="000000"/>
      <w:sz w:val="22"/>
      <w:szCs w:val="22"/>
      <w:u w:val="none"/>
    </w:rPr>
  </w:style>
  <w:style w:type="character" w:customStyle="1" w:styleId="53">
    <w:name w:val="font21"/>
    <w:basedOn w:val="21"/>
    <w:qFormat/>
    <w:uiPriority w:val="0"/>
    <w:rPr>
      <w:rFonts w:hint="eastAsia" w:ascii="宋体" w:hAnsi="宋体" w:eastAsia="宋体" w:cs="宋体"/>
      <w:color w:val="000000"/>
      <w:sz w:val="24"/>
      <w:szCs w:val="24"/>
      <w:u w:val="none"/>
    </w:rPr>
  </w:style>
  <w:style w:type="character" w:customStyle="1" w:styleId="54">
    <w:name w:val="font1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107" textRotate="1"/>
    <customShpInfo spid="_x0000_s4108" textRotate="1"/>
    <customShpInfo spid="_x0000_s4103" textRotate="1"/>
    <customShpInfo spid="_x0000_s4101"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D4A66A-72F7-4C87-96BB-BF2B988A03BB}">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11245</Words>
  <Characters>14165</Characters>
  <Lines>135</Lines>
  <Paragraphs>38</Paragraphs>
  <TotalTime>13</TotalTime>
  <ScaleCrop>false</ScaleCrop>
  <LinksUpToDate>false</LinksUpToDate>
  <CharactersWithSpaces>14918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2022-04-07T02:55:00Z</dcterms:created>
  <dc:creator>liu</dc:creator>
  <cp:lastModifiedBy>Administrator</cp:lastModifiedBy>
  <cp:lastPrinted>2026-03-08T05:45:00Z</cp:lastPrinted>
  <dcterms:modified xsi:type="dcterms:W3CDTF">2026-03-12T03:42:47Z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mmondata">
    <vt:lpwstr>eyJoZGlkIjoiOTNjMzUyY2UyZjNlM2ZhOWU0YjZiMWU4MTA3YTcxMGQifQ==</vt:lpwstr>
  </property>
  <property fmtid="{D5CDD505-2E9C-101B-9397-08002B2CF9AE}" pid="4" name="ICV">
    <vt:lpwstr>CA2EA6E1D0B84867917C21DD09704DBA</vt:lpwstr>
  </property>
</Properties>
</file>